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spacing w:line="600" w:lineRule="exact"/>
        <w:rPr>
          <w:rFonts w:hint="eastAsia" w:ascii="仿宋_GB2312" w:hAnsi="仿宋" w:eastAsia="仿宋_GB2312"/>
          <w:sz w:val="32"/>
          <w:szCs w:val="30"/>
        </w:rPr>
      </w:pPr>
    </w:p>
    <w:p>
      <w:pPr>
        <w:spacing w:line="600" w:lineRule="exact"/>
        <w:rPr>
          <w:rFonts w:hint="eastAsia" w:ascii="仿宋_GB2312" w:hAnsi="仿宋" w:eastAsia="仿宋_GB2312"/>
          <w:sz w:val="32"/>
          <w:szCs w:val="30"/>
        </w:rPr>
      </w:pPr>
    </w:p>
    <w:p>
      <w:pPr>
        <w:spacing w:line="600" w:lineRule="exact"/>
        <w:rPr>
          <w:rFonts w:hint="eastAsia" w:ascii="仿宋_GB2312" w:hAnsi="仿宋" w:eastAsia="仿宋_GB2312"/>
          <w:sz w:val="32"/>
          <w:szCs w:val="30"/>
        </w:rPr>
      </w:pPr>
    </w:p>
    <w:p>
      <w:pPr>
        <w:spacing w:line="600" w:lineRule="exact"/>
        <w:rPr>
          <w:rFonts w:hint="eastAsia" w:ascii="仿宋_GB2312" w:hAnsi="仿宋" w:eastAsia="仿宋_GB2312"/>
          <w:sz w:val="32"/>
          <w:szCs w:val="30"/>
        </w:rPr>
      </w:pPr>
    </w:p>
    <w:p>
      <w:pPr>
        <w:spacing w:line="600" w:lineRule="exact"/>
        <w:rPr>
          <w:rFonts w:hint="eastAsia" w:ascii="仿宋_GB2312" w:hAnsi="仿宋" w:eastAsia="仿宋_GB2312"/>
          <w:sz w:val="32"/>
          <w:szCs w:val="30"/>
        </w:rPr>
      </w:pPr>
    </w:p>
    <w:p>
      <w:pPr>
        <w:spacing w:line="600" w:lineRule="exact"/>
        <w:rPr>
          <w:rFonts w:hint="eastAsia" w:ascii="仿宋_GB2312" w:hAnsi="仿宋" w:eastAsia="仿宋_GB2312"/>
          <w:sz w:val="32"/>
          <w:szCs w:val="30"/>
        </w:rPr>
      </w:pPr>
    </w:p>
    <w:p>
      <w:pPr>
        <w:spacing w:line="600" w:lineRule="exact"/>
        <w:rPr>
          <w:rFonts w:hint="eastAsia" w:ascii="仿宋_GB2312" w:hAnsi="仿宋" w:eastAsia="仿宋_GB2312"/>
          <w:sz w:val="32"/>
          <w:szCs w:val="30"/>
        </w:rPr>
      </w:pPr>
    </w:p>
    <w:p>
      <w:pPr>
        <w:spacing w:line="560" w:lineRule="exact"/>
        <w:jc w:val="center"/>
        <w:rPr>
          <w:rFonts w:hint="eastAsia" w:ascii="仿宋_GB2312" w:hAnsi="仿宋" w:eastAsia="仿宋_GB2312"/>
          <w:sz w:val="32"/>
          <w:szCs w:val="30"/>
        </w:rPr>
      </w:pPr>
      <w:r>
        <w:rPr>
          <w:rFonts w:hint="default" w:ascii="Times New Roman" w:hAnsi="Times New Roman" w:eastAsia="仿宋_GB2312" w:cs="Times New Roman"/>
          <w:b w:val="0"/>
          <w:bCs w:val="0"/>
          <w:sz w:val="32"/>
          <w:szCs w:val="32"/>
        </w:rPr>
        <w:t>濉</w:t>
      </w:r>
      <w:r>
        <w:rPr>
          <w:rFonts w:hint="eastAsia" w:ascii="Times New Roman" w:hAnsi="Times New Roman" w:eastAsia="仿宋_GB2312" w:cs="Times New Roman"/>
          <w:b w:val="0"/>
          <w:bCs w:val="0"/>
          <w:sz w:val="32"/>
          <w:szCs w:val="32"/>
          <w:lang w:val="en-US" w:eastAsia="zh-CN"/>
        </w:rPr>
        <w:t>发</w:t>
      </w:r>
      <w:r>
        <w:rPr>
          <w:rFonts w:hint="default" w:ascii="Times New Roman" w:hAnsi="Times New Roman" w:eastAsia="仿宋_GB2312" w:cs="Times New Roman"/>
          <w:b w:val="0"/>
          <w:bCs w:val="0"/>
          <w:sz w:val="32"/>
          <w:szCs w:val="32"/>
        </w:rPr>
        <w:t>〔202</w:t>
      </w:r>
      <w:r>
        <w:rPr>
          <w:rFonts w:hint="default" w:ascii="Times New Roman" w:hAnsi="Times New Roman" w:eastAsia="仿宋_GB2312" w:cs="Times New Roman"/>
          <w:b w:val="0"/>
          <w:bCs w:val="0"/>
          <w:sz w:val="32"/>
          <w:szCs w:val="32"/>
          <w:lang w:val="en-US" w:eastAsia="zh-CN"/>
        </w:rPr>
        <w:t>2</w:t>
      </w:r>
      <w:r>
        <w:rPr>
          <w:rFonts w:hint="default" w:ascii="Times New Roman" w:hAnsi="Times New Roman" w:eastAsia="仿宋_GB2312" w:cs="Times New Roman"/>
          <w:b w:val="0"/>
          <w:bCs w:val="0"/>
          <w:sz w:val="32"/>
          <w:szCs w:val="32"/>
        </w:rPr>
        <w:t>〕</w:t>
      </w:r>
      <w:r>
        <w:rPr>
          <w:rFonts w:hint="eastAsia" w:ascii="Times New Roman" w:hAnsi="Times New Roman" w:eastAsia="仿宋_GB2312" w:cs="Times New Roman"/>
          <w:b w:val="0"/>
          <w:bCs w:val="0"/>
          <w:sz w:val="32"/>
          <w:szCs w:val="32"/>
          <w:lang w:val="en-US" w:eastAsia="zh-CN"/>
        </w:rPr>
        <w:t>19</w:t>
      </w:r>
      <w:r>
        <w:rPr>
          <w:rFonts w:hint="default" w:ascii="Times New Roman" w:hAnsi="Times New Roman" w:eastAsia="仿宋_GB2312" w:cs="Times New Roman"/>
          <w:b w:val="0"/>
          <w:bCs w:val="0"/>
          <w:sz w:val="32"/>
          <w:szCs w:val="32"/>
        </w:rPr>
        <w:t>号</w:t>
      </w:r>
      <w:r>
        <w:rPr>
          <w:rFonts w:hint="eastAsia" w:ascii="仿宋_GB2312" w:hAnsi="仿宋" w:eastAsia="仿宋_GB2312"/>
          <w:sz w:val="32"/>
          <w:szCs w:val="30"/>
        </w:rPr>
        <mc:AlternateContent>
          <mc:Choice Requires="wps">
            <w:drawing>
              <wp:anchor distT="0" distB="0" distL="114300" distR="114300" simplePos="0" relativeHeight="251660288" behindDoc="0" locked="0" layoutInCell="1" allowOverlap="1">
                <wp:simplePos x="0" y="0"/>
                <wp:positionH relativeFrom="column">
                  <wp:posOffset>2548890</wp:posOffset>
                </wp:positionH>
                <wp:positionV relativeFrom="paragraph">
                  <wp:posOffset>344805</wp:posOffset>
                </wp:positionV>
                <wp:extent cx="525780" cy="394335"/>
                <wp:effectExtent l="4445" t="4445" r="22225" b="20320"/>
                <wp:wrapNone/>
                <wp:docPr id="1" name="文本框 1"/>
                <wp:cNvGraphicFramePr/>
                <a:graphic xmlns:a="http://schemas.openxmlformats.org/drawingml/2006/main">
                  <a:graphicData uri="http://schemas.microsoft.com/office/word/2010/wordprocessingShape">
                    <wps:wsp>
                      <wps:cNvSpPr txBox="1"/>
                      <wps:spPr>
                        <a:xfrm>
                          <a:off x="0" y="0"/>
                          <a:ext cx="525780" cy="394335"/>
                        </a:xfrm>
                        <a:prstGeom prst="rect">
                          <a:avLst/>
                        </a:prstGeom>
                        <a:solidFill>
                          <a:srgbClr val="FFFFFF"/>
                        </a:solidFill>
                        <a:ln w="9525" cap="flat" cmpd="sng">
                          <a:solidFill>
                            <a:srgbClr val="FFFFFF"/>
                          </a:solidFill>
                          <a:prstDash val="solid"/>
                          <a:miter/>
                          <a:headEnd type="none" w="med" len="med"/>
                          <a:tailEnd type="none" w="med" len="med"/>
                        </a:ln>
                      </wps:spPr>
                      <wps:txbx>
                        <w:txbxContent>
                          <w:p>
                            <w:pPr>
                              <w:spacing w:line="600" w:lineRule="exact"/>
                              <w:jc w:val="center"/>
                              <w:rPr>
                                <w:rFonts w:hint="eastAsia"/>
                                <w:color w:val="FF0000"/>
                                <w:sz w:val="52"/>
                                <w:szCs w:val="52"/>
                              </w:rPr>
                            </w:pPr>
                          </w:p>
                        </w:txbxContent>
                      </wps:txbx>
                      <wps:bodyPr lIns="0" tIns="0" rIns="0" bIns="0" upright="1"/>
                    </wps:wsp>
                  </a:graphicData>
                </a:graphic>
              </wp:anchor>
            </w:drawing>
          </mc:Choice>
          <mc:Fallback>
            <w:pict>
              <v:shape id="_x0000_s1026" o:spid="_x0000_s1026" o:spt="202" type="#_x0000_t202" style="position:absolute;left:0pt;margin-left:200.7pt;margin-top:27.15pt;height:31.05pt;width:41.4pt;z-index:251660288;mso-width-relative:page;mso-height-relative:page;" fillcolor="#FFFFFF" filled="t" stroked="t" coordsize="21600,21600" o:gfxdata="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iYsqdgAAAAKAQAADwAAAAAAAAABACAAAAAiAAAAZHJzL2Rvd25yZXYueG1s&#10;UEsBAhQAFAAAAAgAh07iQDnHRr34AQAACwQAAA4AAAAAAAAAAQAgAAAAJwEAAGRycy9lMm9Eb2Mu&#10;eG1sUEsFBgAAAAAGAAYAWQEAAJEFAAAAAA==&#10;">
                <v:fill on="t" focussize="0,0"/>
                <v:stroke color="#FFFFFF" joinstyle="miter"/>
                <v:imagedata o:title=""/>
                <o:lock v:ext="edit" aspectratio="f"/>
                <v:textbox inset="0mm,0mm,0mm,0mm">
                  <w:txbxContent>
                    <w:p>
                      <w:pPr>
                        <w:spacing w:line="600" w:lineRule="exact"/>
                        <w:jc w:val="center"/>
                        <w:rPr>
                          <w:rFonts w:hint="eastAsia"/>
                          <w:color w:val="FF0000"/>
                          <w:sz w:val="52"/>
                          <w:szCs w:val="52"/>
                        </w:rPr>
                      </w:pPr>
                    </w:p>
                  </w:txbxContent>
                </v:textbox>
              </v:shape>
            </w:pict>
          </mc:Fallback>
        </mc:AlternateContent>
      </w:r>
    </w:p>
    <w:p>
      <w:pPr>
        <w:keepNext w:val="0"/>
        <w:keepLines w:val="0"/>
        <w:pageBreakBefore w:val="0"/>
        <w:widowControl w:val="0"/>
        <w:kinsoku/>
        <w:wordWrap/>
        <w:overflowPunct w:val="0"/>
        <w:topLinePunct w:val="0"/>
        <w:autoSpaceDE/>
        <w:autoSpaceDN/>
        <w:bidi w:val="0"/>
        <w:adjustRightInd/>
        <w:snapToGrid/>
        <w:spacing w:line="700" w:lineRule="exact"/>
        <w:jc w:val="center"/>
        <w:textAlignment w:val="auto"/>
        <w:rPr>
          <w:rFonts w:hint="default" w:ascii="Times New Roman" w:hAnsi="Times New Roman" w:eastAsia="方正小标宋简体" w:cs="Times New Roman"/>
          <w:b w:val="0"/>
          <w:bCs w:val="0"/>
          <w:sz w:val="44"/>
          <w:szCs w:val="44"/>
        </w:rPr>
      </w:pPr>
    </w:p>
    <w:p>
      <w:pPr>
        <w:keepNext w:val="0"/>
        <w:keepLines w:val="0"/>
        <w:pageBreakBefore w:val="0"/>
        <w:widowControl w:val="0"/>
        <w:kinsoku/>
        <w:wordWrap/>
        <w:overflowPunct w:val="0"/>
        <w:topLinePunct w:val="0"/>
        <w:autoSpaceDE/>
        <w:autoSpaceDN/>
        <w:bidi w:val="0"/>
        <w:adjustRightInd/>
        <w:snapToGrid/>
        <w:spacing w:line="700" w:lineRule="exact"/>
        <w:jc w:val="center"/>
        <w:textAlignment w:val="auto"/>
        <w:rPr>
          <w:rFonts w:hint="default" w:ascii="Times New Roman" w:hAnsi="Times New Roman" w:eastAsia="方正小标宋简体" w:cs="Times New Roman"/>
          <w:b w:val="0"/>
          <w:bCs w:val="0"/>
          <w:sz w:val="44"/>
          <w:szCs w:val="44"/>
        </w:rPr>
      </w:pPr>
      <w:r>
        <w:rPr>
          <w:rFonts w:hint="default" w:ascii="Times New Roman" w:hAnsi="Times New Roman" w:eastAsia="方正小标宋简体" w:cs="Times New Roman"/>
          <w:b w:val="0"/>
          <w:bCs w:val="0"/>
          <w:sz w:val="44"/>
          <w:szCs w:val="44"/>
        </w:rPr>
        <w:t>中共濉溪县委</w:t>
      </w:r>
      <w:r>
        <w:rPr>
          <w:rFonts w:hint="default" w:ascii="Times New Roman" w:hAnsi="Times New Roman" w:eastAsia="方正小标宋简体" w:cs="Times New Roman"/>
          <w:b w:val="0"/>
          <w:bCs w:val="0"/>
          <w:w w:val="90"/>
          <w:sz w:val="44"/>
          <w:szCs w:val="44"/>
        </w:rPr>
        <w:t xml:space="preserve">  </w:t>
      </w:r>
      <w:r>
        <w:rPr>
          <w:rFonts w:hint="default" w:ascii="Times New Roman" w:hAnsi="Times New Roman" w:eastAsia="方正小标宋简体" w:cs="Times New Roman"/>
          <w:b w:val="0"/>
          <w:bCs w:val="0"/>
          <w:sz w:val="44"/>
          <w:szCs w:val="44"/>
        </w:rPr>
        <w:t>濉溪县人民政府</w:t>
      </w:r>
    </w:p>
    <w:p>
      <w:pPr>
        <w:overflowPunct w:val="0"/>
        <w:spacing w:line="576" w:lineRule="exact"/>
        <w:jc w:val="center"/>
        <w:rPr>
          <w:rFonts w:hint="default" w:ascii="Times New Roman" w:hAnsi="Times New Roman" w:eastAsia="方正小标宋简体" w:cs="Times New Roman"/>
          <w:b w:val="0"/>
          <w:bCs w:val="0"/>
          <w:color w:val="000000"/>
          <w:sz w:val="44"/>
          <w:szCs w:val="44"/>
        </w:rPr>
      </w:pPr>
      <w:r>
        <w:rPr>
          <w:rFonts w:hint="default" w:ascii="Times New Roman" w:hAnsi="Times New Roman" w:eastAsia="方正小标宋简体" w:cs="Times New Roman"/>
          <w:b w:val="0"/>
          <w:bCs w:val="0"/>
          <w:color w:val="000000"/>
          <w:spacing w:val="-23"/>
          <w:sz w:val="44"/>
          <w:szCs w:val="44"/>
        </w:rPr>
        <w:t>关于印发《</w:t>
      </w:r>
      <w:r>
        <w:rPr>
          <w:rFonts w:hint="eastAsia" w:ascii="Times New Roman" w:hAnsi="Times New Roman" w:eastAsia="方正小标宋简体" w:cs="Times New Roman"/>
          <w:b w:val="0"/>
          <w:bCs w:val="0"/>
          <w:spacing w:val="-23"/>
          <w:sz w:val="44"/>
          <w:szCs w:val="44"/>
          <w:lang w:eastAsia="zh-CN"/>
        </w:rPr>
        <w:t>濉溪县“十四五”服务业发展规划</w:t>
      </w:r>
      <w:r>
        <w:rPr>
          <w:rFonts w:hint="default" w:ascii="Times New Roman" w:hAnsi="Times New Roman" w:eastAsia="方正小标宋简体" w:cs="Times New Roman"/>
          <w:b w:val="0"/>
          <w:bCs w:val="0"/>
          <w:color w:val="000000"/>
          <w:spacing w:val="-23"/>
          <w:sz w:val="44"/>
          <w:szCs w:val="44"/>
        </w:rPr>
        <w:t>》</w:t>
      </w:r>
      <w:r>
        <w:rPr>
          <w:rFonts w:hint="default" w:ascii="Times New Roman" w:hAnsi="Times New Roman" w:eastAsia="方正小标宋简体" w:cs="Times New Roman"/>
          <w:b w:val="0"/>
          <w:bCs w:val="0"/>
          <w:color w:val="000000"/>
          <w:sz w:val="44"/>
          <w:szCs w:val="44"/>
        </w:rPr>
        <w:t>的通</w:t>
      </w:r>
      <w:r>
        <w:rPr>
          <w:rFonts w:hint="eastAsia" w:ascii="Times New Roman" w:hAnsi="Times New Roman" w:eastAsia="方正小标宋简体" w:cs="Times New Roman"/>
          <w:b w:val="0"/>
          <w:bCs w:val="0"/>
          <w:color w:val="000000"/>
          <w:sz w:val="44"/>
          <w:szCs w:val="44"/>
          <w:lang w:val="en-US" w:eastAsia="zh-CN"/>
        </w:rPr>
        <w:t xml:space="preserve">  </w:t>
      </w:r>
      <w:r>
        <w:rPr>
          <w:rFonts w:hint="default" w:ascii="Times New Roman" w:hAnsi="Times New Roman" w:eastAsia="方正小标宋简体" w:cs="Times New Roman"/>
          <w:b w:val="0"/>
          <w:bCs w:val="0"/>
          <w:color w:val="000000"/>
          <w:sz w:val="44"/>
          <w:szCs w:val="44"/>
        </w:rPr>
        <w:t>知</w:t>
      </w:r>
    </w:p>
    <w:p>
      <w:pPr>
        <w:keepNext w:val="0"/>
        <w:keepLines w:val="0"/>
        <w:pageBreakBefore w:val="0"/>
        <w:kinsoku/>
        <w:overflowPunct/>
        <w:topLinePunct w:val="0"/>
        <w:autoSpaceDE/>
        <w:autoSpaceDN/>
        <w:bidi w:val="0"/>
        <w:adjustRightInd/>
        <w:spacing w:line="550" w:lineRule="exact"/>
        <w:jc w:val="left"/>
        <w:textAlignment w:val="auto"/>
        <w:rPr>
          <w:rFonts w:hint="default" w:ascii="Times New Roman" w:hAnsi="Times New Roman" w:eastAsia="仿宋_GB2312" w:cs="Times New Roman"/>
          <w:b w:val="0"/>
          <w:bCs w:val="0"/>
          <w:spacing w:val="0"/>
          <w:sz w:val="32"/>
          <w:szCs w:val="32"/>
        </w:rPr>
      </w:pPr>
    </w:p>
    <w:p>
      <w:pPr>
        <w:keepNext w:val="0"/>
        <w:keepLines w:val="0"/>
        <w:pageBreakBefore w:val="0"/>
        <w:widowControl w:val="0"/>
        <w:kinsoku/>
        <w:overflowPunct/>
        <w:topLinePunct w:val="0"/>
        <w:autoSpaceDE/>
        <w:autoSpaceDN/>
        <w:bidi w:val="0"/>
        <w:adjustRightInd/>
        <w:spacing w:line="580" w:lineRule="exact"/>
        <w:ind w:right="0"/>
        <w:jc w:val="left"/>
        <w:textAlignment w:val="auto"/>
        <w:rPr>
          <w:rFonts w:hint="default" w:ascii="Times New Roman" w:hAnsi="Times New Roman" w:eastAsia="楷体_GB2312" w:cs="Times New Roman"/>
          <w:b w:val="0"/>
          <w:bCs w:val="0"/>
          <w:spacing w:val="0"/>
          <w:sz w:val="32"/>
          <w:szCs w:val="32"/>
        </w:rPr>
      </w:pPr>
      <w:r>
        <w:rPr>
          <w:rFonts w:hint="default" w:ascii="Times New Roman" w:hAnsi="Times New Roman" w:eastAsia="楷体_GB2312" w:cs="Times New Roman"/>
          <w:b w:val="0"/>
          <w:bCs w:val="0"/>
          <w:spacing w:val="0"/>
          <w:sz w:val="32"/>
          <w:szCs w:val="32"/>
        </w:rPr>
        <w:t>各镇党委、政府，县直各党组（党委），各部、委、办、局：</w:t>
      </w:r>
    </w:p>
    <w:p>
      <w:pPr>
        <w:keepNext w:val="0"/>
        <w:keepLines w:val="0"/>
        <w:pageBreakBefore w:val="0"/>
        <w:widowControl w:val="0"/>
        <w:kinsoku/>
        <w:overflowPunct/>
        <w:topLinePunct w:val="0"/>
        <w:autoSpaceDE/>
        <w:autoSpaceDN/>
        <w:bidi w:val="0"/>
        <w:adjustRightInd/>
        <w:spacing w:line="580" w:lineRule="exact"/>
        <w:ind w:right="0" w:firstLine="640" w:firstLineChars="200"/>
        <w:jc w:val="left"/>
        <w:textAlignment w:val="auto"/>
        <w:rPr>
          <w:rFonts w:hint="default" w:ascii="Times New Roman" w:hAnsi="Times New Roman" w:eastAsia="楷体_GB2312" w:cs="Times New Roman"/>
          <w:b w:val="0"/>
          <w:bCs w:val="0"/>
          <w:spacing w:val="0"/>
          <w:sz w:val="32"/>
          <w:szCs w:val="32"/>
        </w:rPr>
      </w:pPr>
      <w:r>
        <w:rPr>
          <w:rFonts w:hint="default" w:ascii="Times New Roman" w:hAnsi="Times New Roman" w:eastAsia="楷体_GB2312" w:cs="Times New Roman"/>
          <w:b w:val="0"/>
          <w:bCs w:val="0"/>
          <w:spacing w:val="0"/>
          <w:sz w:val="32"/>
          <w:szCs w:val="32"/>
        </w:rPr>
        <w:t>《</w:t>
      </w:r>
      <w:r>
        <w:rPr>
          <w:rFonts w:hint="default" w:ascii="Times New Roman" w:hAnsi="Times New Roman" w:eastAsia="楷体_GB2312" w:cs="Times New Roman"/>
          <w:b w:val="0"/>
          <w:bCs w:val="0"/>
          <w:spacing w:val="0"/>
          <w:sz w:val="32"/>
          <w:szCs w:val="32"/>
          <w:lang w:eastAsia="zh-CN"/>
        </w:rPr>
        <w:t>濉溪县“十四五”服务业发展规划</w:t>
      </w:r>
      <w:r>
        <w:rPr>
          <w:rFonts w:hint="default" w:ascii="Times New Roman" w:hAnsi="Times New Roman" w:eastAsia="楷体_GB2312" w:cs="Times New Roman"/>
          <w:b w:val="0"/>
          <w:bCs w:val="0"/>
          <w:spacing w:val="0"/>
          <w:sz w:val="32"/>
          <w:szCs w:val="32"/>
        </w:rPr>
        <w:t>》已经县委、县政府同意，现印发给你们，请结合实际认真贯彻落实。</w:t>
      </w:r>
    </w:p>
    <w:p>
      <w:pPr>
        <w:keepNext w:val="0"/>
        <w:keepLines w:val="0"/>
        <w:pageBreakBefore w:val="0"/>
        <w:widowControl w:val="0"/>
        <w:kinsoku/>
        <w:wordWrap w:val="0"/>
        <w:overflowPunct/>
        <w:topLinePunct w:val="0"/>
        <w:autoSpaceDE/>
        <w:autoSpaceDN/>
        <w:bidi w:val="0"/>
        <w:adjustRightInd/>
        <w:snapToGrid w:val="0"/>
        <w:spacing w:line="580" w:lineRule="exact"/>
        <w:ind w:right="0" w:firstLine="640" w:firstLineChars="200"/>
        <w:jc w:val="right"/>
        <w:textAlignment w:val="auto"/>
        <w:rPr>
          <w:rFonts w:hint="eastAsia" w:ascii="Times New Roman" w:hAnsi="Times New Roman" w:eastAsia="仿宋_GB2312"/>
          <w:b w:val="0"/>
          <w:bCs w:val="0"/>
          <w:color w:val="000000"/>
          <w:spacing w:val="0"/>
          <w:sz w:val="32"/>
          <w:szCs w:val="32"/>
        </w:rPr>
      </w:pPr>
      <w:r>
        <w:rPr>
          <w:rFonts w:hint="default" w:ascii="Times New Roman" w:hAnsi="Times New Roman" w:eastAsia="楷体_GB2312" w:cs="Times New Roman"/>
          <w:b w:val="0"/>
          <w:bCs w:val="0"/>
          <w:spacing w:val="0"/>
          <w:sz w:val="32"/>
          <w:szCs w:val="32"/>
        </w:rPr>
        <w:tab/>
      </w:r>
    </w:p>
    <w:p>
      <w:pPr>
        <w:pStyle w:val="26"/>
        <w:keepNext w:val="0"/>
        <w:keepLines w:val="0"/>
        <w:pageBreakBefore w:val="0"/>
        <w:widowControl w:val="0"/>
        <w:kinsoku/>
        <w:overflowPunct/>
        <w:topLinePunct w:val="0"/>
        <w:autoSpaceDE/>
        <w:autoSpaceDN/>
        <w:bidi w:val="0"/>
        <w:adjustRightInd/>
        <w:spacing w:line="580" w:lineRule="exact"/>
        <w:ind w:left="0" w:leftChars="0" w:right="0" w:firstLine="5200" w:firstLineChars="0"/>
        <w:jc w:val="both"/>
        <w:textAlignment w:val="auto"/>
        <w:rPr>
          <w:rFonts w:ascii="楷体_GB2312" w:hAnsi="Times New Roman" w:eastAsia="楷体_GB2312" w:cs="Times New Roman"/>
          <w:b w:val="0"/>
          <w:bCs w:val="0"/>
          <w:color w:val="000000"/>
          <w:spacing w:val="0"/>
          <w:sz w:val="32"/>
          <w:szCs w:val="22"/>
        </w:rPr>
      </w:pPr>
      <w:r>
        <w:rPr>
          <w:rFonts w:hint="eastAsia" w:ascii="楷体_GB2312" w:hAnsi="Times New Roman" w:eastAsia="楷体_GB2312" w:cs="Times New Roman"/>
          <w:b w:val="0"/>
          <w:bCs w:val="0"/>
          <w:color w:val="000000"/>
          <w:spacing w:val="28"/>
          <w:sz w:val="32"/>
          <w:szCs w:val="22"/>
        </w:rPr>
        <w:t>中共濉溪县</w:t>
      </w:r>
      <w:r>
        <w:rPr>
          <w:rFonts w:hint="eastAsia" w:ascii="楷体_GB2312" w:hAnsi="Times New Roman" w:eastAsia="楷体_GB2312" w:cs="Times New Roman"/>
          <w:b w:val="0"/>
          <w:bCs w:val="0"/>
          <w:color w:val="000000"/>
          <w:spacing w:val="0"/>
          <w:sz w:val="32"/>
          <w:szCs w:val="22"/>
        </w:rPr>
        <w:t>委</w:t>
      </w:r>
    </w:p>
    <w:p>
      <w:pPr>
        <w:pStyle w:val="26"/>
        <w:keepNext w:val="0"/>
        <w:keepLines w:val="0"/>
        <w:pageBreakBefore w:val="0"/>
        <w:widowControl w:val="0"/>
        <w:kinsoku/>
        <w:overflowPunct/>
        <w:topLinePunct w:val="0"/>
        <w:autoSpaceDE/>
        <w:autoSpaceDN/>
        <w:bidi w:val="0"/>
        <w:adjustRightInd/>
        <w:spacing w:line="580" w:lineRule="exact"/>
        <w:ind w:left="0" w:leftChars="0" w:right="0" w:firstLine="5200" w:firstLineChars="0"/>
        <w:jc w:val="both"/>
        <w:textAlignment w:val="auto"/>
        <w:rPr>
          <w:rFonts w:ascii="楷体_GB2312" w:hAnsi="Times New Roman" w:eastAsia="楷体_GB2312" w:cs="Times New Roman"/>
          <w:b w:val="0"/>
          <w:bCs w:val="0"/>
          <w:color w:val="000000"/>
          <w:spacing w:val="0"/>
          <w:sz w:val="32"/>
          <w:szCs w:val="22"/>
        </w:rPr>
      </w:pPr>
      <w:r>
        <w:rPr>
          <w:rFonts w:hint="eastAsia" w:ascii="楷体_GB2312" w:hAnsi="Times New Roman" w:eastAsia="楷体_GB2312" w:cs="Times New Roman"/>
          <w:b w:val="0"/>
          <w:bCs w:val="0"/>
          <w:color w:val="000000"/>
          <w:spacing w:val="0"/>
          <w:sz w:val="32"/>
          <w:szCs w:val="22"/>
        </w:rPr>
        <w:t>濉溪县人民政府</w:t>
      </w:r>
    </w:p>
    <w:p>
      <w:pPr>
        <w:pStyle w:val="26"/>
        <w:keepNext w:val="0"/>
        <w:keepLines w:val="0"/>
        <w:pageBreakBefore w:val="0"/>
        <w:widowControl w:val="0"/>
        <w:kinsoku/>
        <w:wordWrap w:val="0"/>
        <w:overflowPunct/>
        <w:topLinePunct w:val="0"/>
        <w:autoSpaceDE/>
        <w:autoSpaceDN/>
        <w:bidi w:val="0"/>
        <w:adjustRightInd/>
        <w:snapToGrid/>
        <w:spacing w:line="580" w:lineRule="exact"/>
        <w:ind w:right="0" w:rightChars="0" w:firstLine="0"/>
        <w:jc w:val="center"/>
        <w:textAlignment w:val="auto"/>
        <w:rPr>
          <w:rFonts w:hint="default" w:ascii="Times New Roman" w:hAnsi="Times New Roman" w:eastAsia="方正小标宋简体" w:cs="Times New Roman"/>
          <w:color w:val="000000" w:themeColor="text1"/>
          <w:sz w:val="44"/>
          <w:szCs w:val="44"/>
          <w:lang w:eastAsia="zh-CN"/>
          <w14:textFill>
            <w14:solidFill>
              <w14:schemeClr w14:val="tx1"/>
            </w14:solidFill>
          </w14:textFill>
        </w:rPr>
      </w:pPr>
      <w:r>
        <w:rPr>
          <w:rFonts w:hint="eastAsia" w:ascii="Times New Roman" w:hAnsi="Times New Roman" w:eastAsia="楷体_GB2312" w:cs="Times New Roman"/>
          <w:b w:val="0"/>
          <w:bCs w:val="0"/>
          <w:color w:val="000000"/>
          <w:spacing w:val="0"/>
          <w:sz w:val="32"/>
          <w:szCs w:val="22"/>
          <w:lang w:val="en-US" w:eastAsia="zh-CN"/>
        </w:rPr>
        <w:t xml:space="preserve">                            </w:t>
      </w:r>
      <w:r>
        <w:rPr>
          <w:rFonts w:ascii="Times New Roman" w:hAnsi="Times New Roman" w:eastAsia="楷体_GB2312" w:cs="Times New Roman"/>
          <w:b w:val="0"/>
          <w:bCs w:val="0"/>
          <w:color w:val="000000"/>
          <w:spacing w:val="0"/>
          <w:sz w:val="32"/>
          <w:szCs w:val="22"/>
        </w:rPr>
        <w:t>202</w:t>
      </w:r>
      <w:r>
        <w:rPr>
          <w:rFonts w:hint="eastAsia" w:ascii="Times New Roman" w:hAnsi="Times New Roman" w:eastAsia="楷体_GB2312" w:cs="Times New Roman"/>
          <w:b w:val="0"/>
          <w:bCs w:val="0"/>
          <w:color w:val="000000"/>
          <w:spacing w:val="0"/>
          <w:sz w:val="32"/>
          <w:szCs w:val="22"/>
          <w:lang w:val="en-US" w:eastAsia="zh-CN"/>
        </w:rPr>
        <w:t>2</w:t>
      </w:r>
      <w:r>
        <w:rPr>
          <w:rFonts w:ascii="Times New Roman" w:hAnsi="Times New Roman" w:eastAsia="楷体_GB2312" w:cs="Times New Roman"/>
          <w:b w:val="0"/>
          <w:bCs w:val="0"/>
          <w:color w:val="000000"/>
          <w:spacing w:val="0"/>
          <w:sz w:val="32"/>
          <w:szCs w:val="22"/>
        </w:rPr>
        <w:t>年</w:t>
      </w:r>
      <w:r>
        <w:rPr>
          <w:rFonts w:hint="eastAsia" w:ascii="Times New Roman" w:hAnsi="Times New Roman" w:eastAsia="楷体_GB2312" w:cs="Times New Roman"/>
          <w:b w:val="0"/>
          <w:bCs w:val="0"/>
          <w:color w:val="000000"/>
          <w:spacing w:val="0"/>
          <w:sz w:val="32"/>
          <w:szCs w:val="22"/>
          <w:lang w:val="en-US" w:eastAsia="zh-CN"/>
        </w:rPr>
        <w:t>5</w:t>
      </w:r>
      <w:r>
        <w:rPr>
          <w:rFonts w:ascii="Times New Roman" w:hAnsi="Times New Roman" w:eastAsia="楷体_GB2312" w:cs="Times New Roman"/>
          <w:b w:val="0"/>
          <w:bCs w:val="0"/>
          <w:color w:val="000000"/>
          <w:spacing w:val="0"/>
          <w:sz w:val="32"/>
          <w:szCs w:val="22"/>
        </w:rPr>
        <w:t>月</w:t>
      </w:r>
      <w:r>
        <w:rPr>
          <w:rFonts w:hint="eastAsia" w:ascii="Times New Roman" w:hAnsi="Times New Roman" w:eastAsia="楷体_GB2312" w:cs="Times New Roman"/>
          <w:b w:val="0"/>
          <w:bCs w:val="0"/>
          <w:color w:val="000000"/>
          <w:spacing w:val="0"/>
          <w:sz w:val="32"/>
          <w:szCs w:val="22"/>
          <w:lang w:val="en-US" w:eastAsia="zh-CN"/>
        </w:rPr>
        <w:t>9</w:t>
      </w:r>
      <w:r>
        <w:rPr>
          <w:rFonts w:ascii="Times New Roman" w:hAnsi="Times New Roman" w:eastAsia="楷体_GB2312" w:cs="Times New Roman"/>
          <w:b w:val="0"/>
          <w:bCs w:val="0"/>
          <w:color w:val="000000"/>
          <w:spacing w:val="0"/>
          <w:sz w:val="32"/>
          <w:szCs w:val="22"/>
        </w:rPr>
        <w:t>日</w:t>
      </w:r>
      <w:r>
        <w:rPr>
          <w:rFonts w:hint="eastAsia" w:ascii="Times New Roman" w:hAnsi="Times New Roman" w:eastAsia="楷体_GB2312" w:cs="Times New Roman"/>
          <w:b w:val="0"/>
          <w:bCs w:val="0"/>
          <w:color w:val="000000"/>
          <w:spacing w:val="0"/>
          <w:sz w:val="32"/>
          <w:szCs w:val="22"/>
          <w:lang w:val="en-US" w:eastAsia="zh-CN"/>
        </w:rPr>
        <w:t xml:space="preserve">    </w:t>
      </w:r>
    </w:p>
    <w:p>
      <w:pPr>
        <w:rPr>
          <w:rFonts w:hint="default" w:ascii="Times New Roman" w:hAnsi="Times New Roman" w:eastAsia="方正小标宋简体" w:cs="Times New Roman"/>
          <w:color w:val="000000" w:themeColor="text1"/>
          <w:sz w:val="44"/>
          <w:szCs w:val="44"/>
          <w:lang w:eastAsia="zh-CN"/>
          <w14:textFill>
            <w14:solidFill>
              <w14:schemeClr w14:val="tx1"/>
            </w14:solidFill>
          </w14:textFill>
        </w:rPr>
      </w:pPr>
    </w:p>
    <w:p>
      <w:pPr>
        <w:pStyle w:val="13"/>
        <w:keepNext w:val="0"/>
        <w:keepLines w:val="0"/>
        <w:pageBreakBefore w:val="0"/>
        <w:widowControl w:val="0"/>
        <w:tabs>
          <w:tab w:val="right" w:leader="dot" w:pos="8296"/>
        </w:tabs>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color w:val="000000" w:themeColor="text1"/>
          <w:sz w:val="44"/>
          <w:szCs w:val="44"/>
          <w:lang w:eastAsia="zh-CN"/>
          <w14:textFill>
            <w14:solidFill>
              <w14:schemeClr w14:val="tx1"/>
            </w14:solidFill>
          </w14:textFill>
        </w:rPr>
        <w:sectPr>
          <w:footerReference r:id="rId3" w:type="default"/>
          <w:pgSz w:w="11906" w:h="16838"/>
          <w:pgMar w:top="2098" w:right="1474" w:bottom="1984" w:left="1587" w:header="851" w:footer="1219" w:gutter="0"/>
          <w:pgNumType w:fmt="decimal"/>
          <w:cols w:space="0" w:num="1"/>
          <w:rtlGutter w:val="0"/>
          <w:docGrid w:type="lines" w:linePitch="312" w:charSpace="0"/>
        </w:sectPr>
      </w:pPr>
    </w:p>
    <w:p>
      <w:pPr>
        <w:pStyle w:val="13"/>
        <w:keepNext w:val="0"/>
        <w:keepLines w:val="0"/>
        <w:pageBreakBefore w:val="0"/>
        <w:widowControl w:val="0"/>
        <w:tabs>
          <w:tab w:val="right" w:leader="dot" w:pos="8296"/>
        </w:tabs>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color w:val="000000" w:themeColor="text1"/>
          <w:sz w:val="44"/>
          <w:szCs w:val="44"/>
          <w:lang w:eastAsia="zh-CN"/>
          <w14:textFill>
            <w14:solidFill>
              <w14:schemeClr w14:val="tx1"/>
            </w14:solidFill>
          </w14:textFill>
        </w:rPr>
      </w:pPr>
      <w:r>
        <w:rPr>
          <w:rFonts w:hint="default" w:ascii="Times New Roman" w:hAnsi="Times New Roman" w:eastAsia="方正小标宋简体" w:cs="Times New Roman"/>
          <w:color w:val="000000" w:themeColor="text1"/>
          <w:sz w:val="44"/>
          <w:szCs w:val="44"/>
          <w:lang w:eastAsia="zh-CN"/>
          <w14:textFill>
            <w14:solidFill>
              <w14:schemeClr w14:val="tx1"/>
            </w14:solidFill>
          </w14:textFill>
        </w:rPr>
        <w:t>濉溪县“十四五”服务业发展规划</w:t>
      </w:r>
    </w:p>
    <w:p>
      <w:pPr>
        <w:rPr>
          <w:rFonts w:hint="default" w:ascii="Times New Roman" w:hAnsi="Times New Roman" w:cs="Times New Roman"/>
          <w:lang w:eastAsia="zh-CN"/>
        </w:rPr>
      </w:pPr>
    </w:p>
    <w:p>
      <w:pPr>
        <w:pStyle w:val="13"/>
        <w:keepNext w:val="0"/>
        <w:keepLines w:val="0"/>
        <w:pageBreakBefore w:val="0"/>
        <w:widowControl w:val="0"/>
        <w:tabs>
          <w:tab w:val="right" w:leader="dot" w:pos="8296"/>
        </w:tabs>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color w:val="000000" w:themeColor="text1"/>
          <w:sz w:val="44"/>
          <w:szCs w:val="44"/>
          <w14:textFill>
            <w14:solidFill>
              <w14:schemeClr w14:val="tx1"/>
            </w14:solidFill>
          </w14:textFill>
        </w:rPr>
      </w:pPr>
      <w:r>
        <w:rPr>
          <w:rFonts w:hint="default" w:ascii="Times New Roman" w:hAnsi="Times New Roman" w:eastAsia="方正小标宋简体" w:cs="Times New Roman"/>
          <w:color w:val="000000" w:themeColor="text1"/>
          <w:sz w:val="44"/>
          <w:szCs w:val="44"/>
          <w14:textFill>
            <w14:solidFill>
              <w14:schemeClr w14:val="tx1"/>
            </w14:solidFill>
          </w14:textFill>
        </w:rPr>
        <w:t>目</w:t>
      </w:r>
      <w:r>
        <w:rPr>
          <w:rFonts w:hint="default" w:ascii="Times New Roman" w:hAnsi="Times New Roman" w:eastAsia="方正小标宋简体" w:cs="Times New Roman"/>
          <w:color w:val="000000" w:themeColor="text1"/>
          <w:sz w:val="44"/>
          <w:szCs w:val="44"/>
          <w:lang w:val="en-US" w:eastAsia="zh-CN"/>
          <w14:textFill>
            <w14:solidFill>
              <w14:schemeClr w14:val="tx1"/>
            </w14:solidFill>
          </w14:textFill>
        </w:rPr>
        <w:t xml:space="preserve">   </w:t>
      </w:r>
      <w:r>
        <w:rPr>
          <w:rFonts w:hint="default" w:ascii="Times New Roman" w:hAnsi="Times New Roman" w:eastAsia="方正小标宋简体" w:cs="Times New Roman"/>
          <w:color w:val="000000" w:themeColor="text1"/>
          <w:sz w:val="44"/>
          <w:szCs w:val="44"/>
          <w14:textFill>
            <w14:solidFill>
              <w14:schemeClr w14:val="tx1"/>
            </w14:solidFill>
          </w14:textFill>
        </w:rPr>
        <w:t>录</w:t>
      </w:r>
    </w:p>
    <w:p>
      <w:pPr>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rPr>
      </w:pPr>
    </w:p>
    <w:p>
      <w:pPr>
        <w:pStyle w:val="13"/>
        <w:keepNext w:val="0"/>
        <w:keepLines w:val="0"/>
        <w:pageBreakBefore w:val="0"/>
        <w:widowControl w:val="0"/>
        <w:tabs>
          <w:tab w:val="right" w:leader="dot" w:pos="8845"/>
        </w:tabs>
        <w:kinsoku/>
        <w:wordWrap/>
        <w:overflowPunct/>
        <w:topLinePunct w:val="0"/>
        <w:autoSpaceDE/>
        <w:autoSpaceDN/>
        <w:bidi w:val="0"/>
        <w:adjustRightInd/>
        <w:snapToGrid/>
        <w:spacing w:line="560" w:lineRule="exact"/>
        <w:ind w:left="800" w:leftChars="0" w:hanging="800" w:hangingChars="250"/>
        <w:textAlignment w:val="auto"/>
        <w:rPr>
          <w:rFonts w:hint="default" w:ascii="Times New Roman" w:hAnsi="Times New Roman" w:eastAsia="黑体" w:cs="Times New Roman"/>
          <w:sz w:val="32"/>
          <w:szCs w:val="32"/>
        </w:rPr>
      </w:pPr>
      <w:r>
        <w:rPr>
          <w:rFonts w:hint="default" w:ascii="Times New Roman" w:hAnsi="Times New Roman" w:eastAsia="仿宋_GB2312" w:cs="Times New Roman"/>
          <w:color w:val="000000" w:themeColor="text1"/>
          <w:sz w:val="32"/>
          <w:szCs w:val="32"/>
          <w14:textFill>
            <w14:solidFill>
              <w14:schemeClr w14:val="tx1"/>
            </w14:solidFill>
          </w14:textFill>
        </w:rPr>
        <w:fldChar w:fldCharType="begin"/>
      </w:r>
      <w:r>
        <w:rPr>
          <w:rFonts w:hint="default" w:ascii="Times New Roman" w:hAnsi="Times New Roman" w:eastAsia="仿宋_GB2312" w:cs="Times New Roman"/>
          <w:color w:val="000000" w:themeColor="text1"/>
          <w:sz w:val="32"/>
          <w:szCs w:val="32"/>
          <w14:textFill>
            <w14:solidFill>
              <w14:schemeClr w14:val="tx1"/>
            </w14:solidFill>
          </w14:textFill>
        </w:rPr>
        <w:instrText xml:space="preserve"> TOC \o "1-3" \h \z \u </w:instrText>
      </w:r>
      <w:r>
        <w:rPr>
          <w:rFonts w:hint="default" w:ascii="Times New Roman" w:hAnsi="Times New Roman" w:eastAsia="仿宋_GB2312" w:cs="Times New Roman"/>
          <w:color w:val="000000" w:themeColor="text1"/>
          <w:sz w:val="32"/>
          <w:szCs w:val="32"/>
          <w14:textFill>
            <w14:solidFill>
              <w14:schemeClr w14:val="tx1"/>
            </w14:solidFill>
          </w14:textFill>
        </w:rPr>
        <w:fldChar w:fldCharType="separate"/>
      </w:r>
      <w:r>
        <w:rPr>
          <w:rFonts w:hint="default" w:ascii="Times New Roman" w:hAnsi="Times New Roman" w:eastAsia="黑体" w:cs="Times New Roman"/>
          <w:color w:val="000000" w:themeColor="text1"/>
          <w:sz w:val="32"/>
          <w:szCs w:val="32"/>
          <w14:textFill>
            <w14:solidFill>
              <w14:schemeClr w14:val="tx1"/>
            </w14:solidFill>
          </w14:textFill>
        </w:rPr>
        <w:fldChar w:fldCharType="begin"/>
      </w:r>
      <w:r>
        <w:rPr>
          <w:rFonts w:hint="default" w:ascii="Times New Roman" w:hAnsi="Times New Roman" w:eastAsia="黑体" w:cs="Times New Roman"/>
          <w:sz w:val="32"/>
          <w:szCs w:val="32"/>
        </w:rPr>
        <w:instrText xml:space="preserve"> HYPERLINK \l _Toc26995 </w:instrText>
      </w:r>
      <w:r>
        <w:rPr>
          <w:rFonts w:hint="default" w:ascii="Times New Roman" w:hAnsi="Times New Roman" w:eastAsia="黑体" w:cs="Times New Roman"/>
          <w:sz w:val="32"/>
          <w:szCs w:val="32"/>
        </w:rPr>
        <w:fldChar w:fldCharType="separate"/>
      </w:r>
      <w:r>
        <w:rPr>
          <w:rFonts w:hint="default" w:ascii="Times New Roman" w:hAnsi="Times New Roman" w:eastAsia="黑体" w:cs="Times New Roman"/>
          <w:bCs w:val="0"/>
          <w:sz w:val="32"/>
          <w:szCs w:val="32"/>
        </w:rPr>
        <w:t>前  言</w:t>
      </w:r>
      <w:r>
        <w:rPr>
          <w:rFonts w:hint="default" w:ascii="Times New Roman" w:hAnsi="Times New Roman" w:eastAsia="黑体" w:cs="Times New Roman"/>
          <w:sz w:val="32"/>
          <w:szCs w:val="32"/>
        </w:rPr>
        <w:tab/>
      </w:r>
      <w:r>
        <w:rPr>
          <w:rFonts w:hint="default" w:ascii="Times New Roman" w:hAnsi="Times New Roman" w:eastAsia="黑体" w:cs="Times New Roman"/>
          <w:sz w:val="32"/>
          <w:szCs w:val="32"/>
        </w:rPr>
        <w:fldChar w:fldCharType="begin"/>
      </w:r>
      <w:r>
        <w:rPr>
          <w:rFonts w:hint="default" w:ascii="Times New Roman" w:hAnsi="Times New Roman" w:eastAsia="黑体" w:cs="Times New Roman"/>
          <w:sz w:val="32"/>
          <w:szCs w:val="32"/>
        </w:rPr>
        <w:instrText xml:space="preserve"> PAGEREF _Toc26995 \h </w:instrText>
      </w:r>
      <w:r>
        <w:rPr>
          <w:rFonts w:hint="default" w:ascii="Times New Roman" w:hAnsi="Times New Roman" w:eastAsia="黑体" w:cs="Times New Roman"/>
          <w:sz w:val="32"/>
          <w:szCs w:val="32"/>
        </w:rPr>
        <w:fldChar w:fldCharType="separate"/>
      </w:r>
      <w:r>
        <w:rPr>
          <w:rFonts w:hint="default" w:ascii="Times New Roman" w:hAnsi="Times New Roman" w:eastAsia="黑体" w:cs="Times New Roman"/>
          <w:sz w:val="32"/>
          <w:szCs w:val="32"/>
        </w:rPr>
        <w:t>1</w:t>
      </w:r>
      <w:r>
        <w:rPr>
          <w:rFonts w:hint="default" w:ascii="Times New Roman" w:hAnsi="Times New Roman" w:eastAsia="黑体" w:cs="Times New Roman"/>
          <w:sz w:val="32"/>
          <w:szCs w:val="32"/>
        </w:rPr>
        <w:fldChar w:fldCharType="end"/>
      </w:r>
      <w:r>
        <w:rPr>
          <w:rFonts w:hint="default" w:ascii="Times New Roman" w:hAnsi="Times New Roman" w:eastAsia="黑体" w:cs="Times New Roman"/>
          <w:color w:val="000000" w:themeColor="text1"/>
          <w:sz w:val="32"/>
          <w:szCs w:val="32"/>
          <w14:textFill>
            <w14:solidFill>
              <w14:schemeClr w14:val="tx1"/>
            </w14:solidFill>
          </w14:textFill>
        </w:rPr>
        <w:fldChar w:fldCharType="end"/>
      </w:r>
    </w:p>
    <w:p>
      <w:pPr>
        <w:pStyle w:val="13"/>
        <w:keepNext w:val="0"/>
        <w:keepLines w:val="0"/>
        <w:pageBreakBefore w:val="0"/>
        <w:widowControl w:val="0"/>
        <w:tabs>
          <w:tab w:val="right" w:leader="dot" w:pos="8845"/>
        </w:tabs>
        <w:kinsoku/>
        <w:wordWrap/>
        <w:overflowPunct/>
        <w:topLinePunct w:val="0"/>
        <w:autoSpaceDE/>
        <w:autoSpaceDN/>
        <w:bidi w:val="0"/>
        <w:adjustRightInd/>
        <w:snapToGrid/>
        <w:spacing w:line="560" w:lineRule="exact"/>
        <w:ind w:left="800" w:leftChars="0" w:hanging="800" w:hangingChars="250"/>
        <w:textAlignment w:val="auto"/>
        <w:rPr>
          <w:rFonts w:hint="default" w:ascii="Times New Roman" w:hAnsi="Times New Roman" w:eastAsia="黑体" w:cs="Times New Roman"/>
          <w:sz w:val="32"/>
          <w:szCs w:val="32"/>
        </w:rPr>
      </w:pPr>
      <w:r>
        <w:rPr>
          <w:rFonts w:hint="default" w:ascii="Times New Roman" w:hAnsi="Times New Roman" w:eastAsia="黑体" w:cs="Times New Roman"/>
          <w:color w:val="000000" w:themeColor="text1"/>
          <w:sz w:val="32"/>
          <w:szCs w:val="32"/>
          <w14:textFill>
            <w14:solidFill>
              <w14:schemeClr w14:val="tx1"/>
            </w14:solidFill>
          </w14:textFill>
        </w:rPr>
        <w:fldChar w:fldCharType="begin"/>
      </w:r>
      <w:r>
        <w:rPr>
          <w:rFonts w:hint="default" w:ascii="Times New Roman" w:hAnsi="Times New Roman" w:eastAsia="黑体" w:cs="Times New Roman"/>
          <w:sz w:val="32"/>
          <w:szCs w:val="32"/>
        </w:rPr>
        <w:instrText xml:space="preserve"> HYPERLINK \l _Toc5538 </w:instrText>
      </w:r>
      <w:r>
        <w:rPr>
          <w:rFonts w:hint="default" w:ascii="Times New Roman" w:hAnsi="Times New Roman" w:eastAsia="黑体" w:cs="Times New Roman"/>
          <w:sz w:val="32"/>
          <w:szCs w:val="32"/>
        </w:rPr>
        <w:fldChar w:fldCharType="separate"/>
      </w:r>
      <w:r>
        <w:rPr>
          <w:rFonts w:hint="default" w:ascii="Times New Roman" w:hAnsi="Times New Roman" w:eastAsia="黑体" w:cs="Times New Roman"/>
          <w:bCs w:val="0"/>
          <w:sz w:val="32"/>
          <w:szCs w:val="32"/>
        </w:rPr>
        <w:t>第一章  发展基础及环境分析</w:t>
      </w:r>
      <w:r>
        <w:rPr>
          <w:rFonts w:hint="default" w:ascii="Times New Roman" w:hAnsi="Times New Roman" w:eastAsia="黑体" w:cs="Times New Roman"/>
          <w:sz w:val="32"/>
          <w:szCs w:val="32"/>
        </w:rPr>
        <w:tab/>
      </w:r>
      <w:r>
        <w:rPr>
          <w:rFonts w:hint="default" w:ascii="Times New Roman" w:hAnsi="Times New Roman" w:eastAsia="黑体" w:cs="Times New Roman"/>
          <w:sz w:val="32"/>
          <w:szCs w:val="32"/>
        </w:rPr>
        <w:fldChar w:fldCharType="begin"/>
      </w:r>
      <w:r>
        <w:rPr>
          <w:rFonts w:hint="default" w:ascii="Times New Roman" w:hAnsi="Times New Roman" w:eastAsia="黑体" w:cs="Times New Roman"/>
          <w:sz w:val="32"/>
          <w:szCs w:val="32"/>
        </w:rPr>
        <w:instrText xml:space="preserve"> PAGEREF _Toc5538 \h </w:instrText>
      </w:r>
      <w:r>
        <w:rPr>
          <w:rFonts w:hint="default" w:ascii="Times New Roman" w:hAnsi="Times New Roman" w:eastAsia="黑体" w:cs="Times New Roman"/>
          <w:sz w:val="32"/>
          <w:szCs w:val="32"/>
        </w:rPr>
        <w:fldChar w:fldCharType="separate"/>
      </w:r>
      <w:r>
        <w:rPr>
          <w:rFonts w:hint="default" w:ascii="Times New Roman" w:hAnsi="Times New Roman" w:eastAsia="黑体" w:cs="Times New Roman"/>
          <w:sz w:val="32"/>
          <w:szCs w:val="32"/>
        </w:rPr>
        <w:t>2</w:t>
      </w:r>
      <w:r>
        <w:rPr>
          <w:rFonts w:hint="default" w:ascii="Times New Roman" w:hAnsi="Times New Roman" w:eastAsia="黑体" w:cs="Times New Roman"/>
          <w:sz w:val="32"/>
          <w:szCs w:val="32"/>
        </w:rPr>
        <w:fldChar w:fldCharType="end"/>
      </w:r>
      <w:r>
        <w:rPr>
          <w:rFonts w:hint="default" w:ascii="Times New Roman" w:hAnsi="Times New Roman" w:eastAsia="黑体" w:cs="Times New Roman"/>
          <w:color w:val="000000" w:themeColor="text1"/>
          <w:sz w:val="32"/>
          <w:szCs w:val="32"/>
          <w14:textFill>
            <w14:solidFill>
              <w14:schemeClr w14:val="tx1"/>
            </w14:solidFill>
          </w14:textFill>
        </w:rPr>
        <w:fldChar w:fldCharType="end"/>
      </w:r>
    </w:p>
    <w:p>
      <w:pPr>
        <w:pStyle w:val="14"/>
        <w:keepNext w:val="0"/>
        <w:keepLines w:val="0"/>
        <w:pageBreakBefore w:val="0"/>
        <w:widowControl w:val="0"/>
        <w:tabs>
          <w:tab w:val="right" w:leader="dot" w:pos="8845"/>
        </w:tabs>
        <w:kinsoku/>
        <w:wordWrap/>
        <w:overflowPunct/>
        <w:topLinePunct w:val="0"/>
        <w:autoSpaceDE/>
        <w:autoSpaceDN/>
        <w:bidi w:val="0"/>
        <w:adjustRightInd/>
        <w:snapToGrid/>
        <w:spacing w:line="560" w:lineRule="exact"/>
        <w:ind w:left="800" w:leftChars="0" w:hanging="800" w:hangingChars="250"/>
        <w:textAlignment w:val="auto"/>
        <w:rPr>
          <w:rFonts w:hint="default" w:ascii="Times New Roman" w:hAnsi="Times New Roman" w:eastAsia="楷体_GB2312" w:cs="Times New Roman"/>
          <w:b w:val="0"/>
          <w:bCs w:val="0"/>
          <w:sz w:val="32"/>
          <w:szCs w:val="32"/>
        </w:rPr>
      </w:pPr>
      <w:r>
        <w:rPr>
          <w:rFonts w:hint="default" w:ascii="Times New Roman" w:hAnsi="Times New Roman" w:eastAsia="楷体_GB2312" w:cs="Times New Roman"/>
          <w:b w:val="0"/>
          <w:bCs w:val="0"/>
          <w:color w:val="000000" w:themeColor="text1"/>
          <w:sz w:val="32"/>
          <w:szCs w:val="32"/>
          <w14:textFill>
            <w14:solidFill>
              <w14:schemeClr w14:val="tx1"/>
            </w14:solidFill>
          </w14:textFill>
        </w:rPr>
        <w:fldChar w:fldCharType="begin"/>
      </w:r>
      <w:r>
        <w:rPr>
          <w:rFonts w:hint="default" w:ascii="Times New Roman" w:hAnsi="Times New Roman" w:eastAsia="楷体_GB2312" w:cs="Times New Roman"/>
          <w:b w:val="0"/>
          <w:bCs w:val="0"/>
          <w:sz w:val="32"/>
          <w:szCs w:val="32"/>
        </w:rPr>
        <w:instrText xml:space="preserve"> HYPERLINK \l _Toc19106 </w:instrText>
      </w:r>
      <w:r>
        <w:rPr>
          <w:rFonts w:hint="default" w:ascii="Times New Roman" w:hAnsi="Times New Roman" w:eastAsia="楷体_GB2312" w:cs="Times New Roman"/>
          <w:b w:val="0"/>
          <w:bCs w:val="0"/>
          <w:sz w:val="32"/>
          <w:szCs w:val="32"/>
        </w:rPr>
        <w:fldChar w:fldCharType="separate"/>
      </w:r>
      <w:r>
        <w:rPr>
          <w:rFonts w:hint="default" w:ascii="Times New Roman" w:hAnsi="Times New Roman" w:eastAsia="楷体_GB2312" w:cs="Times New Roman"/>
          <w:b w:val="0"/>
          <w:bCs w:val="0"/>
          <w:sz w:val="32"/>
          <w:szCs w:val="32"/>
        </w:rPr>
        <w:t>一、取得的成就</w:t>
      </w:r>
      <w:r>
        <w:rPr>
          <w:rFonts w:hint="default" w:ascii="Times New Roman" w:hAnsi="Times New Roman" w:eastAsia="楷体_GB2312" w:cs="Times New Roman"/>
          <w:b w:val="0"/>
          <w:bCs w:val="0"/>
          <w:sz w:val="32"/>
          <w:szCs w:val="32"/>
        </w:rPr>
        <w:tab/>
      </w:r>
      <w:r>
        <w:rPr>
          <w:rFonts w:hint="default" w:ascii="Times New Roman" w:hAnsi="Times New Roman" w:eastAsia="楷体_GB2312" w:cs="Times New Roman"/>
          <w:b w:val="0"/>
          <w:bCs w:val="0"/>
          <w:sz w:val="32"/>
          <w:szCs w:val="32"/>
        </w:rPr>
        <w:fldChar w:fldCharType="begin"/>
      </w:r>
      <w:r>
        <w:rPr>
          <w:rFonts w:hint="default" w:ascii="Times New Roman" w:hAnsi="Times New Roman" w:eastAsia="楷体_GB2312" w:cs="Times New Roman"/>
          <w:b w:val="0"/>
          <w:bCs w:val="0"/>
          <w:sz w:val="32"/>
          <w:szCs w:val="32"/>
        </w:rPr>
        <w:instrText xml:space="preserve"> PAGEREF _Toc19106 \h </w:instrText>
      </w:r>
      <w:r>
        <w:rPr>
          <w:rFonts w:hint="default" w:ascii="Times New Roman" w:hAnsi="Times New Roman" w:eastAsia="楷体_GB2312" w:cs="Times New Roman"/>
          <w:b w:val="0"/>
          <w:bCs w:val="0"/>
          <w:sz w:val="32"/>
          <w:szCs w:val="32"/>
        </w:rPr>
        <w:fldChar w:fldCharType="separate"/>
      </w:r>
      <w:r>
        <w:rPr>
          <w:rFonts w:hint="default" w:ascii="Times New Roman" w:hAnsi="Times New Roman" w:eastAsia="楷体_GB2312" w:cs="Times New Roman"/>
          <w:b w:val="0"/>
          <w:bCs w:val="0"/>
          <w:sz w:val="32"/>
          <w:szCs w:val="32"/>
        </w:rPr>
        <w:t>2</w:t>
      </w:r>
      <w:r>
        <w:rPr>
          <w:rFonts w:hint="default" w:ascii="Times New Roman" w:hAnsi="Times New Roman" w:eastAsia="楷体_GB2312" w:cs="Times New Roman"/>
          <w:b w:val="0"/>
          <w:bCs w:val="0"/>
          <w:sz w:val="32"/>
          <w:szCs w:val="32"/>
        </w:rPr>
        <w:fldChar w:fldCharType="end"/>
      </w:r>
      <w:r>
        <w:rPr>
          <w:rFonts w:hint="default" w:ascii="Times New Roman" w:hAnsi="Times New Roman" w:eastAsia="楷体_GB2312" w:cs="Times New Roman"/>
          <w:b w:val="0"/>
          <w:bCs w:val="0"/>
          <w:color w:val="000000" w:themeColor="text1"/>
          <w:sz w:val="32"/>
          <w:szCs w:val="32"/>
          <w14:textFill>
            <w14:solidFill>
              <w14:schemeClr w14:val="tx1"/>
            </w14:solidFill>
          </w14:textFill>
        </w:rPr>
        <w:fldChar w:fldCharType="end"/>
      </w:r>
    </w:p>
    <w:p>
      <w:pPr>
        <w:pStyle w:val="8"/>
        <w:keepNext w:val="0"/>
        <w:keepLines w:val="0"/>
        <w:pageBreakBefore w:val="0"/>
        <w:widowControl w:val="0"/>
        <w:tabs>
          <w:tab w:val="right" w:leader="dot" w:pos="8845"/>
        </w:tabs>
        <w:kinsoku/>
        <w:wordWrap/>
        <w:overflowPunct/>
        <w:topLinePunct w:val="0"/>
        <w:autoSpaceDE/>
        <w:autoSpaceDN/>
        <w:bidi w:val="0"/>
        <w:adjustRightInd/>
        <w:snapToGrid/>
        <w:spacing w:line="560" w:lineRule="exact"/>
        <w:ind w:left="800" w:leftChars="0" w:hanging="800" w:hangingChars="25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themeColor="text1"/>
          <w:sz w:val="32"/>
          <w:szCs w:val="32"/>
          <w14:textFill>
            <w14:solidFill>
              <w14:schemeClr w14:val="tx1"/>
            </w14:solidFill>
          </w14:textFill>
        </w:rPr>
        <w:fldChar w:fldCharType="begin"/>
      </w:r>
      <w:r>
        <w:rPr>
          <w:rFonts w:hint="default" w:ascii="Times New Roman" w:hAnsi="Times New Roman" w:eastAsia="仿宋_GB2312" w:cs="Times New Roman"/>
          <w:sz w:val="32"/>
          <w:szCs w:val="32"/>
        </w:rPr>
        <w:instrText xml:space="preserve"> HYPERLINK \l _Toc8041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（一）服务业总体发展态势良好</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_Toc8041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2</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color w:val="000000" w:themeColor="text1"/>
          <w:sz w:val="32"/>
          <w:szCs w:val="32"/>
          <w14:textFill>
            <w14:solidFill>
              <w14:schemeClr w14:val="tx1"/>
            </w14:solidFill>
          </w14:textFill>
        </w:rPr>
        <w:fldChar w:fldCharType="end"/>
      </w:r>
    </w:p>
    <w:p>
      <w:pPr>
        <w:pStyle w:val="8"/>
        <w:keepNext w:val="0"/>
        <w:keepLines w:val="0"/>
        <w:pageBreakBefore w:val="0"/>
        <w:widowControl w:val="0"/>
        <w:tabs>
          <w:tab w:val="right" w:leader="dot" w:pos="8845"/>
        </w:tabs>
        <w:kinsoku/>
        <w:wordWrap/>
        <w:overflowPunct/>
        <w:topLinePunct w:val="0"/>
        <w:autoSpaceDE/>
        <w:autoSpaceDN/>
        <w:bidi w:val="0"/>
        <w:adjustRightInd/>
        <w:snapToGrid/>
        <w:spacing w:line="560" w:lineRule="exact"/>
        <w:ind w:left="800" w:leftChars="0" w:hanging="800" w:hangingChars="25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themeColor="text1"/>
          <w:sz w:val="32"/>
          <w:szCs w:val="32"/>
          <w14:textFill>
            <w14:solidFill>
              <w14:schemeClr w14:val="tx1"/>
            </w14:solidFill>
          </w14:textFill>
        </w:rPr>
        <w:fldChar w:fldCharType="begin"/>
      </w:r>
      <w:r>
        <w:rPr>
          <w:rFonts w:hint="default" w:ascii="Times New Roman" w:hAnsi="Times New Roman" w:eastAsia="仿宋_GB2312" w:cs="Times New Roman"/>
          <w:sz w:val="32"/>
          <w:szCs w:val="32"/>
        </w:rPr>
        <w:instrText xml:space="preserve"> HYPERLINK \l _Toc9326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（二）商贸流通业实现快速发展</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_Toc9326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3</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color w:val="000000" w:themeColor="text1"/>
          <w:sz w:val="32"/>
          <w:szCs w:val="32"/>
          <w14:textFill>
            <w14:solidFill>
              <w14:schemeClr w14:val="tx1"/>
            </w14:solidFill>
          </w14:textFill>
        </w:rPr>
        <w:fldChar w:fldCharType="end"/>
      </w:r>
    </w:p>
    <w:p>
      <w:pPr>
        <w:pStyle w:val="8"/>
        <w:keepNext w:val="0"/>
        <w:keepLines w:val="0"/>
        <w:pageBreakBefore w:val="0"/>
        <w:widowControl w:val="0"/>
        <w:tabs>
          <w:tab w:val="right" w:leader="dot" w:pos="8845"/>
        </w:tabs>
        <w:kinsoku/>
        <w:wordWrap/>
        <w:overflowPunct/>
        <w:topLinePunct w:val="0"/>
        <w:autoSpaceDE/>
        <w:autoSpaceDN/>
        <w:bidi w:val="0"/>
        <w:adjustRightInd/>
        <w:snapToGrid/>
        <w:spacing w:line="560" w:lineRule="exact"/>
        <w:ind w:left="800" w:leftChars="0" w:hanging="800" w:hangingChars="25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themeColor="text1"/>
          <w:sz w:val="32"/>
          <w:szCs w:val="32"/>
          <w14:textFill>
            <w14:solidFill>
              <w14:schemeClr w14:val="tx1"/>
            </w14:solidFill>
          </w14:textFill>
        </w:rPr>
        <w:fldChar w:fldCharType="begin"/>
      </w:r>
      <w:r>
        <w:rPr>
          <w:rFonts w:hint="default" w:ascii="Times New Roman" w:hAnsi="Times New Roman" w:eastAsia="仿宋_GB2312" w:cs="Times New Roman"/>
          <w:sz w:val="32"/>
          <w:szCs w:val="32"/>
        </w:rPr>
        <w:instrText xml:space="preserve"> HYPERLINK \l _Toc12100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（三）电子商务业保持高速发展</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_Toc12100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3</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color w:val="000000" w:themeColor="text1"/>
          <w:sz w:val="32"/>
          <w:szCs w:val="32"/>
          <w14:textFill>
            <w14:solidFill>
              <w14:schemeClr w14:val="tx1"/>
            </w14:solidFill>
          </w14:textFill>
        </w:rPr>
        <w:fldChar w:fldCharType="end"/>
      </w:r>
    </w:p>
    <w:p>
      <w:pPr>
        <w:pStyle w:val="8"/>
        <w:keepNext w:val="0"/>
        <w:keepLines w:val="0"/>
        <w:pageBreakBefore w:val="0"/>
        <w:widowControl w:val="0"/>
        <w:tabs>
          <w:tab w:val="right" w:leader="dot" w:pos="8845"/>
        </w:tabs>
        <w:kinsoku/>
        <w:wordWrap/>
        <w:overflowPunct/>
        <w:topLinePunct w:val="0"/>
        <w:autoSpaceDE/>
        <w:autoSpaceDN/>
        <w:bidi w:val="0"/>
        <w:adjustRightInd/>
        <w:snapToGrid/>
        <w:spacing w:line="560" w:lineRule="exact"/>
        <w:ind w:left="800" w:leftChars="0" w:hanging="800" w:hangingChars="25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themeColor="text1"/>
          <w:sz w:val="32"/>
          <w:szCs w:val="32"/>
          <w14:textFill>
            <w14:solidFill>
              <w14:schemeClr w14:val="tx1"/>
            </w14:solidFill>
          </w14:textFill>
        </w:rPr>
        <w:fldChar w:fldCharType="begin"/>
      </w:r>
      <w:r>
        <w:rPr>
          <w:rFonts w:hint="default" w:ascii="Times New Roman" w:hAnsi="Times New Roman" w:eastAsia="仿宋_GB2312" w:cs="Times New Roman"/>
          <w:sz w:val="32"/>
          <w:szCs w:val="32"/>
        </w:rPr>
        <w:instrText xml:space="preserve"> HYPERLINK \l _Toc5437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（四）金融服务业功能持续强化</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_Toc5437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4</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color w:val="000000" w:themeColor="text1"/>
          <w:sz w:val="32"/>
          <w:szCs w:val="32"/>
          <w14:textFill>
            <w14:solidFill>
              <w14:schemeClr w14:val="tx1"/>
            </w14:solidFill>
          </w14:textFill>
        </w:rPr>
        <w:fldChar w:fldCharType="end"/>
      </w:r>
    </w:p>
    <w:p>
      <w:pPr>
        <w:pStyle w:val="8"/>
        <w:keepNext w:val="0"/>
        <w:keepLines w:val="0"/>
        <w:pageBreakBefore w:val="0"/>
        <w:widowControl w:val="0"/>
        <w:tabs>
          <w:tab w:val="right" w:leader="dot" w:pos="8845"/>
        </w:tabs>
        <w:kinsoku/>
        <w:wordWrap/>
        <w:overflowPunct/>
        <w:topLinePunct w:val="0"/>
        <w:autoSpaceDE/>
        <w:autoSpaceDN/>
        <w:bidi w:val="0"/>
        <w:adjustRightInd/>
        <w:snapToGrid/>
        <w:spacing w:line="560" w:lineRule="exact"/>
        <w:ind w:left="800" w:leftChars="0" w:hanging="800" w:hangingChars="25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themeColor="text1"/>
          <w:sz w:val="32"/>
          <w:szCs w:val="32"/>
          <w14:textFill>
            <w14:solidFill>
              <w14:schemeClr w14:val="tx1"/>
            </w14:solidFill>
          </w14:textFill>
        </w:rPr>
        <w:fldChar w:fldCharType="begin"/>
      </w:r>
      <w:r>
        <w:rPr>
          <w:rFonts w:hint="default" w:ascii="Times New Roman" w:hAnsi="Times New Roman" w:eastAsia="仿宋_GB2312" w:cs="Times New Roman"/>
          <w:sz w:val="32"/>
          <w:szCs w:val="32"/>
        </w:rPr>
        <w:instrText xml:space="preserve"> HYPERLINK \l _Toc4948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（五）科技服务业发展势头强劲</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_Toc4948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4</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color w:val="000000" w:themeColor="text1"/>
          <w:sz w:val="32"/>
          <w:szCs w:val="32"/>
          <w14:textFill>
            <w14:solidFill>
              <w14:schemeClr w14:val="tx1"/>
            </w14:solidFill>
          </w14:textFill>
        </w:rPr>
        <w:fldChar w:fldCharType="end"/>
      </w:r>
    </w:p>
    <w:p>
      <w:pPr>
        <w:pStyle w:val="8"/>
        <w:keepNext w:val="0"/>
        <w:keepLines w:val="0"/>
        <w:pageBreakBefore w:val="0"/>
        <w:widowControl w:val="0"/>
        <w:tabs>
          <w:tab w:val="right" w:leader="dot" w:pos="8845"/>
        </w:tabs>
        <w:kinsoku/>
        <w:wordWrap/>
        <w:overflowPunct/>
        <w:topLinePunct w:val="0"/>
        <w:autoSpaceDE/>
        <w:autoSpaceDN/>
        <w:bidi w:val="0"/>
        <w:adjustRightInd/>
        <w:snapToGrid/>
        <w:spacing w:line="560" w:lineRule="exact"/>
        <w:ind w:left="800" w:leftChars="0" w:hanging="800" w:hangingChars="25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themeColor="text1"/>
          <w:sz w:val="32"/>
          <w:szCs w:val="32"/>
          <w14:textFill>
            <w14:solidFill>
              <w14:schemeClr w14:val="tx1"/>
            </w14:solidFill>
          </w14:textFill>
        </w:rPr>
        <w:fldChar w:fldCharType="begin"/>
      </w:r>
      <w:r>
        <w:rPr>
          <w:rFonts w:hint="default" w:ascii="Times New Roman" w:hAnsi="Times New Roman" w:eastAsia="仿宋_GB2312" w:cs="Times New Roman"/>
          <w:sz w:val="32"/>
          <w:szCs w:val="32"/>
        </w:rPr>
        <w:instrText xml:space="preserve"> HYPERLINK \l _Toc32442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（六）文化和旅游业协调发展</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_Toc32442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5</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color w:val="000000" w:themeColor="text1"/>
          <w:sz w:val="32"/>
          <w:szCs w:val="32"/>
          <w14:textFill>
            <w14:solidFill>
              <w14:schemeClr w14:val="tx1"/>
            </w14:solidFill>
          </w14:textFill>
        </w:rPr>
        <w:fldChar w:fldCharType="end"/>
      </w:r>
    </w:p>
    <w:p>
      <w:pPr>
        <w:pStyle w:val="8"/>
        <w:keepNext w:val="0"/>
        <w:keepLines w:val="0"/>
        <w:pageBreakBefore w:val="0"/>
        <w:widowControl w:val="0"/>
        <w:tabs>
          <w:tab w:val="right" w:leader="dot" w:pos="8845"/>
        </w:tabs>
        <w:kinsoku/>
        <w:wordWrap/>
        <w:overflowPunct/>
        <w:topLinePunct w:val="0"/>
        <w:autoSpaceDE/>
        <w:autoSpaceDN/>
        <w:bidi w:val="0"/>
        <w:adjustRightInd/>
        <w:snapToGrid/>
        <w:spacing w:line="560" w:lineRule="exact"/>
        <w:ind w:left="800" w:leftChars="0" w:hanging="800" w:hangingChars="25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themeColor="text1"/>
          <w:sz w:val="32"/>
          <w:szCs w:val="32"/>
          <w14:textFill>
            <w14:solidFill>
              <w14:schemeClr w14:val="tx1"/>
            </w14:solidFill>
          </w14:textFill>
        </w:rPr>
        <w:fldChar w:fldCharType="begin"/>
      </w:r>
      <w:r>
        <w:rPr>
          <w:rFonts w:hint="default" w:ascii="Times New Roman" w:hAnsi="Times New Roman" w:eastAsia="仿宋_GB2312" w:cs="Times New Roman"/>
          <w:sz w:val="32"/>
          <w:szCs w:val="32"/>
        </w:rPr>
        <w:instrText xml:space="preserve"> HYPERLINK \l _Toc27256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（七）重点项目建设推进顺利</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_Toc27256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5</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color w:val="000000" w:themeColor="text1"/>
          <w:sz w:val="32"/>
          <w:szCs w:val="32"/>
          <w14:textFill>
            <w14:solidFill>
              <w14:schemeClr w14:val="tx1"/>
            </w14:solidFill>
          </w14:textFill>
        </w:rPr>
        <w:fldChar w:fldCharType="end"/>
      </w:r>
    </w:p>
    <w:p>
      <w:pPr>
        <w:pStyle w:val="8"/>
        <w:keepNext w:val="0"/>
        <w:keepLines w:val="0"/>
        <w:pageBreakBefore w:val="0"/>
        <w:widowControl w:val="0"/>
        <w:tabs>
          <w:tab w:val="right" w:leader="dot" w:pos="8845"/>
        </w:tabs>
        <w:kinsoku/>
        <w:wordWrap/>
        <w:overflowPunct/>
        <w:topLinePunct w:val="0"/>
        <w:autoSpaceDE/>
        <w:autoSpaceDN/>
        <w:bidi w:val="0"/>
        <w:adjustRightInd/>
        <w:snapToGrid/>
        <w:spacing w:line="560" w:lineRule="exact"/>
        <w:ind w:left="800" w:leftChars="0" w:hanging="800" w:hangingChars="25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themeColor="text1"/>
          <w:sz w:val="32"/>
          <w:szCs w:val="32"/>
          <w14:textFill>
            <w14:solidFill>
              <w14:schemeClr w14:val="tx1"/>
            </w14:solidFill>
          </w14:textFill>
        </w:rPr>
        <w:fldChar w:fldCharType="begin"/>
      </w:r>
      <w:r>
        <w:rPr>
          <w:rFonts w:hint="default" w:ascii="Times New Roman" w:hAnsi="Times New Roman" w:eastAsia="仿宋_GB2312" w:cs="Times New Roman"/>
          <w:sz w:val="32"/>
          <w:szCs w:val="32"/>
        </w:rPr>
        <w:instrText xml:space="preserve"> HYPERLINK \l _Toc16545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（八）存在的不足</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_Toc16545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6</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color w:val="000000" w:themeColor="text1"/>
          <w:sz w:val="32"/>
          <w:szCs w:val="32"/>
          <w14:textFill>
            <w14:solidFill>
              <w14:schemeClr w14:val="tx1"/>
            </w14:solidFill>
          </w14:textFill>
        </w:rPr>
        <w:fldChar w:fldCharType="end"/>
      </w:r>
    </w:p>
    <w:p>
      <w:pPr>
        <w:pStyle w:val="14"/>
        <w:keepNext w:val="0"/>
        <w:keepLines w:val="0"/>
        <w:pageBreakBefore w:val="0"/>
        <w:widowControl w:val="0"/>
        <w:tabs>
          <w:tab w:val="right" w:leader="dot" w:pos="8845"/>
        </w:tabs>
        <w:kinsoku/>
        <w:wordWrap/>
        <w:overflowPunct/>
        <w:topLinePunct w:val="0"/>
        <w:autoSpaceDE/>
        <w:autoSpaceDN/>
        <w:bidi w:val="0"/>
        <w:adjustRightInd/>
        <w:snapToGrid/>
        <w:spacing w:line="560" w:lineRule="exact"/>
        <w:ind w:left="800" w:leftChars="0" w:hanging="800" w:hangingChars="250"/>
        <w:textAlignment w:val="auto"/>
        <w:rPr>
          <w:rFonts w:hint="default" w:ascii="Times New Roman" w:hAnsi="Times New Roman" w:eastAsia="楷体_GB2312" w:cs="Times New Roman"/>
          <w:b w:val="0"/>
          <w:bCs w:val="0"/>
          <w:color w:val="000000" w:themeColor="text1"/>
          <w:sz w:val="32"/>
          <w:szCs w:val="32"/>
          <w14:textFill>
            <w14:solidFill>
              <w14:schemeClr w14:val="tx1"/>
            </w14:solidFill>
          </w14:textFill>
        </w:rPr>
      </w:pPr>
      <w:r>
        <w:rPr>
          <w:rFonts w:hint="default" w:ascii="Times New Roman" w:hAnsi="Times New Roman" w:eastAsia="楷体_GB2312" w:cs="Times New Roman"/>
          <w:b w:val="0"/>
          <w:bCs w:val="0"/>
          <w:color w:val="000000" w:themeColor="text1"/>
          <w:sz w:val="32"/>
          <w:szCs w:val="32"/>
          <w14:textFill>
            <w14:solidFill>
              <w14:schemeClr w14:val="tx1"/>
            </w14:solidFill>
          </w14:textFill>
        </w:rPr>
        <w:fldChar w:fldCharType="begin"/>
      </w:r>
      <w:r>
        <w:rPr>
          <w:rFonts w:hint="default" w:ascii="Times New Roman" w:hAnsi="Times New Roman" w:eastAsia="楷体_GB2312" w:cs="Times New Roman"/>
          <w:b w:val="0"/>
          <w:bCs w:val="0"/>
          <w:color w:val="000000" w:themeColor="text1"/>
          <w:sz w:val="32"/>
          <w:szCs w:val="32"/>
          <w14:textFill>
            <w14:solidFill>
              <w14:schemeClr w14:val="tx1"/>
            </w14:solidFill>
          </w14:textFill>
        </w:rPr>
        <w:instrText xml:space="preserve"> HYPERLINK \l _Toc18541 </w:instrText>
      </w:r>
      <w:r>
        <w:rPr>
          <w:rFonts w:hint="default" w:ascii="Times New Roman" w:hAnsi="Times New Roman" w:eastAsia="楷体_GB2312" w:cs="Times New Roman"/>
          <w:b w:val="0"/>
          <w:bCs w:val="0"/>
          <w:color w:val="000000" w:themeColor="text1"/>
          <w:sz w:val="32"/>
          <w:szCs w:val="32"/>
          <w14:textFill>
            <w14:solidFill>
              <w14:schemeClr w14:val="tx1"/>
            </w14:solidFill>
          </w14:textFill>
        </w:rPr>
        <w:fldChar w:fldCharType="separate"/>
      </w:r>
      <w:r>
        <w:rPr>
          <w:rFonts w:hint="default" w:ascii="Times New Roman" w:hAnsi="Times New Roman" w:eastAsia="楷体_GB2312" w:cs="Times New Roman"/>
          <w:b w:val="0"/>
          <w:bCs w:val="0"/>
          <w:color w:val="000000" w:themeColor="text1"/>
          <w:sz w:val="32"/>
          <w:szCs w:val="32"/>
          <w14:textFill>
            <w14:solidFill>
              <w14:schemeClr w14:val="tx1"/>
            </w14:solidFill>
          </w14:textFill>
        </w:rPr>
        <w:t>二、面临的环境</w:t>
      </w:r>
      <w:r>
        <w:rPr>
          <w:rFonts w:hint="default" w:ascii="Times New Roman" w:hAnsi="Times New Roman" w:eastAsia="楷体_GB2312" w:cs="Times New Roman"/>
          <w:b w:val="0"/>
          <w:bCs w:val="0"/>
          <w:color w:val="000000" w:themeColor="text1"/>
          <w:sz w:val="32"/>
          <w:szCs w:val="32"/>
          <w14:textFill>
            <w14:solidFill>
              <w14:schemeClr w14:val="tx1"/>
            </w14:solidFill>
          </w14:textFill>
        </w:rPr>
        <w:tab/>
      </w:r>
      <w:r>
        <w:rPr>
          <w:rFonts w:hint="default" w:ascii="Times New Roman" w:hAnsi="Times New Roman" w:eastAsia="楷体_GB2312" w:cs="Times New Roman"/>
          <w:b w:val="0"/>
          <w:bCs w:val="0"/>
          <w:color w:val="000000" w:themeColor="text1"/>
          <w:sz w:val="32"/>
          <w:szCs w:val="32"/>
          <w14:textFill>
            <w14:solidFill>
              <w14:schemeClr w14:val="tx1"/>
            </w14:solidFill>
          </w14:textFill>
        </w:rPr>
        <w:fldChar w:fldCharType="begin"/>
      </w:r>
      <w:r>
        <w:rPr>
          <w:rFonts w:hint="default" w:ascii="Times New Roman" w:hAnsi="Times New Roman" w:eastAsia="楷体_GB2312" w:cs="Times New Roman"/>
          <w:b w:val="0"/>
          <w:bCs w:val="0"/>
          <w:color w:val="000000" w:themeColor="text1"/>
          <w:sz w:val="32"/>
          <w:szCs w:val="32"/>
          <w14:textFill>
            <w14:solidFill>
              <w14:schemeClr w14:val="tx1"/>
            </w14:solidFill>
          </w14:textFill>
        </w:rPr>
        <w:instrText xml:space="preserve"> PAGEREF _Toc18541 \h </w:instrText>
      </w:r>
      <w:r>
        <w:rPr>
          <w:rFonts w:hint="default" w:ascii="Times New Roman" w:hAnsi="Times New Roman" w:eastAsia="楷体_GB2312" w:cs="Times New Roman"/>
          <w:b w:val="0"/>
          <w:bCs w:val="0"/>
          <w:color w:val="000000" w:themeColor="text1"/>
          <w:sz w:val="32"/>
          <w:szCs w:val="32"/>
          <w14:textFill>
            <w14:solidFill>
              <w14:schemeClr w14:val="tx1"/>
            </w14:solidFill>
          </w14:textFill>
        </w:rPr>
        <w:fldChar w:fldCharType="separate"/>
      </w:r>
      <w:r>
        <w:rPr>
          <w:rFonts w:hint="default" w:ascii="Times New Roman" w:hAnsi="Times New Roman" w:eastAsia="楷体_GB2312" w:cs="Times New Roman"/>
          <w:b w:val="0"/>
          <w:bCs w:val="0"/>
          <w:color w:val="000000" w:themeColor="text1"/>
          <w:sz w:val="32"/>
          <w:szCs w:val="32"/>
          <w14:textFill>
            <w14:solidFill>
              <w14:schemeClr w14:val="tx1"/>
            </w14:solidFill>
          </w14:textFill>
        </w:rPr>
        <w:t>7</w:t>
      </w:r>
      <w:r>
        <w:rPr>
          <w:rFonts w:hint="default" w:ascii="Times New Roman" w:hAnsi="Times New Roman" w:eastAsia="楷体_GB2312" w:cs="Times New Roman"/>
          <w:b w:val="0"/>
          <w:bCs w:val="0"/>
          <w:color w:val="000000" w:themeColor="text1"/>
          <w:sz w:val="32"/>
          <w:szCs w:val="32"/>
          <w14:textFill>
            <w14:solidFill>
              <w14:schemeClr w14:val="tx1"/>
            </w14:solidFill>
          </w14:textFill>
        </w:rPr>
        <w:fldChar w:fldCharType="end"/>
      </w:r>
      <w:r>
        <w:rPr>
          <w:rFonts w:hint="default" w:ascii="Times New Roman" w:hAnsi="Times New Roman" w:eastAsia="楷体_GB2312" w:cs="Times New Roman"/>
          <w:b w:val="0"/>
          <w:bCs w:val="0"/>
          <w:color w:val="000000" w:themeColor="text1"/>
          <w:sz w:val="32"/>
          <w:szCs w:val="32"/>
          <w14:textFill>
            <w14:solidFill>
              <w14:schemeClr w14:val="tx1"/>
            </w14:solidFill>
          </w14:textFill>
        </w:rPr>
        <w:fldChar w:fldCharType="end"/>
      </w:r>
    </w:p>
    <w:p>
      <w:pPr>
        <w:pStyle w:val="8"/>
        <w:keepNext w:val="0"/>
        <w:keepLines w:val="0"/>
        <w:pageBreakBefore w:val="0"/>
        <w:widowControl w:val="0"/>
        <w:tabs>
          <w:tab w:val="right" w:leader="dot" w:pos="8845"/>
        </w:tabs>
        <w:kinsoku/>
        <w:wordWrap/>
        <w:overflowPunct/>
        <w:topLinePunct w:val="0"/>
        <w:autoSpaceDE/>
        <w:autoSpaceDN/>
        <w:bidi w:val="0"/>
        <w:adjustRightInd/>
        <w:snapToGrid/>
        <w:spacing w:line="560" w:lineRule="exact"/>
        <w:ind w:left="800" w:leftChars="0" w:hanging="800" w:hangingChars="25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themeColor="text1"/>
          <w:sz w:val="32"/>
          <w:szCs w:val="32"/>
          <w14:textFill>
            <w14:solidFill>
              <w14:schemeClr w14:val="tx1"/>
            </w14:solidFill>
          </w14:textFill>
        </w:rPr>
        <w:fldChar w:fldCharType="begin"/>
      </w:r>
      <w:r>
        <w:rPr>
          <w:rFonts w:hint="default" w:ascii="Times New Roman" w:hAnsi="Times New Roman" w:eastAsia="仿宋_GB2312" w:cs="Times New Roman"/>
          <w:sz w:val="32"/>
          <w:szCs w:val="32"/>
        </w:rPr>
        <w:instrText xml:space="preserve"> HYPERLINK \l _Toc20195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（一）人民对美好生活不断增长的需要为服务业发展注入了新动力</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_Toc20195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7</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color w:val="000000" w:themeColor="text1"/>
          <w:sz w:val="32"/>
          <w:szCs w:val="32"/>
          <w14:textFill>
            <w14:solidFill>
              <w14:schemeClr w14:val="tx1"/>
            </w14:solidFill>
          </w14:textFill>
        </w:rPr>
        <w:fldChar w:fldCharType="end"/>
      </w:r>
    </w:p>
    <w:p>
      <w:pPr>
        <w:pStyle w:val="8"/>
        <w:keepNext w:val="0"/>
        <w:keepLines w:val="0"/>
        <w:pageBreakBefore w:val="0"/>
        <w:widowControl w:val="0"/>
        <w:tabs>
          <w:tab w:val="right" w:leader="dot" w:pos="8845"/>
        </w:tabs>
        <w:kinsoku/>
        <w:wordWrap/>
        <w:overflowPunct/>
        <w:topLinePunct w:val="0"/>
        <w:autoSpaceDE/>
        <w:autoSpaceDN/>
        <w:bidi w:val="0"/>
        <w:adjustRightInd/>
        <w:snapToGrid/>
        <w:spacing w:line="560" w:lineRule="exact"/>
        <w:ind w:left="800" w:leftChars="0" w:hanging="800" w:hangingChars="25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themeColor="text1"/>
          <w:sz w:val="32"/>
          <w:szCs w:val="32"/>
          <w14:textFill>
            <w14:solidFill>
              <w14:schemeClr w14:val="tx1"/>
            </w14:solidFill>
          </w14:textFill>
        </w:rPr>
        <w:fldChar w:fldCharType="begin"/>
      </w:r>
      <w:r>
        <w:rPr>
          <w:rFonts w:hint="default" w:ascii="Times New Roman" w:hAnsi="Times New Roman" w:eastAsia="仿宋_GB2312" w:cs="Times New Roman"/>
          <w:sz w:val="32"/>
          <w:szCs w:val="32"/>
        </w:rPr>
        <w:instrText xml:space="preserve"> HYPERLINK \l _Toc27619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（二）国家战略叠加为服务业发展提供了新契机</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_Toc27619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7</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color w:val="000000" w:themeColor="text1"/>
          <w:sz w:val="32"/>
          <w:szCs w:val="32"/>
          <w14:textFill>
            <w14:solidFill>
              <w14:schemeClr w14:val="tx1"/>
            </w14:solidFill>
          </w14:textFill>
        </w:rPr>
        <w:fldChar w:fldCharType="end"/>
      </w:r>
    </w:p>
    <w:p>
      <w:pPr>
        <w:pStyle w:val="8"/>
        <w:keepNext w:val="0"/>
        <w:keepLines w:val="0"/>
        <w:pageBreakBefore w:val="0"/>
        <w:widowControl w:val="0"/>
        <w:tabs>
          <w:tab w:val="right" w:leader="dot" w:pos="8845"/>
        </w:tabs>
        <w:kinsoku/>
        <w:wordWrap/>
        <w:overflowPunct/>
        <w:topLinePunct w:val="0"/>
        <w:autoSpaceDE/>
        <w:autoSpaceDN/>
        <w:bidi w:val="0"/>
        <w:adjustRightInd/>
        <w:snapToGrid/>
        <w:spacing w:line="560" w:lineRule="exact"/>
        <w:ind w:left="800" w:leftChars="0" w:hanging="800" w:hangingChars="25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themeColor="text1"/>
          <w:sz w:val="32"/>
          <w:szCs w:val="32"/>
          <w14:textFill>
            <w14:solidFill>
              <w14:schemeClr w14:val="tx1"/>
            </w14:solidFill>
          </w14:textFill>
        </w:rPr>
        <w:fldChar w:fldCharType="begin"/>
      </w:r>
      <w:r>
        <w:rPr>
          <w:rFonts w:hint="default" w:ascii="Times New Roman" w:hAnsi="Times New Roman" w:eastAsia="仿宋_GB2312" w:cs="Times New Roman"/>
          <w:sz w:val="32"/>
          <w:szCs w:val="32"/>
        </w:rPr>
        <w:instrText xml:space="preserve"> HYPERLINK \l _Toc9707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（三）立体交通网为服务业发展打造了新通道</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_Toc9707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8</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color w:val="000000" w:themeColor="text1"/>
          <w:sz w:val="32"/>
          <w:szCs w:val="32"/>
          <w14:textFill>
            <w14:solidFill>
              <w14:schemeClr w14:val="tx1"/>
            </w14:solidFill>
          </w14:textFill>
        </w:rPr>
        <w:fldChar w:fldCharType="end"/>
      </w:r>
    </w:p>
    <w:p>
      <w:pPr>
        <w:pStyle w:val="8"/>
        <w:keepNext w:val="0"/>
        <w:keepLines w:val="0"/>
        <w:pageBreakBefore w:val="0"/>
        <w:widowControl w:val="0"/>
        <w:tabs>
          <w:tab w:val="right" w:leader="dot" w:pos="8845"/>
        </w:tabs>
        <w:kinsoku/>
        <w:wordWrap/>
        <w:overflowPunct/>
        <w:topLinePunct w:val="0"/>
        <w:autoSpaceDE/>
        <w:autoSpaceDN/>
        <w:bidi w:val="0"/>
        <w:adjustRightInd/>
        <w:snapToGrid/>
        <w:spacing w:line="560" w:lineRule="exact"/>
        <w:ind w:left="800" w:leftChars="0" w:hanging="800" w:hangingChars="25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themeColor="text1"/>
          <w:sz w:val="32"/>
          <w:szCs w:val="32"/>
          <w14:textFill>
            <w14:solidFill>
              <w14:schemeClr w14:val="tx1"/>
            </w14:solidFill>
          </w14:textFill>
        </w:rPr>
        <w:fldChar w:fldCharType="begin"/>
      </w:r>
      <w:r>
        <w:rPr>
          <w:rFonts w:hint="default" w:ascii="Times New Roman" w:hAnsi="Times New Roman" w:eastAsia="仿宋_GB2312" w:cs="Times New Roman"/>
          <w:sz w:val="32"/>
          <w:szCs w:val="32"/>
        </w:rPr>
        <w:instrText xml:space="preserve"> HYPERLINK \l _Toc7725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（四）新型城镇化为服务业发展开辟了新空间</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_Toc7725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8</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color w:val="000000" w:themeColor="text1"/>
          <w:sz w:val="32"/>
          <w:szCs w:val="32"/>
          <w14:textFill>
            <w14:solidFill>
              <w14:schemeClr w14:val="tx1"/>
            </w14:solidFill>
          </w14:textFill>
        </w:rPr>
        <w:fldChar w:fldCharType="end"/>
      </w:r>
    </w:p>
    <w:p>
      <w:pPr>
        <w:pStyle w:val="8"/>
        <w:keepNext w:val="0"/>
        <w:keepLines w:val="0"/>
        <w:pageBreakBefore w:val="0"/>
        <w:widowControl w:val="0"/>
        <w:tabs>
          <w:tab w:val="right" w:leader="dot" w:pos="8845"/>
        </w:tabs>
        <w:kinsoku/>
        <w:wordWrap/>
        <w:overflowPunct/>
        <w:topLinePunct w:val="0"/>
        <w:autoSpaceDE/>
        <w:autoSpaceDN/>
        <w:bidi w:val="0"/>
        <w:adjustRightInd/>
        <w:snapToGrid/>
        <w:spacing w:line="560" w:lineRule="exact"/>
        <w:ind w:left="800" w:leftChars="0" w:hanging="800" w:hangingChars="25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themeColor="text1"/>
          <w:sz w:val="32"/>
          <w:szCs w:val="32"/>
          <w14:textFill>
            <w14:solidFill>
              <w14:schemeClr w14:val="tx1"/>
            </w14:solidFill>
          </w14:textFill>
        </w:rPr>
        <w:fldChar w:fldCharType="begin"/>
      </w:r>
      <w:r>
        <w:rPr>
          <w:rFonts w:hint="default" w:ascii="Times New Roman" w:hAnsi="Times New Roman" w:eastAsia="仿宋_GB2312" w:cs="Times New Roman"/>
          <w:sz w:val="32"/>
          <w:szCs w:val="32"/>
        </w:rPr>
        <w:instrText xml:space="preserve"> HYPERLINK \l _Toc30218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（五）数字化为服务业发展激发了新活力</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_Toc30218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9</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color w:val="000000" w:themeColor="text1"/>
          <w:sz w:val="32"/>
          <w:szCs w:val="32"/>
          <w14:textFill>
            <w14:solidFill>
              <w14:schemeClr w14:val="tx1"/>
            </w14:solidFill>
          </w14:textFill>
        </w:rPr>
        <w:fldChar w:fldCharType="end"/>
      </w:r>
    </w:p>
    <w:p>
      <w:pPr>
        <w:pStyle w:val="13"/>
        <w:keepNext w:val="0"/>
        <w:keepLines w:val="0"/>
        <w:pageBreakBefore w:val="0"/>
        <w:widowControl w:val="0"/>
        <w:tabs>
          <w:tab w:val="right" w:leader="dot" w:pos="8845"/>
        </w:tabs>
        <w:kinsoku/>
        <w:wordWrap/>
        <w:overflowPunct/>
        <w:topLinePunct w:val="0"/>
        <w:autoSpaceDE/>
        <w:autoSpaceDN/>
        <w:bidi w:val="0"/>
        <w:adjustRightInd/>
        <w:snapToGrid/>
        <w:spacing w:line="560" w:lineRule="exact"/>
        <w:ind w:left="800" w:leftChars="0" w:hanging="800" w:hangingChars="250"/>
        <w:textAlignment w:val="auto"/>
        <w:rPr>
          <w:rFonts w:hint="default" w:ascii="Times New Roman" w:hAnsi="Times New Roman" w:eastAsia="黑体" w:cs="Times New Roman"/>
          <w:color w:val="000000" w:themeColor="text1"/>
          <w:sz w:val="32"/>
          <w:szCs w:val="32"/>
          <w14:textFill>
            <w14:solidFill>
              <w14:schemeClr w14:val="tx1"/>
            </w14:solidFill>
          </w14:textFill>
        </w:rPr>
      </w:pPr>
      <w:r>
        <w:rPr>
          <w:rFonts w:hint="default" w:ascii="Times New Roman" w:hAnsi="Times New Roman" w:eastAsia="黑体" w:cs="Times New Roman"/>
          <w:color w:val="000000" w:themeColor="text1"/>
          <w:sz w:val="32"/>
          <w:szCs w:val="32"/>
          <w14:textFill>
            <w14:solidFill>
              <w14:schemeClr w14:val="tx1"/>
            </w14:solidFill>
          </w14:textFill>
        </w:rPr>
        <w:fldChar w:fldCharType="begin"/>
      </w:r>
      <w:r>
        <w:rPr>
          <w:rFonts w:hint="default" w:ascii="Times New Roman" w:hAnsi="Times New Roman" w:eastAsia="黑体" w:cs="Times New Roman"/>
          <w:color w:val="000000" w:themeColor="text1"/>
          <w:sz w:val="32"/>
          <w:szCs w:val="32"/>
          <w14:textFill>
            <w14:solidFill>
              <w14:schemeClr w14:val="tx1"/>
            </w14:solidFill>
          </w14:textFill>
        </w:rPr>
        <w:instrText xml:space="preserve"> HYPERLINK \l _Toc20854 </w:instrText>
      </w:r>
      <w:r>
        <w:rPr>
          <w:rFonts w:hint="default" w:ascii="Times New Roman" w:hAnsi="Times New Roman" w:eastAsia="黑体" w:cs="Times New Roman"/>
          <w:color w:val="000000" w:themeColor="text1"/>
          <w:sz w:val="32"/>
          <w:szCs w:val="32"/>
          <w14:textFill>
            <w14:solidFill>
              <w14:schemeClr w14:val="tx1"/>
            </w14:solidFill>
          </w14:textFill>
        </w:rPr>
        <w:fldChar w:fldCharType="separate"/>
      </w:r>
      <w:r>
        <w:rPr>
          <w:rFonts w:hint="default" w:ascii="Times New Roman" w:hAnsi="Times New Roman" w:eastAsia="黑体" w:cs="Times New Roman"/>
          <w:color w:val="000000" w:themeColor="text1"/>
          <w:sz w:val="32"/>
          <w:szCs w:val="32"/>
          <w14:textFill>
            <w14:solidFill>
              <w14:schemeClr w14:val="tx1"/>
            </w14:solidFill>
          </w14:textFill>
        </w:rPr>
        <w:t>第二章  指导思想和发展目标</w:t>
      </w:r>
      <w:r>
        <w:rPr>
          <w:rFonts w:hint="default" w:ascii="Times New Roman" w:hAnsi="Times New Roman" w:eastAsia="黑体" w:cs="Times New Roman"/>
          <w:color w:val="000000" w:themeColor="text1"/>
          <w:sz w:val="32"/>
          <w:szCs w:val="32"/>
          <w14:textFill>
            <w14:solidFill>
              <w14:schemeClr w14:val="tx1"/>
            </w14:solidFill>
          </w14:textFill>
        </w:rPr>
        <w:tab/>
      </w:r>
      <w:r>
        <w:rPr>
          <w:rFonts w:hint="default" w:ascii="Times New Roman" w:hAnsi="Times New Roman" w:eastAsia="黑体" w:cs="Times New Roman"/>
          <w:color w:val="000000" w:themeColor="text1"/>
          <w:sz w:val="32"/>
          <w:szCs w:val="32"/>
          <w14:textFill>
            <w14:solidFill>
              <w14:schemeClr w14:val="tx1"/>
            </w14:solidFill>
          </w14:textFill>
        </w:rPr>
        <w:fldChar w:fldCharType="begin"/>
      </w:r>
      <w:r>
        <w:rPr>
          <w:rFonts w:hint="default" w:ascii="Times New Roman" w:hAnsi="Times New Roman" w:eastAsia="黑体" w:cs="Times New Roman"/>
          <w:color w:val="000000" w:themeColor="text1"/>
          <w:sz w:val="32"/>
          <w:szCs w:val="32"/>
          <w14:textFill>
            <w14:solidFill>
              <w14:schemeClr w14:val="tx1"/>
            </w14:solidFill>
          </w14:textFill>
        </w:rPr>
        <w:instrText xml:space="preserve"> PAGEREF _Toc20854 \h </w:instrText>
      </w:r>
      <w:r>
        <w:rPr>
          <w:rFonts w:hint="default" w:ascii="Times New Roman" w:hAnsi="Times New Roman" w:eastAsia="黑体" w:cs="Times New Roman"/>
          <w:color w:val="000000" w:themeColor="text1"/>
          <w:sz w:val="32"/>
          <w:szCs w:val="32"/>
          <w14:textFill>
            <w14:solidFill>
              <w14:schemeClr w14:val="tx1"/>
            </w14:solidFill>
          </w14:textFill>
        </w:rPr>
        <w:fldChar w:fldCharType="separate"/>
      </w:r>
      <w:r>
        <w:rPr>
          <w:rFonts w:hint="default" w:ascii="Times New Roman" w:hAnsi="Times New Roman" w:eastAsia="黑体" w:cs="Times New Roman"/>
          <w:color w:val="000000" w:themeColor="text1"/>
          <w:sz w:val="32"/>
          <w:szCs w:val="32"/>
          <w14:textFill>
            <w14:solidFill>
              <w14:schemeClr w14:val="tx1"/>
            </w14:solidFill>
          </w14:textFill>
        </w:rPr>
        <w:t>10</w:t>
      </w:r>
      <w:r>
        <w:rPr>
          <w:rFonts w:hint="default" w:ascii="Times New Roman" w:hAnsi="Times New Roman" w:eastAsia="黑体" w:cs="Times New Roman"/>
          <w:color w:val="000000" w:themeColor="text1"/>
          <w:sz w:val="32"/>
          <w:szCs w:val="32"/>
          <w14:textFill>
            <w14:solidFill>
              <w14:schemeClr w14:val="tx1"/>
            </w14:solidFill>
          </w14:textFill>
        </w:rPr>
        <w:fldChar w:fldCharType="end"/>
      </w:r>
      <w:r>
        <w:rPr>
          <w:rFonts w:hint="default" w:ascii="Times New Roman" w:hAnsi="Times New Roman" w:eastAsia="黑体" w:cs="Times New Roman"/>
          <w:color w:val="000000" w:themeColor="text1"/>
          <w:sz w:val="32"/>
          <w:szCs w:val="32"/>
          <w14:textFill>
            <w14:solidFill>
              <w14:schemeClr w14:val="tx1"/>
            </w14:solidFill>
          </w14:textFill>
        </w:rPr>
        <w:fldChar w:fldCharType="end"/>
      </w:r>
    </w:p>
    <w:p>
      <w:pPr>
        <w:pStyle w:val="14"/>
        <w:keepNext w:val="0"/>
        <w:keepLines w:val="0"/>
        <w:pageBreakBefore w:val="0"/>
        <w:widowControl w:val="0"/>
        <w:tabs>
          <w:tab w:val="right" w:leader="dot" w:pos="8845"/>
        </w:tabs>
        <w:kinsoku/>
        <w:wordWrap/>
        <w:overflowPunct/>
        <w:topLinePunct w:val="0"/>
        <w:autoSpaceDE/>
        <w:autoSpaceDN/>
        <w:bidi w:val="0"/>
        <w:adjustRightInd/>
        <w:snapToGrid/>
        <w:spacing w:line="560" w:lineRule="exact"/>
        <w:ind w:left="800" w:leftChars="0" w:hanging="800" w:hangingChars="250"/>
        <w:textAlignment w:val="auto"/>
        <w:rPr>
          <w:rFonts w:hint="default" w:ascii="Times New Roman" w:hAnsi="Times New Roman" w:eastAsia="楷体_GB2312" w:cs="Times New Roman"/>
          <w:b w:val="0"/>
          <w:bCs w:val="0"/>
          <w:color w:val="000000" w:themeColor="text1"/>
          <w:sz w:val="32"/>
          <w:szCs w:val="32"/>
          <w14:textFill>
            <w14:solidFill>
              <w14:schemeClr w14:val="tx1"/>
            </w14:solidFill>
          </w14:textFill>
        </w:rPr>
      </w:pPr>
      <w:r>
        <w:rPr>
          <w:rFonts w:hint="default" w:ascii="Times New Roman" w:hAnsi="Times New Roman" w:eastAsia="楷体_GB2312" w:cs="Times New Roman"/>
          <w:b w:val="0"/>
          <w:bCs w:val="0"/>
          <w:color w:val="000000" w:themeColor="text1"/>
          <w:sz w:val="32"/>
          <w:szCs w:val="32"/>
          <w14:textFill>
            <w14:solidFill>
              <w14:schemeClr w14:val="tx1"/>
            </w14:solidFill>
          </w14:textFill>
        </w:rPr>
        <w:fldChar w:fldCharType="begin"/>
      </w:r>
      <w:r>
        <w:rPr>
          <w:rFonts w:hint="default" w:ascii="Times New Roman" w:hAnsi="Times New Roman" w:eastAsia="楷体_GB2312" w:cs="Times New Roman"/>
          <w:b w:val="0"/>
          <w:bCs w:val="0"/>
          <w:color w:val="000000" w:themeColor="text1"/>
          <w:sz w:val="32"/>
          <w:szCs w:val="32"/>
          <w14:textFill>
            <w14:solidFill>
              <w14:schemeClr w14:val="tx1"/>
            </w14:solidFill>
          </w14:textFill>
        </w:rPr>
        <w:instrText xml:space="preserve"> HYPERLINK \l _Toc26459 </w:instrText>
      </w:r>
      <w:r>
        <w:rPr>
          <w:rFonts w:hint="default" w:ascii="Times New Roman" w:hAnsi="Times New Roman" w:eastAsia="楷体_GB2312" w:cs="Times New Roman"/>
          <w:b w:val="0"/>
          <w:bCs w:val="0"/>
          <w:color w:val="000000" w:themeColor="text1"/>
          <w:sz w:val="32"/>
          <w:szCs w:val="32"/>
          <w14:textFill>
            <w14:solidFill>
              <w14:schemeClr w14:val="tx1"/>
            </w14:solidFill>
          </w14:textFill>
        </w:rPr>
        <w:fldChar w:fldCharType="separate"/>
      </w:r>
      <w:r>
        <w:rPr>
          <w:rFonts w:hint="default" w:ascii="Times New Roman" w:hAnsi="Times New Roman" w:eastAsia="楷体_GB2312" w:cs="Times New Roman"/>
          <w:b w:val="0"/>
          <w:bCs w:val="0"/>
          <w:color w:val="000000" w:themeColor="text1"/>
          <w:sz w:val="32"/>
          <w:szCs w:val="32"/>
          <w14:textFill>
            <w14:solidFill>
              <w14:schemeClr w14:val="tx1"/>
            </w14:solidFill>
          </w14:textFill>
        </w:rPr>
        <w:t>一、指导思想</w:t>
      </w:r>
      <w:r>
        <w:rPr>
          <w:rFonts w:hint="default" w:ascii="Times New Roman" w:hAnsi="Times New Roman" w:eastAsia="楷体_GB2312" w:cs="Times New Roman"/>
          <w:b w:val="0"/>
          <w:bCs w:val="0"/>
          <w:color w:val="000000" w:themeColor="text1"/>
          <w:sz w:val="32"/>
          <w:szCs w:val="32"/>
          <w14:textFill>
            <w14:solidFill>
              <w14:schemeClr w14:val="tx1"/>
            </w14:solidFill>
          </w14:textFill>
        </w:rPr>
        <w:tab/>
      </w:r>
      <w:r>
        <w:rPr>
          <w:rFonts w:hint="default" w:ascii="Times New Roman" w:hAnsi="Times New Roman" w:eastAsia="楷体_GB2312" w:cs="Times New Roman"/>
          <w:b w:val="0"/>
          <w:bCs w:val="0"/>
          <w:color w:val="000000" w:themeColor="text1"/>
          <w:sz w:val="32"/>
          <w:szCs w:val="32"/>
          <w14:textFill>
            <w14:solidFill>
              <w14:schemeClr w14:val="tx1"/>
            </w14:solidFill>
          </w14:textFill>
        </w:rPr>
        <w:fldChar w:fldCharType="begin"/>
      </w:r>
      <w:r>
        <w:rPr>
          <w:rFonts w:hint="default" w:ascii="Times New Roman" w:hAnsi="Times New Roman" w:eastAsia="楷体_GB2312" w:cs="Times New Roman"/>
          <w:b w:val="0"/>
          <w:bCs w:val="0"/>
          <w:color w:val="000000" w:themeColor="text1"/>
          <w:sz w:val="32"/>
          <w:szCs w:val="32"/>
          <w14:textFill>
            <w14:solidFill>
              <w14:schemeClr w14:val="tx1"/>
            </w14:solidFill>
          </w14:textFill>
        </w:rPr>
        <w:instrText xml:space="preserve"> PAGEREF _Toc26459 \h </w:instrText>
      </w:r>
      <w:r>
        <w:rPr>
          <w:rFonts w:hint="default" w:ascii="Times New Roman" w:hAnsi="Times New Roman" w:eastAsia="楷体_GB2312" w:cs="Times New Roman"/>
          <w:b w:val="0"/>
          <w:bCs w:val="0"/>
          <w:color w:val="000000" w:themeColor="text1"/>
          <w:sz w:val="32"/>
          <w:szCs w:val="32"/>
          <w14:textFill>
            <w14:solidFill>
              <w14:schemeClr w14:val="tx1"/>
            </w14:solidFill>
          </w14:textFill>
        </w:rPr>
        <w:fldChar w:fldCharType="separate"/>
      </w:r>
      <w:r>
        <w:rPr>
          <w:rFonts w:hint="default" w:ascii="Times New Roman" w:hAnsi="Times New Roman" w:eastAsia="楷体_GB2312" w:cs="Times New Roman"/>
          <w:b w:val="0"/>
          <w:bCs w:val="0"/>
          <w:color w:val="000000" w:themeColor="text1"/>
          <w:sz w:val="32"/>
          <w:szCs w:val="32"/>
          <w14:textFill>
            <w14:solidFill>
              <w14:schemeClr w14:val="tx1"/>
            </w14:solidFill>
          </w14:textFill>
        </w:rPr>
        <w:t>10</w:t>
      </w:r>
      <w:r>
        <w:rPr>
          <w:rFonts w:hint="default" w:ascii="Times New Roman" w:hAnsi="Times New Roman" w:eastAsia="楷体_GB2312" w:cs="Times New Roman"/>
          <w:b w:val="0"/>
          <w:bCs w:val="0"/>
          <w:color w:val="000000" w:themeColor="text1"/>
          <w:sz w:val="32"/>
          <w:szCs w:val="32"/>
          <w14:textFill>
            <w14:solidFill>
              <w14:schemeClr w14:val="tx1"/>
            </w14:solidFill>
          </w14:textFill>
        </w:rPr>
        <w:fldChar w:fldCharType="end"/>
      </w:r>
      <w:r>
        <w:rPr>
          <w:rFonts w:hint="default" w:ascii="Times New Roman" w:hAnsi="Times New Roman" w:eastAsia="楷体_GB2312" w:cs="Times New Roman"/>
          <w:b w:val="0"/>
          <w:bCs w:val="0"/>
          <w:color w:val="000000" w:themeColor="text1"/>
          <w:sz w:val="32"/>
          <w:szCs w:val="32"/>
          <w14:textFill>
            <w14:solidFill>
              <w14:schemeClr w14:val="tx1"/>
            </w14:solidFill>
          </w14:textFill>
        </w:rPr>
        <w:fldChar w:fldCharType="end"/>
      </w:r>
    </w:p>
    <w:p>
      <w:pPr>
        <w:pStyle w:val="14"/>
        <w:keepNext w:val="0"/>
        <w:keepLines w:val="0"/>
        <w:pageBreakBefore w:val="0"/>
        <w:widowControl w:val="0"/>
        <w:tabs>
          <w:tab w:val="right" w:leader="dot" w:pos="8845"/>
        </w:tabs>
        <w:kinsoku/>
        <w:wordWrap/>
        <w:overflowPunct/>
        <w:topLinePunct w:val="0"/>
        <w:autoSpaceDE/>
        <w:autoSpaceDN/>
        <w:bidi w:val="0"/>
        <w:adjustRightInd/>
        <w:snapToGrid/>
        <w:spacing w:line="560" w:lineRule="exact"/>
        <w:ind w:left="800" w:leftChars="0" w:hanging="800" w:hangingChars="250"/>
        <w:textAlignment w:val="auto"/>
        <w:rPr>
          <w:rFonts w:hint="default" w:ascii="Times New Roman" w:hAnsi="Times New Roman" w:eastAsia="楷体_GB2312" w:cs="Times New Roman"/>
          <w:b w:val="0"/>
          <w:bCs w:val="0"/>
          <w:color w:val="000000" w:themeColor="text1"/>
          <w:sz w:val="32"/>
          <w:szCs w:val="32"/>
          <w14:textFill>
            <w14:solidFill>
              <w14:schemeClr w14:val="tx1"/>
            </w14:solidFill>
          </w14:textFill>
        </w:rPr>
      </w:pPr>
      <w:r>
        <w:rPr>
          <w:rFonts w:hint="default" w:ascii="Times New Roman" w:hAnsi="Times New Roman" w:eastAsia="楷体_GB2312" w:cs="Times New Roman"/>
          <w:b w:val="0"/>
          <w:bCs w:val="0"/>
          <w:color w:val="000000" w:themeColor="text1"/>
          <w:sz w:val="32"/>
          <w:szCs w:val="32"/>
          <w14:textFill>
            <w14:solidFill>
              <w14:schemeClr w14:val="tx1"/>
            </w14:solidFill>
          </w14:textFill>
        </w:rPr>
        <w:fldChar w:fldCharType="begin"/>
      </w:r>
      <w:r>
        <w:rPr>
          <w:rFonts w:hint="default" w:ascii="Times New Roman" w:hAnsi="Times New Roman" w:eastAsia="楷体_GB2312" w:cs="Times New Roman"/>
          <w:b w:val="0"/>
          <w:bCs w:val="0"/>
          <w:color w:val="000000" w:themeColor="text1"/>
          <w:sz w:val="32"/>
          <w:szCs w:val="32"/>
          <w14:textFill>
            <w14:solidFill>
              <w14:schemeClr w14:val="tx1"/>
            </w14:solidFill>
          </w14:textFill>
        </w:rPr>
        <w:instrText xml:space="preserve"> HYPERLINK \l _Toc31139 </w:instrText>
      </w:r>
      <w:r>
        <w:rPr>
          <w:rFonts w:hint="default" w:ascii="Times New Roman" w:hAnsi="Times New Roman" w:eastAsia="楷体_GB2312" w:cs="Times New Roman"/>
          <w:b w:val="0"/>
          <w:bCs w:val="0"/>
          <w:color w:val="000000" w:themeColor="text1"/>
          <w:sz w:val="32"/>
          <w:szCs w:val="32"/>
          <w14:textFill>
            <w14:solidFill>
              <w14:schemeClr w14:val="tx1"/>
            </w14:solidFill>
          </w14:textFill>
        </w:rPr>
        <w:fldChar w:fldCharType="separate"/>
      </w:r>
      <w:r>
        <w:rPr>
          <w:rFonts w:hint="default" w:ascii="Times New Roman" w:hAnsi="Times New Roman" w:eastAsia="楷体_GB2312" w:cs="Times New Roman"/>
          <w:b w:val="0"/>
          <w:bCs w:val="0"/>
          <w:color w:val="000000" w:themeColor="text1"/>
          <w:sz w:val="32"/>
          <w:szCs w:val="32"/>
          <w14:textFill>
            <w14:solidFill>
              <w14:schemeClr w14:val="tx1"/>
            </w14:solidFill>
          </w14:textFill>
        </w:rPr>
        <w:t>二、发展原则</w:t>
      </w:r>
      <w:r>
        <w:rPr>
          <w:rFonts w:hint="default" w:ascii="Times New Roman" w:hAnsi="Times New Roman" w:eastAsia="楷体_GB2312" w:cs="Times New Roman"/>
          <w:b w:val="0"/>
          <w:bCs w:val="0"/>
          <w:color w:val="000000" w:themeColor="text1"/>
          <w:sz w:val="32"/>
          <w:szCs w:val="32"/>
          <w14:textFill>
            <w14:solidFill>
              <w14:schemeClr w14:val="tx1"/>
            </w14:solidFill>
          </w14:textFill>
        </w:rPr>
        <w:tab/>
      </w:r>
      <w:r>
        <w:rPr>
          <w:rFonts w:hint="default" w:ascii="Times New Roman" w:hAnsi="Times New Roman" w:eastAsia="楷体_GB2312" w:cs="Times New Roman"/>
          <w:b w:val="0"/>
          <w:bCs w:val="0"/>
          <w:color w:val="000000" w:themeColor="text1"/>
          <w:sz w:val="32"/>
          <w:szCs w:val="32"/>
          <w14:textFill>
            <w14:solidFill>
              <w14:schemeClr w14:val="tx1"/>
            </w14:solidFill>
          </w14:textFill>
        </w:rPr>
        <w:fldChar w:fldCharType="begin"/>
      </w:r>
      <w:r>
        <w:rPr>
          <w:rFonts w:hint="default" w:ascii="Times New Roman" w:hAnsi="Times New Roman" w:eastAsia="楷体_GB2312" w:cs="Times New Roman"/>
          <w:b w:val="0"/>
          <w:bCs w:val="0"/>
          <w:color w:val="000000" w:themeColor="text1"/>
          <w:sz w:val="32"/>
          <w:szCs w:val="32"/>
          <w14:textFill>
            <w14:solidFill>
              <w14:schemeClr w14:val="tx1"/>
            </w14:solidFill>
          </w14:textFill>
        </w:rPr>
        <w:instrText xml:space="preserve"> PAGEREF _Toc31139 \h </w:instrText>
      </w:r>
      <w:r>
        <w:rPr>
          <w:rFonts w:hint="default" w:ascii="Times New Roman" w:hAnsi="Times New Roman" w:eastAsia="楷体_GB2312" w:cs="Times New Roman"/>
          <w:b w:val="0"/>
          <w:bCs w:val="0"/>
          <w:color w:val="000000" w:themeColor="text1"/>
          <w:sz w:val="32"/>
          <w:szCs w:val="32"/>
          <w14:textFill>
            <w14:solidFill>
              <w14:schemeClr w14:val="tx1"/>
            </w14:solidFill>
          </w14:textFill>
        </w:rPr>
        <w:fldChar w:fldCharType="separate"/>
      </w:r>
      <w:r>
        <w:rPr>
          <w:rFonts w:hint="default" w:ascii="Times New Roman" w:hAnsi="Times New Roman" w:eastAsia="楷体_GB2312" w:cs="Times New Roman"/>
          <w:b w:val="0"/>
          <w:bCs w:val="0"/>
          <w:color w:val="000000" w:themeColor="text1"/>
          <w:sz w:val="32"/>
          <w:szCs w:val="32"/>
          <w14:textFill>
            <w14:solidFill>
              <w14:schemeClr w14:val="tx1"/>
            </w14:solidFill>
          </w14:textFill>
        </w:rPr>
        <w:t>10</w:t>
      </w:r>
      <w:r>
        <w:rPr>
          <w:rFonts w:hint="default" w:ascii="Times New Roman" w:hAnsi="Times New Roman" w:eastAsia="楷体_GB2312" w:cs="Times New Roman"/>
          <w:b w:val="0"/>
          <w:bCs w:val="0"/>
          <w:color w:val="000000" w:themeColor="text1"/>
          <w:sz w:val="32"/>
          <w:szCs w:val="32"/>
          <w14:textFill>
            <w14:solidFill>
              <w14:schemeClr w14:val="tx1"/>
            </w14:solidFill>
          </w14:textFill>
        </w:rPr>
        <w:fldChar w:fldCharType="end"/>
      </w:r>
      <w:r>
        <w:rPr>
          <w:rFonts w:hint="default" w:ascii="Times New Roman" w:hAnsi="Times New Roman" w:eastAsia="楷体_GB2312" w:cs="Times New Roman"/>
          <w:b w:val="0"/>
          <w:bCs w:val="0"/>
          <w:color w:val="000000" w:themeColor="text1"/>
          <w:sz w:val="32"/>
          <w:szCs w:val="32"/>
          <w14:textFill>
            <w14:solidFill>
              <w14:schemeClr w14:val="tx1"/>
            </w14:solidFill>
          </w14:textFill>
        </w:rPr>
        <w:fldChar w:fldCharType="end"/>
      </w:r>
    </w:p>
    <w:p>
      <w:pPr>
        <w:pStyle w:val="14"/>
        <w:keepNext w:val="0"/>
        <w:keepLines w:val="0"/>
        <w:pageBreakBefore w:val="0"/>
        <w:widowControl w:val="0"/>
        <w:tabs>
          <w:tab w:val="right" w:leader="dot" w:pos="8845"/>
        </w:tabs>
        <w:kinsoku/>
        <w:wordWrap/>
        <w:overflowPunct/>
        <w:topLinePunct w:val="0"/>
        <w:autoSpaceDE/>
        <w:autoSpaceDN/>
        <w:bidi w:val="0"/>
        <w:adjustRightInd/>
        <w:snapToGrid/>
        <w:spacing w:line="560" w:lineRule="exact"/>
        <w:ind w:left="800" w:leftChars="0" w:hanging="800" w:hangingChars="250"/>
        <w:textAlignment w:val="auto"/>
        <w:rPr>
          <w:rFonts w:hint="default" w:ascii="Times New Roman" w:hAnsi="Times New Roman" w:eastAsia="楷体_GB2312" w:cs="Times New Roman"/>
          <w:b w:val="0"/>
          <w:bCs w:val="0"/>
          <w:color w:val="000000" w:themeColor="text1"/>
          <w:sz w:val="32"/>
          <w:szCs w:val="32"/>
          <w14:textFill>
            <w14:solidFill>
              <w14:schemeClr w14:val="tx1"/>
            </w14:solidFill>
          </w14:textFill>
        </w:rPr>
      </w:pPr>
      <w:r>
        <w:rPr>
          <w:rFonts w:hint="default" w:ascii="Times New Roman" w:hAnsi="Times New Roman" w:eastAsia="楷体_GB2312" w:cs="Times New Roman"/>
          <w:b w:val="0"/>
          <w:bCs w:val="0"/>
          <w:color w:val="000000" w:themeColor="text1"/>
          <w:sz w:val="32"/>
          <w:szCs w:val="32"/>
          <w14:textFill>
            <w14:solidFill>
              <w14:schemeClr w14:val="tx1"/>
            </w14:solidFill>
          </w14:textFill>
        </w:rPr>
        <w:fldChar w:fldCharType="begin"/>
      </w:r>
      <w:r>
        <w:rPr>
          <w:rFonts w:hint="default" w:ascii="Times New Roman" w:hAnsi="Times New Roman" w:eastAsia="楷体_GB2312" w:cs="Times New Roman"/>
          <w:b w:val="0"/>
          <w:bCs w:val="0"/>
          <w:color w:val="000000" w:themeColor="text1"/>
          <w:sz w:val="32"/>
          <w:szCs w:val="32"/>
          <w14:textFill>
            <w14:solidFill>
              <w14:schemeClr w14:val="tx1"/>
            </w14:solidFill>
          </w14:textFill>
        </w:rPr>
        <w:instrText xml:space="preserve"> HYPERLINK \l _Toc8597 </w:instrText>
      </w:r>
      <w:r>
        <w:rPr>
          <w:rFonts w:hint="default" w:ascii="Times New Roman" w:hAnsi="Times New Roman" w:eastAsia="楷体_GB2312" w:cs="Times New Roman"/>
          <w:b w:val="0"/>
          <w:bCs w:val="0"/>
          <w:color w:val="000000" w:themeColor="text1"/>
          <w:sz w:val="32"/>
          <w:szCs w:val="32"/>
          <w14:textFill>
            <w14:solidFill>
              <w14:schemeClr w14:val="tx1"/>
            </w14:solidFill>
          </w14:textFill>
        </w:rPr>
        <w:fldChar w:fldCharType="separate"/>
      </w:r>
      <w:r>
        <w:rPr>
          <w:rFonts w:hint="default" w:ascii="Times New Roman" w:hAnsi="Times New Roman" w:eastAsia="楷体_GB2312" w:cs="Times New Roman"/>
          <w:b w:val="0"/>
          <w:bCs w:val="0"/>
          <w:color w:val="000000" w:themeColor="text1"/>
          <w:sz w:val="32"/>
          <w:szCs w:val="32"/>
          <w14:textFill>
            <w14:solidFill>
              <w14:schemeClr w14:val="tx1"/>
            </w14:solidFill>
          </w14:textFill>
        </w:rPr>
        <w:t>三、发展定位</w:t>
      </w:r>
      <w:r>
        <w:rPr>
          <w:rFonts w:hint="default" w:ascii="Times New Roman" w:hAnsi="Times New Roman" w:eastAsia="楷体_GB2312" w:cs="Times New Roman"/>
          <w:b w:val="0"/>
          <w:bCs w:val="0"/>
          <w:color w:val="000000" w:themeColor="text1"/>
          <w:sz w:val="32"/>
          <w:szCs w:val="32"/>
          <w14:textFill>
            <w14:solidFill>
              <w14:schemeClr w14:val="tx1"/>
            </w14:solidFill>
          </w14:textFill>
        </w:rPr>
        <w:tab/>
      </w:r>
      <w:r>
        <w:rPr>
          <w:rFonts w:hint="default" w:ascii="Times New Roman" w:hAnsi="Times New Roman" w:eastAsia="楷体_GB2312" w:cs="Times New Roman"/>
          <w:b w:val="0"/>
          <w:bCs w:val="0"/>
          <w:color w:val="000000" w:themeColor="text1"/>
          <w:sz w:val="32"/>
          <w:szCs w:val="32"/>
          <w14:textFill>
            <w14:solidFill>
              <w14:schemeClr w14:val="tx1"/>
            </w14:solidFill>
          </w14:textFill>
        </w:rPr>
        <w:fldChar w:fldCharType="begin"/>
      </w:r>
      <w:r>
        <w:rPr>
          <w:rFonts w:hint="default" w:ascii="Times New Roman" w:hAnsi="Times New Roman" w:eastAsia="楷体_GB2312" w:cs="Times New Roman"/>
          <w:b w:val="0"/>
          <w:bCs w:val="0"/>
          <w:color w:val="000000" w:themeColor="text1"/>
          <w:sz w:val="32"/>
          <w:szCs w:val="32"/>
          <w14:textFill>
            <w14:solidFill>
              <w14:schemeClr w14:val="tx1"/>
            </w14:solidFill>
          </w14:textFill>
        </w:rPr>
        <w:instrText xml:space="preserve"> PAGEREF _Toc8597 \h </w:instrText>
      </w:r>
      <w:r>
        <w:rPr>
          <w:rFonts w:hint="default" w:ascii="Times New Roman" w:hAnsi="Times New Roman" w:eastAsia="楷体_GB2312" w:cs="Times New Roman"/>
          <w:b w:val="0"/>
          <w:bCs w:val="0"/>
          <w:color w:val="000000" w:themeColor="text1"/>
          <w:sz w:val="32"/>
          <w:szCs w:val="32"/>
          <w14:textFill>
            <w14:solidFill>
              <w14:schemeClr w14:val="tx1"/>
            </w14:solidFill>
          </w14:textFill>
        </w:rPr>
        <w:fldChar w:fldCharType="separate"/>
      </w:r>
      <w:r>
        <w:rPr>
          <w:rFonts w:hint="default" w:ascii="Times New Roman" w:hAnsi="Times New Roman" w:eastAsia="楷体_GB2312" w:cs="Times New Roman"/>
          <w:b w:val="0"/>
          <w:bCs w:val="0"/>
          <w:color w:val="000000" w:themeColor="text1"/>
          <w:sz w:val="32"/>
          <w:szCs w:val="32"/>
          <w14:textFill>
            <w14:solidFill>
              <w14:schemeClr w14:val="tx1"/>
            </w14:solidFill>
          </w14:textFill>
        </w:rPr>
        <w:t>11</w:t>
      </w:r>
      <w:r>
        <w:rPr>
          <w:rFonts w:hint="default" w:ascii="Times New Roman" w:hAnsi="Times New Roman" w:eastAsia="楷体_GB2312" w:cs="Times New Roman"/>
          <w:b w:val="0"/>
          <w:bCs w:val="0"/>
          <w:color w:val="000000" w:themeColor="text1"/>
          <w:sz w:val="32"/>
          <w:szCs w:val="32"/>
          <w14:textFill>
            <w14:solidFill>
              <w14:schemeClr w14:val="tx1"/>
            </w14:solidFill>
          </w14:textFill>
        </w:rPr>
        <w:fldChar w:fldCharType="end"/>
      </w:r>
      <w:r>
        <w:rPr>
          <w:rFonts w:hint="default" w:ascii="Times New Roman" w:hAnsi="Times New Roman" w:eastAsia="楷体_GB2312" w:cs="Times New Roman"/>
          <w:b w:val="0"/>
          <w:bCs w:val="0"/>
          <w:color w:val="000000" w:themeColor="text1"/>
          <w:sz w:val="32"/>
          <w:szCs w:val="32"/>
          <w14:textFill>
            <w14:solidFill>
              <w14:schemeClr w14:val="tx1"/>
            </w14:solidFill>
          </w14:textFill>
        </w:rPr>
        <w:fldChar w:fldCharType="end"/>
      </w:r>
    </w:p>
    <w:p>
      <w:pPr>
        <w:pStyle w:val="14"/>
        <w:keepNext w:val="0"/>
        <w:keepLines w:val="0"/>
        <w:pageBreakBefore w:val="0"/>
        <w:widowControl w:val="0"/>
        <w:tabs>
          <w:tab w:val="right" w:leader="dot" w:pos="8845"/>
        </w:tabs>
        <w:kinsoku/>
        <w:wordWrap/>
        <w:overflowPunct/>
        <w:topLinePunct w:val="0"/>
        <w:autoSpaceDE/>
        <w:autoSpaceDN/>
        <w:bidi w:val="0"/>
        <w:adjustRightInd/>
        <w:snapToGrid/>
        <w:spacing w:line="560" w:lineRule="exact"/>
        <w:ind w:left="800" w:leftChars="0" w:hanging="800" w:hangingChars="250"/>
        <w:textAlignment w:val="auto"/>
        <w:rPr>
          <w:rFonts w:hint="default" w:ascii="Times New Roman" w:hAnsi="Times New Roman" w:eastAsia="楷体_GB2312" w:cs="Times New Roman"/>
          <w:b w:val="0"/>
          <w:bCs w:val="0"/>
          <w:color w:val="000000" w:themeColor="text1"/>
          <w:sz w:val="32"/>
          <w:szCs w:val="32"/>
          <w14:textFill>
            <w14:solidFill>
              <w14:schemeClr w14:val="tx1"/>
            </w14:solidFill>
          </w14:textFill>
        </w:rPr>
      </w:pPr>
      <w:r>
        <w:rPr>
          <w:rFonts w:hint="default" w:ascii="Times New Roman" w:hAnsi="Times New Roman" w:eastAsia="楷体_GB2312" w:cs="Times New Roman"/>
          <w:b w:val="0"/>
          <w:bCs w:val="0"/>
          <w:color w:val="000000" w:themeColor="text1"/>
          <w:sz w:val="32"/>
          <w:szCs w:val="32"/>
          <w14:textFill>
            <w14:solidFill>
              <w14:schemeClr w14:val="tx1"/>
            </w14:solidFill>
          </w14:textFill>
        </w:rPr>
        <w:fldChar w:fldCharType="begin"/>
      </w:r>
      <w:r>
        <w:rPr>
          <w:rFonts w:hint="default" w:ascii="Times New Roman" w:hAnsi="Times New Roman" w:eastAsia="楷体_GB2312" w:cs="Times New Roman"/>
          <w:b w:val="0"/>
          <w:bCs w:val="0"/>
          <w:color w:val="000000" w:themeColor="text1"/>
          <w:sz w:val="32"/>
          <w:szCs w:val="32"/>
          <w14:textFill>
            <w14:solidFill>
              <w14:schemeClr w14:val="tx1"/>
            </w14:solidFill>
          </w14:textFill>
        </w:rPr>
        <w:instrText xml:space="preserve"> HYPERLINK \l _Toc15693 </w:instrText>
      </w:r>
      <w:r>
        <w:rPr>
          <w:rFonts w:hint="default" w:ascii="Times New Roman" w:hAnsi="Times New Roman" w:eastAsia="楷体_GB2312" w:cs="Times New Roman"/>
          <w:b w:val="0"/>
          <w:bCs w:val="0"/>
          <w:color w:val="000000" w:themeColor="text1"/>
          <w:sz w:val="32"/>
          <w:szCs w:val="32"/>
          <w14:textFill>
            <w14:solidFill>
              <w14:schemeClr w14:val="tx1"/>
            </w14:solidFill>
          </w14:textFill>
        </w:rPr>
        <w:fldChar w:fldCharType="separate"/>
      </w:r>
      <w:r>
        <w:rPr>
          <w:rFonts w:hint="default" w:ascii="Times New Roman" w:hAnsi="Times New Roman" w:eastAsia="楷体_GB2312" w:cs="Times New Roman"/>
          <w:b w:val="0"/>
          <w:bCs w:val="0"/>
          <w:color w:val="000000" w:themeColor="text1"/>
          <w:sz w:val="32"/>
          <w:szCs w:val="32"/>
          <w14:textFill>
            <w14:solidFill>
              <w14:schemeClr w14:val="tx1"/>
            </w14:solidFill>
          </w14:textFill>
        </w:rPr>
        <w:t>四、发展目标</w:t>
      </w:r>
      <w:r>
        <w:rPr>
          <w:rFonts w:hint="default" w:ascii="Times New Roman" w:hAnsi="Times New Roman" w:eastAsia="楷体_GB2312" w:cs="Times New Roman"/>
          <w:b w:val="0"/>
          <w:bCs w:val="0"/>
          <w:color w:val="000000" w:themeColor="text1"/>
          <w:sz w:val="32"/>
          <w:szCs w:val="32"/>
          <w14:textFill>
            <w14:solidFill>
              <w14:schemeClr w14:val="tx1"/>
            </w14:solidFill>
          </w14:textFill>
        </w:rPr>
        <w:tab/>
      </w:r>
      <w:r>
        <w:rPr>
          <w:rFonts w:hint="default" w:ascii="Times New Roman" w:hAnsi="Times New Roman" w:eastAsia="楷体_GB2312" w:cs="Times New Roman"/>
          <w:b w:val="0"/>
          <w:bCs w:val="0"/>
          <w:color w:val="000000" w:themeColor="text1"/>
          <w:sz w:val="32"/>
          <w:szCs w:val="32"/>
          <w14:textFill>
            <w14:solidFill>
              <w14:schemeClr w14:val="tx1"/>
            </w14:solidFill>
          </w14:textFill>
        </w:rPr>
        <w:fldChar w:fldCharType="begin"/>
      </w:r>
      <w:r>
        <w:rPr>
          <w:rFonts w:hint="default" w:ascii="Times New Roman" w:hAnsi="Times New Roman" w:eastAsia="楷体_GB2312" w:cs="Times New Roman"/>
          <w:b w:val="0"/>
          <w:bCs w:val="0"/>
          <w:color w:val="000000" w:themeColor="text1"/>
          <w:sz w:val="32"/>
          <w:szCs w:val="32"/>
          <w14:textFill>
            <w14:solidFill>
              <w14:schemeClr w14:val="tx1"/>
            </w14:solidFill>
          </w14:textFill>
        </w:rPr>
        <w:instrText xml:space="preserve"> PAGEREF _Toc15693 \h </w:instrText>
      </w:r>
      <w:r>
        <w:rPr>
          <w:rFonts w:hint="default" w:ascii="Times New Roman" w:hAnsi="Times New Roman" w:eastAsia="楷体_GB2312" w:cs="Times New Roman"/>
          <w:b w:val="0"/>
          <w:bCs w:val="0"/>
          <w:color w:val="000000" w:themeColor="text1"/>
          <w:sz w:val="32"/>
          <w:szCs w:val="32"/>
          <w14:textFill>
            <w14:solidFill>
              <w14:schemeClr w14:val="tx1"/>
            </w14:solidFill>
          </w14:textFill>
        </w:rPr>
        <w:fldChar w:fldCharType="separate"/>
      </w:r>
      <w:r>
        <w:rPr>
          <w:rFonts w:hint="default" w:ascii="Times New Roman" w:hAnsi="Times New Roman" w:eastAsia="楷体_GB2312" w:cs="Times New Roman"/>
          <w:b w:val="0"/>
          <w:bCs w:val="0"/>
          <w:color w:val="000000" w:themeColor="text1"/>
          <w:sz w:val="32"/>
          <w:szCs w:val="32"/>
          <w14:textFill>
            <w14:solidFill>
              <w14:schemeClr w14:val="tx1"/>
            </w14:solidFill>
          </w14:textFill>
        </w:rPr>
        <w:t>13</w:t>
      </w:r>
      <w:r>
        <w:rPr>
          <w:rFonts w:hint="default" w:ascii="Times New Roman" w:hAnsi="Times New Roman" w:eastAsia="楷体_GB2312" w:cs="Times New Roman"/>
          <w:b w:val="0"/>
          <w:bCs w:val="0"/>
          <w:color w:val="000000" w:themeColor="text1"/>
          <w:sz w:val="32"/>
          <w:szCs w:val="32"/>
          <w14:textFill>
            <w14:solidFill>
              <w14:schemeClr w14:val="tx1"/>
            </w14:solidFill>
          </w14:textFill>
        </w:rPr>
        <w:fldChar w:fldCharType="end"/>
      </w:r>
      <w:r>
        <w:rPr>
          <w:rFonts w:hint="default" w:ascii="Times New Roman" w:hAnsi="Times New Roman" w:eastAsia="楷体_GB2312" w:cs="Times New Roman"/>
          <w:b w:val="0"/>
          <w:bCs w:val="0"/>
          <w:color w:val="000000" w:themeColor="text1"/>
          <w:sz w:val="32"/>
          <w:szCs w:val="32"/>
          <w14:textFill>
            <w14:solidFill>
              <w14:schemeClr w14:val="tx1"/>
            </w14:solidFill>
          </w14:textFill>
        </w:rPr>
        <w:fldChar w:fldCharType="end"/>
      </w:r>
    </w:p>
    <w:p>
      <w:pPr>
        <w:pStyle w:val="13"/>
        <w:keepNext w:val="0"/>
        <w:keepLines w:val="0"/>
        <w:pageBreakBefore w:val="0"/>
        <w:widowControl w:val="0"/>
        <w:tabs>
          <w:tab w:val="right" w:leader="dot" w:pos="8845"/>
        </w:tabs>
        <w:kinsoku/>
        <w:wordWrap/>
        <w:overflowPunct/>
        <w:topLinePunct w:val="0"/>
        <w:autoSpaceDE/>
        <w:autoSpaceDN/>
        <w:bidi w:val="0"/>
        <w:adjustRightInd/>
        <w:snapToGrid/>
        <w:spacing w:line="560" w:lineRule="exact"/>
        <w:ind w:left="800" w:leftChars="0" w:hanging="800" w:hangingChars="250"/>
        <w:textAlignment w:val="auto"/>
        <w:rPr>
          <w:rFonts w:hint="default" w:ascii="Times New Roman" w:hAnsi="Times New Roman" w:eastAsia="黑体" w:cs="Times New Roman"/>
          <w:color w:val="000000" w:themeColor="text1"/>
          <w:sz w:val="32"/>
          <w:szCs w:val="32"/>
          <w14:textFill>
            <w14:solidFill>
              <w14:schemeClr w14:val="tx1"/>
            </w14:solidFill>
          </w14:textFill>
        </w:rPr>
      </w:pPr>
      <w:r>
        <w:rPr>
          <w:rFonts w:hint="default" w:ascii="Times New Roman" w:hAnsi="Times New Roman" w:eastAsia="黑体" w:cs="Times New Roman"/>
          <w:color w:val="000000" w:themeColor="text1"/>
          <w:sz w:val="32"/>
          <w:szCs w:val="32"/>
          <w14:textFill>
            <w14:solidFill>
              <w14:schemeClr w14:val="tx1"/>
            </w14:solidFill>
          </w14:textFill>
        </w:rPr>
        <w:fldChar w:fldCharType="begin"/>
      </w:r>
      <w:r>
        <w:rPr>
          <w:rFonts w:hint="default" w:ascii="Times New Roman" w:hAnsi="Times New Roman" w:eastAsia="黑体" w:cs="Times New Roman"/>
          <w:color w:val="000000" w:themeColor="text1"/>
          <w:sz w:val="32"/>
          <w:szCs w:val="32"/>
          <w14:textFill>
            <w14:solidFill>
              <w14:schemeClr w14:val="tx1"/>
            </w14:solidFill>
          </w14:textFill>
        </w:rPr>
        <w:instrText xml:space="preserve"> HYPERLINK \l _Toc24490 </w:instrText>
      </w:r>
      <w:r>
        <w:rPr>
          <w:rFonts w:hint="default" w:ascii="Times New Roman" w:hAnsi="Times New Roman" w:eastAsia="黑体" w:cs="Times New Roman"/>
          <w:color w:val="000000" w:themeColor="text1"/>
          <w:sz w:val="32"/>
          <w:szCs w:val="32"/>
          <w14:textFill>
            <w14:solidFill>
              <w14:schemeClr w14:val="tx1"/>
            </w14:solidFill>
          </w14:textFill>
        </w:rPr>
        <w:fldChar w:fldCharType="separate"/>
      </w:r>
      <w:r>
        <w:rPr>
          <w:rFonts w:hint="default" w:ascii="Times New Roman" w:hAnsi="Times New Roman" w:eastAsia="黑体" w:cs="Times New Roman"/>
          <w:color w:val="000000" w:themeColor="text1"/>
          <w:sz w:val="32"/>
          <w:szCs w:val="32"/>
          <w14:textFill>
            <w14:solidFill>
              <w14:schemeClr w14:val="tx1"/>
            </w14:solidFill>
          </w14:textFill>
        </w:rPr>
        <w:t>第三章  主要任务</w:t>
      </w:r>
      <w:r>
        <w:rPr>
          <w:rFonts w:hint="default" w:ascii="Times New Roman" w:hAnsi="Times New Roman" w:eastAsia="黑体" w:cs="Times New Roman"/>
          <w:color w:val="000000" w:themeColor="text1"/>
          <w:sz w:val="32"/>
          <w:szCs w:val="32"/>
          <w14:textFill>
            <w14:solidFill>
              <w14:schemeClr w14:val="tx1"/>
            </w14:solidFill>
          </w14:textFill>
        </w:rPr>
        <w:tab/>
      </w:r>
      <w:r>
        <w:rPr>
          <w:rFonts w:hint="default" w:ascii="Times New Roman" w:hAnsi="Times New Roman" w:eastAsia="黑体" w:cs="Times New Roman"/>
          <w:color w:val="000000" w:themeColor="text1"/>
          <w:sz w:val="32"/>
          <w:szCs w:val="32"/>
          <w14:textFill>
            <w14:solidFill>
              <w14:schemeClr w14:val="tx1"/>
            </w14:solidFill>
          </w14:textFill>
        </w:rPr>
        <w:fldChar w:fldCharType="begin"/>
      </w:r>
      <w:r>
        <w:rPr>
          <w:rFonts w:hint="default" w:ascii="Times New Roman" w:hAnsi="Times New Roman" w:eastAsia="黑体" w:cs="Times New Roman"/>
          <w:color w:val="000000" w:themeColor="text1"/>
          <w:sz w:val="32"/>
          <w:szCs w:val="32"/>
          <w14:textFill>
            <w14:solidFill>
              <w14:schemeClr w14:val="tx1"/>
            </w14:solidFill>
          </w14:textFill>
        </w:rPr>
        <w:instrText xml:space="preserve"> PAGEREF _Toc24490 \h </w:instrText>
      </w:r>
      <w:r>
        <w:rPr>
          <w:rFonts w:hint="default" w:ascii="Times New Roman" w:hAnsi="Times New Roman" w:eastAsia="黑体" w:cs="Times New Roman"/>
          <w:color w:val="000000" w:themeColor="text1"/>
          <w:sz w:val="32"/>
          <w:szCs w:val="32"/>
          <w14:textFill>
            <w14:solidFill>
              <w14:schemeClr w14:val="tx1"/>
            </w14:solidFill>
          </w14:textFill>
        </w:rPr>
        <w:fldChar w:fldCharType="separate"/>
      </w:r>
      <w:r>
        <w:rPr>
          <w:rFonts w:hint="default" w:ascii="Times New Roman" w:hAnsi="Times New Roman" w:eastAsia="黑体" w:cs="Times New Roman"/>
          <w:color w:val="000000" w:themeColor="text1"/>
          <w:sz w:val="32"/>
          <w:szCs w:val="32"/>
          <w14:textFill>
            <w14:solidFill>
              <w14:schemeClr w14:val="tx1"/>
            </w14:solidFill>
          </w14:textFill>
        </w:rPr>
        <w:t>16</w:t>
      </w:r>
      <w:r>
        <w:rPr>
          <w:rFonts w:hint="default" w:ascii="Times New Roman" w:hAnsi="Times New Roman" w:eastAsia="黑体" w:cs="Times New Roman"/>
          <w:color w:val="000000" w:themeColor="text1"/>
          <w:sz w:val="32"/>
          <w:szCs w:val="32"/>
          <w14:textFill>
            <w14:solidFill>
              <w14:schemeClr w14:val="tx1"/>
            </w14:solidFill>
          </w14:textFill>
        </w:rPr>
        <w:fldChar w:fldCharType="end"/>
      </w:r>
      <w:r>
        <w:rPr>
          <w:rFonts w:hint="default" w:ascii="Times New Roman" w:hAnsi="Times New Roman" w:eastAsia="黑体" w:cs="Times New Roman"/>
          <w:color w:val="000000" w:themeColor="text1"/>
          <w:sz w:val="32"/>
          <w:szCs w:val="32"/>
          <w14:textFill>
            <w14:solidFill>
              <w14:schemeClr w14:val="tx1"/>
            </w14:solidFill>
          </w14:textFill>
        </w:rPr>
        <w:fldChar w:fldCharType="end"/>
      </w:r>
    </w:p>
    <w:p>
      <w:pPr>
        <w:pStyle w:val="14"/>
        <w:keepNext w:val="0"/>
        <w:keepLines w:val="0"/>
        <w:pageBreakBefore w:val="0"/>
        <w:widowControl w:val="0"/>
        <w:tabs>
          <w:tab w:val="right" w:leader="dot" w:pos="8845"/>
        </w:tabs>
        <w:kinsoku/>
        <w:wordWrap/>
        <w:overflowPunct/>
        <w:topLinePunct w:val="0"/>
        <w:autoSpaceDE/>
        <w:autoSpaceDN/>
        <w:bidi w:val="0"/>
        <w:adjustRightInd/>
        <w:snapToGrid/>
        <w:spacing w:line="560" w:lineRule="exact"/>
        <w:ind w:left="800" w:leftChars="0" w:hanging="800" w:hangingChars="250"/>
        <w:textAlignment w:val="auto"/>
        <w:rPr>
          <w:rFonts w:hint="default" w:ascii="Times New Roman" w:hAnsi="Times New Roman" w:eastAsia="楷体_GB2312" w:cs="Times New Roman"/>
          <w:b w:val="0"/>
          <w:bCs w:val="0"/>
          <w:color w:val="000000" w:themeColor="text1"/>
          <w:sz w:val="32"/>
          <w:szCs w:val="32"/>
          <w14:textFill>
            <w14:solidFill>
              <w14:schemeClr w14:val="tx1"/>
            </w14:solidFill>
          </w14:textFill>
        </w:rPr>
      </w:pPr>
      <w:r>
        <w:rPr>
          <w:rFonts w:hint="default" w:ascii="Times New Roman" w:hAnsi="Times New Roman" w:eastAsia="楷体_GB2312" w:cs="Times New Roman"/>
          <w:b w:val="0"/>
          <w:bCs w:val="0"/>
          <w:color w:val="000000" w:themeColor="text1"/>
          <w:sz w:val="32"/>
          <w:szCs w:val="32"/>
          <w14:textFill>
            <w14:solidFill>
              <w14:schemeClr w14:val="tx1"/>
            </w14:solidFill>
          </w14:textFill>
        </w:rPr>
        <w:fldChar w:fldCharType="begin"/>
      </w:r>
      <w:r>
        <w:rPr>
          <w:rFonts w:hint="default" w:ascii="Times New Roman" w:hAnsi="Times New Roman" w:eastAsia="楷体_GB2312" w:cs="Times New Roman"/>
          <w:b w:val="0"/>
          <w:bCs w:val="0"/>
          <w:color w:val="000000" w:themeColor="text1"/>
          <w:sz w:val="32"/>
          <w:szCs w:val="32"/>
          <w14:textFill>
            <w14:solidFill>
              <w14:schemeClr w14:val="tx1"/>
            </w14:solidFill>
          </w14:textFill>
        </w:rPr>
        <w:instrText xml:space="preserve"> HYPERLINK \l _Toc18292 </w:instrText>
      </w:r>
      <w:r>
        <w:rPr>
          <w:rFonts w:hint="default" w:ascii="Times New Roman" w:hAnsi="Times New Roman" w:eastAsia="楷体_GB2312" w:cs="Times New Roman"/>
          <w:b w:val="0"/>
          <w:bCs w:val="0"/>
          <w:color w:val="000000" w:themeColor="text1"/>
          <w:sz w:val="32"/>
          <w:szCs w:val="32"/>
          <w14:textFill>
            <w14:solidFill>
              <w14:schemeClr w14:val="tx1"/>
            </w14:solidFill>
          </w14:textFill>
        </w:rPr>
        <w:fldChar w:fldCharType="separate"/>
      </w:r>
      <w:r>
        <w:rPr>
          <w:rFonts w:hint="default" w:ascii="Times New Roman" w:hAnsi="Times New Roman" w:eastAsia="楷体_GB2312" w:cs="Times New Roman"/>
          <w:b w:val="0"/>
          <w:bCs w:val="0"/>
          <w:color w:val="000000" w:themeColor="text1"/>
          <w:sz w:val="32"/>
          <w:szCs w:val="32"/>
          <w14:textFill>
            <w14:solidFill>
              <w14:schemeClr w14:val="tx1"/>
            </w14:solidFill>
          </w14:textFill>
        </w:rPr>
        <w:t>一、推动生产性服务业向专业化和价值链高端延伸</w:t>
      </w:r>
      <w:r>
        <w:rPr>
          <w:rFonts w:hint="default" w:ascii="Times New Roman" w:hAnsi="Times New Roman" w:eastAsia="楷体_GB2312" w:cs="Times New Roman"/>
          <w:b w:val="0"/>
          <w:bCs w:val="0"/>
          <w:color w:val="000000" w:themeColor="text1"/>
          <w:sz w:val="32"/>
          <w:szCs w:val="32"/>
          <w14:textFill>
            <w14:solidFill>
              <w14:schemeClr w14:val="tx1"/>
            </w14:solidFill>
          </w14:textFill>
        </w:rPr>
        <w:tab/>
      </w:r>
      <w:r>
        <w:rPr>
          <w:rFonts w:hint="default" w:ascii="Times New Roman" w:hAnsi="Times New Roman" w:eastAsia="楷体_GB2312" w:cs="Times New Roman"/>
          <w:b w:val="0"/>
          <w:bCs w:val="0"/>
          <w:color w:val="000000" w:themeColor="text1"/>
          <w:sz w:val="32"/>
          <w:szCs w:val="32"/>
          <w14:textFill>
            <w14:solidFill>
              <w14:schemeClr w14:val="tx1"/>
            </w14:solidFill>
          </w14:textFill>
        </w:rPr>
        <w:fldChar w:fldCharType="begin"/>
      </w:r>
      <w:r>
        <w:rPr>
          <w:rFonts w:hint="default" w:ascii="Times New Roman" w:hAnsi="Times New Roman" w:eastAsia="楷体_GB2312" w:cs="Times New Roman"/>
          <w:b w:val="0"/>
          <w:bCs w:val="0"/>
          <w:color w:val="000000" w:themeColor="text1"/>
          <w:sz w:val="32"/>
          <w:szCs w:val="32"/>
          <w14:textFill>
            <w14:solidFill>
              <w14:schemeClr w14:val="tx1"/>
            </w14:solidFill>
          </w14:textFill>
        </w:rPr>
        <w:instrText xml:space="preserve"> PAGEREF _Toc18292 \h </w:instrText>
      </w:r>
      <w:r>
        <w:rPr>
          <w:rFonts w:hint="default" w:ascii="Times New Roman" w:hAnsi="Times New Roman" w:eastAsia="楷体_GB2312" w:cs="Times New Roman"/>
          <w:b w:val="0"/>
          <w:bCs w:val="0"/>
          <w:color w:val="000000" w:themeColor="text1"/>
          <w:sz w:val="32"/>
          <w:szCs w:val="32"/>
          <w14:textFill>
            <w14:solidFill>
              <w14:schemeClr w14:val="tx1"/>
            </w14:solidFill>
          </w14:textFill>
        </w:rPr>
        <w:fldChar w:fldCharType="separate"/>
      </w:r>
      <w:r>
        <w:rPr>
          <w:rFonts w:hint="default" w:ascii="Times New Roman" w:hAnsi="Times New Roman" w:eastAsia="楷体_GB2312" w:cs="Times New Roman"/>
          <w:b w:val="0"/>
          <w:bCs w:val="0"/>
          <w:color w:val="000000" w:themeColor="text1"/>
          <w:sz w:val="32"/>
          <w:szCs w:val="32"/>
          <w14:textFill>
            <w14:solidFill>
              <w14:schemeClr w14:val="tx1"/>
            </w14:solidFill>
          </w14:textFill>
        </w:rPr>
        <w:t>16</w:t>
      </w:r>
      <w:r>
        <w:rPr>
          <w:rFonts w:hint="default" w:ascii="Times New Roman" w:hAnsi="Times New Roman" w:eastAsia="楷体_GB2312" w:cs="Times New Roman"/>
          <w:b w:val="0"/>
          <w:bCs w:val="0"/>
          <w:color w:val="000000" w:themeColor="text1"/>
          <w:sz w:val="32"/>
          <w:szCs w:val="32"/>
          <w14:textFill>
            <w14:solidFill>
              <w14:schemeClr w14:val="tx1"/>
            </w14:solidFill>
          </w14:textFill>
        </w:rPr>
        <w:fldChar w:fldCharType="end"/>
      </w:r>
      <w:r>
        <w:rPr>
          <w:rFonts w:hint="default" w:ascii="Times New Roman" w:hAnsi="Times New Roman" w:eastAsia="楷体_GB2312" w:cs="Times New Roman"/>
          <w:b w:val="0"/>
          <w:bCs w:val="0"/>
          <w:color w:val="000000" w:themeColor="text1"/>
          <w:sz w:val="32"/>
          <w:szCs w:val="32"/>
          <w14:textFill>
            <w14:solidFill>
              <w14:schemeClr w14:val="tx1"/>
            </w14:solidFill>
          </w14:textFill>
        </w:rPr>
        <w:fldChar w:fldCharType="end"/>
      </w:r>
    </w:p>
    <w:p>
      <w:pPr>
        <w:pStyle w:val="8"/>
        <w:keepNext w:val="0"/>
        <w:keepLines w:val="0"/>
        <w:pageBreakBefore w:val="0"/>
        <w:widowControl w:val="0"/>
        <w:tabs>
          <w:tab w:val="right" w:leader="dot" w:pos="8845"/>
        </w:tabs>
        <w:kinsoku/>
        <w:wordWrap/>
        <w:overflowPunct/>
        <w:topLinePunct w:val="0"/>
        <w:autoSpaceDE/>
        <w:autoSpaceDN/>
        <w:bidi w:val="0"/>
        <w:adjustRightInd/>
        <w:snapToGrid/>
        <w:spacing w:line="560" w:lineRule="exact"/>
        <w:ind w:left="800" w:leftChars="0" w:hanging="800" w:hangingChars="25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themeColor="text1"/>
          <w:sz w:val="32"/>
          <w:szCs w:val="32"/>
          <w14:textFill>
            <w14:solidFill>
              <w14:schemeClr w14:val="tx1"/>
            </w14:solidFill>
          </w14:textFill>
        </w:rPr>
        <w:fldChar w:fldCharType="begin"/>
      </w:r>
      <w:r>
        <w:rPr>
          <w:rFonts w:hint="default" w:ascii="Times New Roman" w:hAnsi="Times New Roman" w:eastAsia="仿宋_GB2312" w:cs="Times New Roman"/>
          <w:sz w:val="32"/>
          <w:szCs w:val="32"/>
        </w:rPr>
        <w:instrText xml:space="preserve"> HYPERLINK \l _Toc21797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（一）做优做强现代物流业</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_Toc21797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16</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color w:val="000000" w:themeColor="text1"/>
          <w:sz w:val="32"/>
          <w:szCs w:val="32"/>
          <w14:textFill>
            <w14:solidFill>
              <w14:schemeClr w14:val="tx1"/>
            </w14:solidFill>
          </w14:textFill>
        </w:rPr>
        <w:fldChar w:fldCharType="end"/>
      </w:r>
    </w:p>
    <w:p>
      <w:pPr>
        <w:pStyle w:val="8"/>
        <w:keepNext w:val="0"/>
        <w:keepLines w:val="0"/>
        <w:pageBreakBefore w:val="0"/>
        <w:widowControl w:val="0"/>
        <w:tabs>
          <w:tab w:val="right" w:leader="dot" w:pos="8845"/>
        </w:tabs>
        <w:kinsoku/>
        <w:wordWrap/>
        <w:overflowPunct/>
        <w:topLinePunct w:val="0"/>
        <w:autoSpaceDE/>
        <w:autoSpaceDN/>
        <w:bidi w:val="0"/>
        <w:adjustRightInd/>
        <w:snapToGrid/>
        <w:spacing w:line="560" w:lineRule="exact"/>
        <w:ind w:left="800" w:leftChars="0" w:hanging="800" w:hangingChars="25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themeColor="text1"/>
          <w:sz w:val="32"/>
          <w:szCs w:val="32"/>
          <w14:textFill>
            <w14:solidFill>
              <w14:schemeClr w14:val="tx1"/>
            </w14:solidFill>
          </w14:textFill>
        </w:rPr>
        <w:fldChar w:fldCharType="begin"/>
      </w:r>
      <w:r>
        <w:rPr>
          <w:rFonts w:hint="default" w:ascii="Times New Roman" w:hAnsi="Times New Roman" w:eastAsia="仿宋_GB2312" w:cs="Times New Roman"/>
          <w:sz w:val="32"/>
          <w:szCs w:val="32"/>
        </w:rPr>
        <w:instrText xml:space="preserve"> HYPERLINK \l _Toc2007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（二）优化提升商贸服务业</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_Toc2007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19</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color w:val="000000" w:themeColor="text1"/>
          <w:sz w:val="32"/>
          <w:szCs w:val="32"/>
          <w14:textFill>
            <w14:solidFill>
              <w14:schemeClr w14:val="tx1"/>
            </w14:solidFill>
          </w14:textFill>
        </w:rPr>
        <w:fldChar w:fldCharType="end"/>
      </w:r>
    </w:p>
    <w:p>
      <w:pPr>
        <w:pStyle w:val="8"/>
        <w:keepNext w:val="0"/>
        <w:keepLines w:val="0"/>
        <w:pageBreakBefore w:val="0"/>
        <w:widowControl w:val="0"/>
        <w:tabs>
          <w:tab w:val="right" w:leader="dot" w:pos="8845"/>
        </w:tabs>
        <w:kinsoku/>
        <w:wordWrap/>
        <w:overflowPunct/>
        <w:topLinePunct w:val="0"/>
        <w:autoSpaceDE/>
        <w:autoSpaceDN/>
        <w:bidi w:val="0"/>
        <w:adjustRightInd/>
        <w:snapToGrid/>
        <w:spacing w:line="560" w:lineRule="exact"/>
        <w:ind w:left="800" w:leftChars="0" w:hanging="800" w:hangingChars="25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themeColor="text1"/>
          <w:sz w:val="32"/>
          <w:szCs w:val="32"/>
          <w14:textFill>
            <w14:solidFill>
              <w14:schemeClr w14:val="tx1"/>
            </w14:solidFill>
          </w14:textFill>
        </w:rPr>
        <w:fldChar w:fldCharType="begin"/>
      </w:r>
      <w:r>
        <w:rPr>
          <w:rFonts w:hint="default" w:ascii="Times New Roman" w:hAnsi="Times New Roman" w:eastAsia="仿宋_GB2312" w:cs="Times New Roman"/>
          <w:sz w:val="32"/>
          <w:szCs w:val="32"/>
        </w:rPr>
        <w:instrText xml:space="preserve"> HYPERLINK \l _Toc7070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（三）培育壮大现代金融业</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_Toc7070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19</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color w:val="000000" w:themeColor="text1"/>
          <w:sz w:val="32"/>
          <w:szCs w:val="32"/>
          <w14:textFill>
            <w14:solidFill>
              <w14:schemeClr w14:val="tx1"/>
            </w14:solidFill>
          </w14:textFill>
        </w:rPr>
        <w:fldChar w:fldCharType="end"/>
      </w:r>
    </w:p>
    <w:p>
      <w:pPr>
        <w:pStyle w:val="8"/>
        <w:keepNext w:val="0"/>
        <w:keepLines w:val="0"/>
        <w:pageBreakBefore w:val="0"/>
        <w:widowControl w:val="0"/>
        <w:tabs>
          <w:tab w:val="right" w:leader="dot" w:pos="8845"/>
        </w:tabs>
        <w:kinsoku/>
        <w:wordWrap/>
        <w:overflowPunct/>
        <w:topLinePunct w:val="0"/>
        <w:autoSpaceDE/>
        <w:autoSpaceDN/>
        <w:bidi w:val="0"/>
        <w:adjustRightInd/>
        <w:snapToGrid/>
        <w:spacing w:line="560" w:lineRule="exact"/>
        <w:ind w:left="800" w:leftChars="0" w:hanging="800" w:hangingChars="25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themeColor="text1"/>
          <w:sz w:val="32"/>
          <w:szCs w:val="32"/>
          <w14:textFill>
            <w14:solidFill>
              <w14:schemeClr w14:val="tx1"/>
            </w14:solidFill>
          </w14:textFill>
        </w:rPr>
        <w:fldChar w:fldCharType="begin"/>
      </w:r>
      <w:r>
        <w:rPr>
          <w:rFonts w:hint="default" w:ascii="Times New Roman" w:hAnsi="Times New Roman" w:eastAsia="仿宋_GB2312" w:cs="Times New Roman"/>
          <w:sz w:val="32"/>
          <w:szCs w:val="32"/>
        </w:rPr>
        <w:instrText xml:space="preserve"> HYPERLINK \l _Toc24352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（四）创新发展电子商务业</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_Toc24352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21</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color w:val="000000" w:themeColor="text1"/>
          <w:sz w:val="32"/>
          <w:szCs w:val="32"/>
          <w14:textFill>
            <w14:solidFill>
              <w14:schemeClr w14:val="tx1"/>
            </w14:solidFill>
          </w14:textFill>
        </w:rPr>
        <w:fldChar w:fldCharType="end"/>
      </w:r>
    </w:p>
    <w:p>
      <w:pPr>
        <w:pStyle w:val="14"/>
        <w:keepNext w:val="0"/>
        <w:keepLines w:val="0"/>
        <w:pageBreakBefore w:val="0"/>
        <w:widowControl w:val="0"/>
        <w:tabs>
          <w:tab w:val="right" w:leader="dot" w:pos="8845"/>
        </w:tabs>
        <w:kinsoku/>
        <w:wordWrap/>
        <w:overflowPunct/>
        <w:topLinePunct w:val="0"/>
        <w:autoSpaceDE/>
        <w:autoSpaceDN/>
        <w:bidi w:val="0"/>
        <w:adjustRightInd/>
        <w:snapToGrid/>
        <w:spacing w:line="560" w:lineRule="exact"/>
        <w:ind w:left="800" w:leftChars="0" w:hanging="800" w:hangingChars="250"/>
        <w:textAlignment w:val="auto"/>
        <w:rPr>
          <w:rFonts w:hint="default" w:ascii="Times New Roman" w:hAnsi="Times New Roman" w:eastAsia="楷体_GB2312" w:cs="Times New Roman"/>
          <w:b w:val="0"/>
          <w:bCs w:val="0"/>
          <w:color w:val="000000" w:themeColor="text1"/>
          <w:sz w:val="32"/>
          <w:szCs w:val="32"/>
          <w14:textFill>
            <w14:solidFill>
              <w14:schemeClr w14:val="tx1"/>
            </w14:solidFill>
          </w14:textFill>
        </w:rPr>
      </w:pPr>
      <w:r>
        <w:rPr>
          <w:rFonts w:hint="default" w:ascii="Times New Roman" w:hAnsi="Times New Roman" w:eastAsia="楷体_GB2312" w:cs="Times New Roman"/>
          <w:b w:val="0"/>
          <w:bCs w:val="0"/>
          <w:color w:val="000000" w:themeColor="text1"/>
          <w:sz w:val="32"/>
          <w:szCs w:val="32"/>
          <w14:textFill>
            <w14:solidFill>
              <w14:schemeClr w14:val="tx1"/>
            </w14:solidFill>
          </w14:textFill>
        </w:rPr>
        <w:fldChar w:fldCharType="begin"/>
      </w:r>
      <w:r>
        <w:rPr>
          <w:rFonts w:hint="default" w:ascii="Times New Roman" w:hAnsi="Times New Roman" w:eastAsia="楷体_GB2312" w:cs="Times New Roman"/>
          <w:b w:val="0"/>
          <w:bCs w:val="0"/>
          <w:color w:val="000000" w:themeColor="text1"/>
          <w:sz w:val="32"/>
          <w:szCs w:val="32"/>
          <w14:textFill>
            <w14:solidFill>
              <w14:schemeClr w14:val="tx1"/>
            </w14:solidFill>
          </w14:textFill>
        </w:rPr>
        <w:instrText xml:space="preserve"> HYPERLINK \l _Toc20680 </w:instrText>
      </w:r>
      <w:r>
        <w:rPr>
          <w:rFonts w:hint="default" w:ascii="Times New Roman" w:hAnsi="Times New Roman" w:eastAsia="楷体_GB2312" w:cs="Times New Roman"/>
          <w:b w:val="0"/>
          <w:bCs w:val="0"/>
          <w:color w:val="000000" w:themeColor="text1"/>
          <w:sz w:val="32"/>
          <w:szCs w:val="32"/>
          <w14:textFill>
            <w14:solidFill>
              <w14:schemeClr w14:val="tx1"/>
            </w14:solidFill>
          </w14:textFill>
        </w:rPr>
        <w:fldChar w:fldCharType="separate"/>
      </w:r>
      <w:r>
        <w:rPr>
          <w:rFonts w:hint="default" w:ascii="Times New Roman" w:hAnsi="Times New Roman" w:eastAsia="楷体_GB2312" w:cs="Times New Roman"/>
          <w:b w:val="0"/>
          <w:bCs w:val="0"/>
          <w:color w:val="000000" w:themeColor="text1"/>
          <w:sz w:val="32"/>
          <w:szCs w:val="32"/>
          <w14:textFill>
            <w14:solidFill>
              <w14:schemeClr w14:val="tx1"/>
            </w14:solidFill>
          </w14:textFill>
        </w:rPr>
        <w:t>二、推动生活性服务业向高品质升级和多样化发展</w:t>
      </w:r>
      <w:r>
        <w:rPr>
          <w:rFonts w:hint="default" w:ascii="Times New Roman" w:hAnsi="Times New Roman" w:eastAsia="楷体_GB2312" w:cs="Times New Roman"/>
          <w:b w:val="0"/>
          <w:bCs w:val="0"/>
          <w:color w:val="000000" w:themeColor="text1"/>
          <w:sz w:val="32"/>
          <w:szCs w:val="32"/>
          <w14:textFill>
            <w14:solidFill>
              <w14:schemeClr w14:val="tx1"/>
            </w14:solidFill>
          </w14:textFill>
        </w:rPr>
        <w:tab/>
      </w:r>
      <w:r>
        <w:rPr>
          <w:rFonts w:hint="default" w:ascii="Times New Roman" w:hAnsi="Times New Roman" w:eastAsia="楷体_GB2312" w:cs="Times New Roman"/>
          <w:b w:val="0"/>
          <w:bCs w:val="0"/>
          <w:color w:val="000000" w:themeColor="text1"/>
          <w:sz w:val="32"/>
          <w:szCs w:val="32"/>
          <w14:textFill>
            <w14:solidFill>
              <w14:schemeClr w14:val="tx1"/>
            </w14:solidFill>
          </w14:textFill>
        </w:rPr>
        <w:fldChar w:fldCharType="begin"/>
      </w:r>
      <w:r>
        <w:rPr>
          <w:rFonts w:hint="default" w:ascii="Times New Roman" w:hAnsi="Times New Roman" w:eastAsia="楷体_GB2312" w:cs="Times New Roman"/>
          <w:b w:val="0"/>
          <w:bCs w:val="0"/>
          <w:color w:val="000000" w:themeColor="text1"/>
          <w:sz w:val="32"/>
          <w:szCs w:val="32"/>
          <w14:textFill>
            <w14:solidFill>
              <w14:schemeClr w14:val="tx1"/>
            </w14:solidFill>
          </w14:textFill>
        </w:rPr>
        <w:instrText xml:space="preserve"> PAGEREF _Toc20680 \h </w:instrText>
      </w:r>
      <w:r>
        <w:rPr>
          <w:rFonts w:hint="default" w:ascii="Times New Roman" w:hAnsi="Times New Roman" w:eastAsia="楷体_GB2312" w:cs="Times New Roman"/>
          <w:b w:val="0"/>
          <w:bCs w:val="0"/>
          <w:color w:val="000000" w:themeColor="text1"/>
          <w:sz w:val="32"/>
          <w:szCs w:val="32"/>
          <w14:textFill>
            <w14:solidFill>
              <w14:schemeClr w14:val="tx1"/>
            </w14:solidFill>
          </w14:textFill>
        </w:rPr>
        <w:fldChar w:fldCharType="separate"/>
      </w:r>
      <w:r>
        <w:rPr>
          <w:rFonts w:hint="default" w:ascii="Times New Roman" w:hAnsi="Times New Roman" w:eastAsia="楷体_GB2312" w:cs="Times New Roman"/>
          <w:b w:val="0"/>
          <w:bCs w:val="0"/>
          <w:color w:val="000000" w:themeColor="text1"/>
          <w:sz w:val="32"/>
          <w:szCs w:val="32"/>
          <w14:textFill>
            <w14:solidFill>
              <w14:schemeClr w14:val="tx1"/>
            </w14:solidFill>
          </w14:textFill>
        </w:rPr>
        <w:t>28</w:t>
      </w:r>
      <w:r>
        <w:rPr>
          <w:rFonts w:hint="default" w:ascii="Times New Roman" w:hAnsi="Times New Roman" w:eastAsia="楷体_GB2312" w:cs="Times New Roman"/>
          <w:b w:val="0"/>
          <w:bCs w:val="0"/>
          <w:color w:val="000000" w:themeColor="text1"/>
          <w:sz w:val="32"/>
          <w:szCs w:val="32"/>
          <w14:textFill>
            <w14:solidFill>
              <w14:schemeClr w14:val="tx1"/>
            </w14:solidFill>
          </w14:textFill>
        </w:rPr>
        <w:fldChar w:fldCharType="end"/>
      </w:r>
      <w:r>
        <w:rPr>
          <w:rFonts w:hint="default" w:ascii="Times New Roman" w:hAnsi="Times New Roman" w:eastAsia="楷体_GB2312" w:cs="Times New Roman"/>
          <w:b w:val="0"/>
          <w:bCs w:val="0"/>
          <w:color w:val="000000" w:themeColor="text1"/>
          <w:sz w:val="32"/>
          <w:szCs w:val="32"/>
          <w14:textFill>
            <w14:solidFill>
              <w14:schemeClr w14:val="tx1"/>
            </w14:solidFill>
          </w14:textFill>
        </w:rPr>
        <w:fldChar w:fldCharType="end"/>
      </w:r>
    </w:p>
    <w:p>
      <w:pPr>
        <w:pStyle w:val="8"/>
        <w:keepNext w:val="0"/>
        <w:keepLines w:val="0"/>
        <w:pageBreakBefore w:val="0"/>
        <w:widowControl w:val="0"/>
        <w:tabs>
          <w:tab w:val="right" w:leader="dot" w:pos="8845"/>
        </w:tabs>
        <w:kinsoku/>
        <w:wordWrap/>
        <w:overflowPunct/>
        <w:topLinePunct w:val="0"/>
        <w:autoSpaceDE/>
        <w:autoSpaceDN/>
        <w:bidi w:val="0"/>
        <w:adjustRightInd/>
        <w:snapToGrid/>
        <w:spacing w:line="560" w:lineRule="exact"/>
        <w:ind w:left="800" w:leftChars="0" w:hanging="800" w:hangingChars="25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themeColor="text1"/>
          <w:sz w:val="32"/>
          <w:szCs w:val="32"/>
          <w14:textFill>
            <w14:solidFill>
              <w14:schemeClr w14:val="tx1"/>
            </w14:solidFill>
          </w14:textFill>
        </w:rPr>
        <w:fldChar w:fldCharType="begin"/>
      </w:r>
      <w:r>
        <w:rPr>
          <w:rFonts w:hint="default" w:ascii="Times New Roman" w:hAnsi="Times New Roman" w:eastAsia="仿宋_GB2312" w:cs="Times New Roman"/>
          <w:sz w:val="32"/>
          <w:szCs w:val="32"/>
        </w:rPr>
        <w:instrText xml:space="preserve"> HYPERLINK \l _Toc23864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（一）提档升级文化旅游业</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_Toc23864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28</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color w:val="000000" w:themeColor="text1"/>
          <w:sz w:val="32"/>
          <w:szCs w:val="32"/>
          <w14:textFill>
            <w14:solidFill>
              <w14:schemeClr w14:val="tx1"/>
            </w14:solidFill>
          </w14:textFill>
        </w:rPr>
        <w:fldChar w:fldCharType="end"/>
      </w:r>
    </w:p>
    <w:p>
      <w:pPr>
        <w:pStyle w:val="8"/>
        <w:keepNext w:val="0"/>
        <w:keepLines w:val="0"/>
        <w:pageBreakBefore w:val="0"/>
        <w:widowControl w:val="0"/>
        <w:tabs>
          <w:tab w:val="right" w:leader="dot" w:pos="8845"/>
        </w:tabs>
        <w:kinsoku/>
        <w:wordWrap/>
        <w:overflowPunct/>
        <w:topLinePunct w:val="0"/>
        <w:autoSpaceDE/>
        <w:autoSpaceDN/>
        <w:bidi w:val="0"/>
        <w:adjustRightInd/>
        <w:snapToGrid/>
        <w:spacing w:line="560" w:lineRule="exact"/>
        <w:ind w:left="800" w:leftChars="0" w:hanging="800" w:hangingChars="25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themeColor="text1"/>
          <w:sz w:val="32"/>
          <w:szCs w:val="32"/>
          <w14:textFill>
            <w14:solidFill>
              <w14:schemeClr w14:val="tx1"/>
            </w14:solidFill>
          </w14:textFill>
        </w:rPr>
        <w:fldChar w:fldCharType="begin"/>
      </w:r>
      <w:r>
        <w:rPr>
          <w:rFonts w:hint="default" w:ascii="Times New Roman" w:hAnsi="Times New Roman" w:eastAsia="仿宋_GB2312" w:cs="Times New Roman"/>
          <w:sz w:val="32"/>
          <w:szCs w:val="32"/>
        </w:rPr>
        <w:instrText xml:space="preserve"> HYPERLINK \l _Toc4573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（二）优化发展商贸流通业</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_Toc4573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31</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color w:val="000000" w:themeColor="text1"/>
          <w:sz w:val="32"/>
          <w:szCs w:val="32"/>
          <w14:textFill>
            <w14:solidFill>
              <w14:schemeClr w14:val="tx1"/>
            </w14:solidFill>
          </w14:textFill>
        </w:rPr>
        <w:fldChar w:fldCharType="end"/>
      </w:r>
    </w:p>
    <w:p>
      <w:pPr>
        <w:pStyle w:val="8"/>
        <w:keepNext w:val="0"/>
        <w:keepLines w:val="0"/>
        <w:pageBreakBefore w:val="0"/>
        <w:widowControl w:val="0"/>
        <w:tabs>
          <w:tab w:val="right" w:leader="dot" w:pos="8845"/>
        </w:tabs>
        <w:kinsoku/>
        <w:wordWrap/>
        <w:overflowPunct/>
        <w:topLinePunct w:val="0"/>
        <w:autoSpaceDE/>
        <w:autoSpaceDN/>
        <w:bidi w:val="0"/>
        <w:adjustRightInd/>
        <w:snapToGrid/>
        <w:spacing w:line="560" w:lineRule="exact"/>
        <w:ind w:left="800" w:leftChars="0" w:hanging="800" w:hangingChars="25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themeColor="text1"/>
          <w:sz w:val="32"/>
          <w:szCs w:val="32"/>
          <w14:textFill>
            <w14:solidFill>
              <w14:schemeClr w14:val="tx1"/>
            </w14:solidFill>
          </w14:textFill>
        </w:rPr>
        <w:fldChar w:fldCharType="begin"/>
      </w:r>
      <w:r>
        <w:rPr>
          <w:rFonts w:hint="default" w:ascii="Times New Roman" w:hAnsi="Times New Roman" w:eastAsia="仿宋_GB2312" w:cs="Times New Roman"/>
          <w:sz w:val="32"/>
          <w:szCs w:val="32"/>
        </w:rPr>
        <w:instrText xml:space="preserve"> HYPERLINK \l _Toc11142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（三）积极发展健康养老业</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_Toc11142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34</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color w:val="000000" w:themeColor="text1"/>
          <w:sz w:val="32"/>
          <w:szCs w:val="32"/>
          <w14:textFill>
            <w14:solidFill>
              <w14:schemeClr w14:val="tx1"/>
            </w14:solidFill>
          </w14:textFill>
        </w:rPr>
        <w:fldChar w:fldCharType="end"/>
      </w:r>
    </w:p>
    <w:p>
      <w:pPr>
        <w:pStyle w:val="8"/>
        <w:keepNext w:val="0"/>
        <w:keepLines w:val="0"/>
        <w:pageBreakBefore w:val="0"/>
        <w:widowControl w:val="0"/>
        <w:tabs>
          <w:tab w:val="right" w:leader="dot" w:pos="8845"/>
        </w:tabs>
        <w:kinsoku/>
        <w:wordWrap/>
        <w:overflowPunct/>
        <w:topLinePunct w:val="0"/>
        <w:autoSpaceDE/>
        <w:autoSpaceDN/>
        <w:bidi w:val="0"/>
        <w:adjustRightInd/>
        <w:snapToGrid/>
        <w:spacing w:line="560" w:lineRule="exact"/>
        <w:ind w:left="800" w:leftChars="0" w:hanging="800" w:hangingChars="25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themeColor="text1"/>
          <w:sz w:val="32"/>
          <w:szCs w:val="32"/>
          <w14:textFill>
            <w14:solidFill>
              <w14:schemeClr w14:val="tx1"/>
            </w14:solidFill>
          </w14:textFill>
        </w:rPr>
        <w:fldChar w:fldCharType="begin"/>
      </w:r>
      <w:r>
        <w:rPr>
          <w:rFonts w:hint="default" w:ascii="Times New Roman" w:hAnsi="Times New Roman" w:eastAsia="仿宋_GB2312" w:cs="Times New Roman"/>
          <w:sz w:val="32"/>
          <w:szCs w:val="32"/>
        </w:rPr>
        <w:instrText xml:space="preserve"> HYPERLINK \l _Toc10097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（四）规范发展社区服务业</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_Toc10097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37</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color w:val="000000" w:themeColor="text1"/>
          <w:sz w:val="32"/>
          <w:szCs w:val="32"/>
          <w14:textFill>
            <w14:solidFill>
              <w14:schemeClr w14:val="tx1"/>
            </w14:solidFill>
          </w14:textFill>
        </w:rPr>
        <w:fldChar w:fldCharType="end"/>
      </w:r>
    </w:p>
    <w:p>
      <w:pPr>
        <w:pStyle w:val="8"/>
        <w:keepNext w:val="0"/>
        <w:keepLines w:val="0"/>
        <w:pageBreakBefore w:val="0"/>
        <w:widowControl w:val="0"/>
        <w:tabs>
          <w:tab w:val="right" w:leader="dot" w:pos="8845"/>
        </w:tabs>
        <w:kinsoku/>
        <w:wordWrap/>
        <w:overflowPunct/>
        <w:topLinePunct w:val="0"/>
        <w:autoSpaceDE/>
        <w:autoSpaceDN/>
        <w:bidi w:val="0"/>
        <w:adjustRightInd/>
        <w:snapToGrid/>
        <w:spacing w:line="560" w:lineRule="exact"/>
        <w:ind w:left="800" w:leftChars="0" w:hanging="800" w:hangingChars="25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themeColor="text1"/>
          <w:sz w:val="32"/>
          <w:szCs w:val="32"/>
          <w14:textFill>
            <w14:solidFill>
              <w14:schemeClr w14:val="tx1"/>
            </w14:solidFill>
          </w14:textFill>
        </w:rPr>
        <w:fldChar w:fldCharType="begin"/>
      </w:r>
      <w:r>
        <w:rPr>
          <w:rFonts w:hint="default" w:ascii="Times New Roman" w:hAnsi="Times New Roman" w:eastAsia="仿宋_GB2312" w:cs="Times New Roman"/>
          <w:sz w:val="32"/>
          <w:szCs w:val="32"/>
        </w:rPr>
        <w:instrText xml:space="preserve"> HYPERLINK \l _Toc18923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（五）促进发展体育服务业</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_Toc18923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38</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color w:val="000000" w:themeColor="text1"/>
          <w:sz w:val="32"/>
          <w:szCs w:val="32"/>
          <w14:textFill>
            <w14:solidFill>
              <w14:schemeClr w14:val="tx1"/>
            </w14:solidFill>
          </w14:textFill>
        </w:rPr>
        <w:fldChar w:fldCharType="end"/>
      </w:r>
    </w:p>
    <w:p>
      <w:pPr>
        <w:pStyle w:val="14"/>
        <w:keepNext w:val="0"/>
        <w:keepLines w:val="0"/>
        <w:pageBreakBefore w:val="0"/>
        <w:widowControl w:val="0"/>
        <w:tabs>
          <w:tab w:val="right" w:leader="dot" w:pos="8845"/>
        </w:tabs>
        <w:kinsoku/>
        <w:wordWrap/>
        <w:overflowPunct/>
        <w:topLinePunct w:val="0"/>
        <w:autoSpaceDE/>
        <w:autoSpaceDN/>
        <w:bidi w:val="0"/>
        <w:adjustRightInd/>
        <w:snapToGrid/>
        <w:spacing w:line="560" w:lineRule="exact"/>
        <w:ind w:left="800" w:leftChars="0" w:hanging="800" w:hangingChars="250"/>
        <w:textAlignment w:val="auto"/>
        <w:rPr>
          <w:rFonts w:hint="default" w:ascii="Times New Roman" w:hAnsi="Times New Roman" w:eastAsia="楷体_GB2312" w:cs="Times New Roman"/>
          <w:b w:val="0"/>
          <w:bCs w:val="0"/>
          <w:color w:val="000000" w:themeColor="text1"/>
          <w:sz w:val="32"/>
          <w:szCs w:val="32"/>
          <w14:textFill>
            <w14:solidFill>
              <w14:schemeClr w14:val="tx1"/>
            </w14:solidFill>
          </w14:textFill>
        </w:rPr>
      </w:pPr>
      <w:r>
        <w:rPr>
          <w:rFonts w:hint="default" w:ascii="Times New Roman" w:hAnsi="Times New Roman" w:eastAsia="楷体_GB2312" w:cs="Times New Roman"/>
          <w:b w:val="0"/>
          <w:bCs w:val="0"/>
          <w:color w:val="000000" w:themeColor="text1"/>
          <w:sz w:val="32"/>
          <w:szCs w:val="32"/>
          <w14:textFill>
            <w14:solidFill>
              <w14:schemeClr w14:val="tx1"/>
            </w14:solidFill>
          </w14:textFill>
        </w:rPr>
        <w:fldChar w:fldCharType="begin"/>
      </w:r>
      <w:r>
        <w:rPr>
          <w:rFonts w:hint="default" w:ascii="Times New Roman" w:hAnsi="Times New Roman" w:eastAsia="楷体_GB2312" w:cs="Times New Roman"/>
          <w:b w:val="0"/>
          <w:bCs w:val="0"/>
          <w:color w:val="000000" w:themeColor="text1"/>
          <w:sz w:val="32"/>
          <w:szCs w:val="32"/>
          <w14:textFill>
            <w14:solidFill>
              <w14:schemeClr w14:val="tx1"/>
            </w14:solidFill>
          </w14:textFill>
        </w:rPr>
        <w:instrText xml:space="preserve"> HYPERLINK \l _Toc3327 </w:instrText>
      </w:r>
      <w:r>
        <w:rPr>
          <w:rFonts w:hint="default" w:ascii="Times New Roman" w:hAnsi="Times New Roman" w:eastAsia="楷体_GB2312" w:cs="Times New Roman"/>
          <w:b w:val="0"/>
          <w:bCs w:val="0"/>
          <w:color w:val="000000" w:themeColor="text1"/>
          <w:sz w:val="32"/>
          <w:szCs w:val="32"/>
          <w14:textFill>
            <w14:solidFill>
              <w14:schemeClr w14:val="tx1"/>
            </w14:solidFill>
          </w14:textFill>
        </w:rPr>
        <w:fldChar w:fldCharType="separate"/>
      </w:r>
      <w:r>
        <w:rPr>
          <w:rFonts w:hint="default" w:ascii="Times New Roman" w:hAnsi="Times New Roman" w:eastAsia="楷体_GB2312" w:cs="Times New Roman"/>
          <w:b w:val="0"/>
          <w:bCs w:val="0"/>
          <w:color w:val="000000" w:themeColor="text1"/>
          <w:sz w:val="32"/>
          <w:szCs w:val="32"/>
          <w14:textFill>
            <w14:solidFill>
              <w14:schemeClr w14:val="tx1"/>
            </w14:solidFill>
          </w14:textFill>
        </w:rPr>
        <w:t>三、推动新业态服务业向数字化和线上化发展</w:t>
      </w:r>
      <w:r>
        <w:rPr>
          <w:rFonts w:hint="default" w:ascii="Times New Roman" w:hAnsi="Times New Roman" w:eastAsia="楷体_GB2312" w:cs="Times New Roman"/>
          <w:b w:val="0"/>
          <w:bCs w:val="0"/>
          <w:color w:val="000000" w:themeColor="text1"/>
          <w:sz w:val="32"/>
          <w:szCs w:val="32"/>
          <w14:textFill>
            <w14:solidFill>
              <w14:schemeClr w14:val="tx1"/>
            </w14:solidFill>
          </w14:textFill>
        </w:rPr>
        <w:tab/>
      </w:r>
      <w:r>
        <w:rPr>
          <w:rFonts w:hint="default" w:ascii="Times New Roman" w:hAnsi="Times New Roman" w:eastAsia="楷体_GB2312" w:cs="Times New Roman"/>
          <w:b w:val="0"/>
          <w:bCs w:val="0"/>
          <w:color w:val="000000" w:themeColor="text1"/>
          <w:sz w:val="32"/>
          <w:szCs w:val="32"/>
          <w14:textFill>
            <w14:solidFill>
              <w14:schemeClr w14:val="tx1"/>
            </w14:solidFill>
          </w14:textFill>
        </w:rPr>
        <w:fldChar w:fldCharType="begin"/>
      </w:r>
      <w:r>
        <w:rPr>
          <w:rFonts w:hint="default" w:ascii="Times New Roman" w:hAnsi="Times New Roman" w:eastAsia="楷体_GB2312" w:cs="Times New Roman"/>
          <w:b w:val="0"/>
          <w:bCs w:val="0"/>
          <w:color w:val="000000" w:themeColor="text1"/>
          <w:sz w:val="32"/>
          <w:szCs w:val="32"/>
          <w14:textFill>
            <w14:solidFill>
              <w14:schemeClr w14:val="tx1"/>
            </w14:solidFill>
          </w14:textFill>
        </w:rPr>
        <w:instrText xml:space="preserve"> PAGEREF _Toc3327 \h </w:instrText>
      </w:r>
      <w:r>
        <w:rPr>
          <w:rFonts w:hint="default" w:ascii="Times New Roman" w:hAnsi="Times New Roman" w:eastAsia="楷体_GB2312" w:cs="Times New Roman"/>
          <w:b w:val="0"/>
          <w:bCs w:val="0"/>
          <w:color w:val="000000" w:themeColor="text1"/>
          <w:sz w:val="32"/>
          <w:szCs w:val="32"/>
          <w14:textFill>
            <w14:solidFill>
              <w14:schemeClr w14:val="tx1"/>
            </w14:solidFill>
          </w14:textFill>
        </w:rPr>
        <w:fldChar w:fldCharType="separate"/>
      </w:r>
      <w:r>
        <w:rPr>
          <w:rFonts w:hint="default" w:ascii="Times New Roman" w:hAnsi="Times New Roman" w:eastAsia="楷体_GB2312" w:cs="Times New Roman"/>
          <w:b w:val="0"/>
          <w:bCs w:val="0"/>
          <w:color w:val="000000" w:themeColor="text1"/>
          <w:sz w:val="32"/>
          <w:szCs w:val="32"/>
          <w14:textFill>
            <w14:solidFill>
              <w14:schemeClr w14:val="tx1"/>
            </w14:solidFill>
          </w14:textFill>
        </w:rPr>
        <w:t>39</w:t>
      </w:r>
      <w:r>
        <w:rPr>
          <w:rFonts w:hint="default" w:ascii="Times New Roman" w:hAnsi="Times New Roman" w:eastAsia="楷体_GB2312" w:cs="Times New Roman"/>
          <w:b w:val="0"/>
          <w:bCs w:val="0"/>
          <w:color w:val="000000" w:themeColor="text1"/>
          <w:sz w:val="32"/>
          <w:szCs w:val="32"/>
          <w14:textFill>
            <w14:solidFill>
              <w14:schemeClr w14:val="tx1"/>
            </w14:solidFill>
          </w14:textFill>
        </w:rPr>
        <w:fldChar w:fldCharType="end"/>
      </w:r>
      <w:r>
        <w:rPr>
          <w:rFonts w:hint="default" w:ascii="Times New Roman" w:hAnsi="Times New Roman" w:eastAsia="楷体_GB2312" w:cs="Times New Roman"/>
          <w:b w:val="0"/>
          <w:bCs w:val="0"/>
          <w:color w:val="000000" w:themeColor="text1"/>
          <w:sz w:val="32"/>
          <w:szCs w:val="32"/>
          <w14:textFill>
            <w14:solidFill>
              <w14:schemeClr w14:val="tx1"/>
            </w14:solidFill>
          </w14:textFill>
        </w:rPr>
        <w:fldChar w:fldCharType="end"/>
      </w:r>
    </w:p>
    <w:p>
      <w:pPr>
        <w:pStyle w:val="8"/>
        <w:keepNext w:val="0"/>
        <w:keepLines w:val="0"/>
        <w:pageBreakBefore w:val="0"/>
        <w:widowControl w:val="0"/>
        <w:tabs>
          <w:tab w:val="right" w:leader="dot" w:pos="8845"/>
        </w:tabs>
        <w:kinsoku/>
        <w:wordWrap/>
        <w:overflowPunct/>
        <w:topLinePunct w:val="0"/>
        <w:autoSpaceDE/>
        <w:autoSpaceDN/>
        <w:bidi w:val="0"/>
        <w:adjustRightInd/>
        <w:snapToGrid/>
        <w:spacing w:line="560" w:lineRule="exact"/>
        <w:ind w:left="800" w:leftChars="0" w:hanging="800" w:hangingChars="25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themeColor="text1"/>
          <w:sz w:val="32"/>
          <w:szCs w:val="32"/>
          <w14:textFill>
            <w14:solidFill>
              <w14:schemeClr w14:val="tx1"/>
            </w14:solidFill>
          </w14:textFill>
        </w:rPr>
        <w:fldChar w:fldCharType="begin"/>
      </w:r>
      <w:r>
        <w:rPr>
          <w:rFonts w:hint="default" w:ascii="Times New Roman" w:hAnsi="Times New Roman" w:eastAsia="仿宋_GB2312" w:cs="Times New Roman"/>
          <w:sz w:val="32"/>
          <w:szCs w:val="32"/>
        </w:rPr>
        <w:instrText xml:space="preserve"> HYPERLINK \l _Toc15531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（一）重点发展线上业态</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_Toc15531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39</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color w:val="000000" w:themeColor="text1"/>
          <w:sz w:val="32"/>
          <w:szCs w:val="32"/>
          <w14:textFill>
            <w14:solidFill>
              <w14:schemeClr w14:val="tx1"/>
            </w14:solidFill>
          </w14:textFill>
        </w:rPr>
        <w:fldChar w:fldCharType="end"/>
      </w:r>
    </w:p>
    <w:p>
      <w:pPr>
        <w:pStyle w:val="8"/>
        <w:keepNext w:val="0"/>
        <w:keepLines w:val="0"/>
        <w:pageBreakBefore w:val="0"/>
        <w:widowControl w:val="0"/>
        <w:tabs>
          <w:tab w:val="right" w:leader="dot" w:pos="8845"/>
        </w:tabs>
        <w:kinsoku/>
        <w:wordWrap/>
        <w:overflowPunct/>
        <w:topLinePunct w:val="0"/>
        <w:autoSpaceDE/>
        <w:autoSpaceDN/>
        <w:bidi w:val="0"/>
        <w:adjustRightInd/>
        <w:snapToGrid/>
        <w:spacing w:line="560" w:lineRule="exact"/>
        <w:ind w:left="800" w:leftChars="0" w:hanging="800" w:hangingChars="25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themeColor="text1"/>
          <w:sz w:val="32"/>
          <w:szCs w:val="32"/>
          <w14:textFill>
            <w14:solidFill>
              <w14:schemeClr w14:val="tx1"/>
            </w14:solidFill>
          </w14:textFill>
        </w:rPr>
        <w:fldChar w:fldCharType="begin"/>
      </w:r>
      <w:r>
        <w:rPr>
          <w:rFonts w:hint="default" w:ascii="Times New Roman" w:hAnsi="Times New Roman" w:eastAsia="仿宋_GB2312" w:cs="Times New Roman"/>
          <w:sz w:val="32"/>
          <w:szCs w:val="32"/>
        </w:rPr>
        <w:instrText xml:space="preserve"> HYPERLINK \l _Toc6565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（二）创新模式发展线上服务</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_Toc6565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40</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color w:val="000000" w:themeColor="text1"/>
          <w:sz w:val="32"/>
          <w:szCs w:val="32"/>
          <w14:textFill>
            <w14:solidFill>
              <w14:schemeClr w14:val="tx1"/>
            </w14:solidFill>
          </w14:textFill>
        </w:rPr>
        <w:fldChar w:fldCharType="end"/>
      </w:r>
    </w:p>
    <w:p>
      <w:pPr>
        <w:pStyle w:val="8"/>
        <w:keepNext w:val="0"/>
        <w:keepLines w:val="0"/>
        <w:pageBreakBefore w:val="0"/>
        <w:widowControl w:val="0"/>
        <w:tabs>
          <w:tab w:val="right" w:leader="dot" w:pos="8845"/>
        </w:tabs>
        <w:kinsoku/>
        <w:wordWrap/>
        <w:overflowPunct/>
        <w:topLinePunct w:val="0"/>
        <w:autoSpaceDE/>
        <w:autoSpaceDN/>
        <w:bidi w:val="0"/>
        <w:adjustRightInd/>
        <w:snapToGrid/>
        <w:spacing w:line="560" w:lineRule="exact"/>
        <w:ind w:left="800" w:leftChars="0" w:hanging="800" w:hangingChars="25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themeColor="text1"/>
          <w:sz w:val="32"/>
          <w:szCs w:val="32"/>
          <w14:textFill>
            <w14:solidFill>
              <w14:schemeClr w14:val="tx1"/>
            </w14:solidFill>
          </w14:textFill>
        </w:rPr>
        <w:fldChar w:fldCharType="begin"/>
      </w:r>
      <w:r>
        <w:rPr>
          <w:rFonts w:hint="default" w:ascii="Times New Roman" w:hAnsi="Times New Roman" w:eastAsia="仿宋_GB2312" w:cs="Times New Roman"/>
          <w:sz w:val="32"/>
          <w:szCs w:val="32"/>
        </w:rPr>
        <w:instrText xml:space="preserve"> HYPERLINK \l _Toc31404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（三）推动“一网统筹”线上管理</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_Toc31404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42</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color w:val="000000" w:themeColor="text1"/>
          <w:sz w:val="32"/>
          <w:szCs w:val="32"/>
          <w14:textFill>
            <w14:solidFill>
              <w14:schemeClr w14:val="tx1"/>
            </w14:solidFill>
          </w14:textFill>
        </w:rPr>
        <w:fldChar w:fldCharType="end"/>
      </w:r>
    </w:p>
    <w:p>
      <w:pPr>
        <w:pStyle w:val="13"/>
        <w:keepNext w:val="0"/>
        <w:keepLines w:val="0"/>
        <w:pageBreakBefore w:val="0"/>
        <w:widowControl w:val="0"/>
        <w:tabs>
          <w:tab w:val="right" w:leader="dot" w:pos="8845"/>
        </w:tabs>
        <w:kinsoku/>
        <w:wordWrap/>
        <w:overflowPunct/>
        <w:topLinePunct w:val="0"/>
        <w:autoSpaceDE/>
        <w:autoSpaceDN/>
        <w:bidi w:val="0"/>
        <w:adjustRightInd/>
        <w:snapToGrid/>
        <w:spacing w:line="560" w:lineRule="exact"/>
        <w:ind w:left="800" w:leftChars="0" w:hanging="800" w:hangingChars="250"/>
        <w:textAlignment w:val="auto"/>
        <w:rPr>
          <w:rFonts w:hint="default" w:ascii="Times New Roman" w:hAnsi="Times New Roman" w:eastAsia="黑体" w:cs="Times New Roman"/>
          <w:color w:val="000000" w:themeColor="text1"/>
          <w:sz w:val="32"/>
          <w:szCs w:val="32"/>
          <w14:textFill>
            <w14:solidFill>
              <w14:schemeClr w14:val="tx1"/>
            </w14:solidFill>
          </w14:textFill>
        </w:rPr>
      </w:pPr>
      <w:r>
        <w:rPr>
          <w:rFonts w:hint="default" w:ascii="Times New Roman" w:hAnsi="Times New Roman" w:eastAsia="黑体" w:cs="Times New Roman"/>
          <w:color w:val="000000" w:themeColor="text1"/>
          <w:sz w:val="32"/>
          <w:szCs w:val="32"/>
          <w14:textFill>
            <w14:solidFill>
              <w14:schemeClr w14:val="tx1"/>
            </w14:solidFill>
          </w14:textFill>
        </w:rPr>
        <w:fldChar w:fldCharType="begin"/>
      </w:r>
      <w:r>
        <w:rPr>
          <w:rFonts w:hint="default" w:ascii="Times New Roman" w:hAnsi="Times New Roman" w:eastAsia="黑体" w:cs="Times New Roman"/>
          <w:color w:val="000000" w:themeColor="text1"/>
          <w:sz w:val="32"/>
          <w:szCs w:val="32"/>
          <w14:textFill>
            <w14:solidFill>
              <w14:schemeClr w14:val="tx1"/>
            </w14:solidFill>
          </w14:textFill>
        </w:rPr>
        <w:instrText xml:space="preserve"> HYPERLINK \l _Toc31718 </w:instrText>
      </w:r>
      <w:r>
        <w:rPr>
          <w:rFonts w:hint="default" w:ascii="Times New Roman" w:hAnsi="Times New Roman" w:eastAsia="黑体" w:cs="Times New Roman"/>
          <w:color w:val="000000" w:themeColor="text1"/>
          <w:sz w:val="32"/>
          <w:szCs w:val="32"/>
          <w14:textFill>
            <w14:solidFill>
              <w14:schemeClr w14:val="tx1"/>
            </w14:solidFill>
          </w14:textFill>
        </w:rPr>
        <w:fldChar w:fldCharType="separate"/>
      </w:r>
      <w:r>
        <w:rPr>
          <w:rFonts w:hint="default" w:ascii="Times New Roman" w:hAnsi="Times New Roman" w:eastAsia="黑体" w:cs="Times New Roman"/>
          <w:color w:val="000000" w:themeColor="text1"/>
          <w:sz w:val="32"/>
          <w:szCs w:val="32"/>
          <w14:textFill>
            <w14:solidFill>
              <w14:schemeClr w14:val="tx1"/>
            </w14:solidFill>
          </w14:textFill>
        </w:rPr>
        <w:t>第四章  重点工程</w:t>
      </w:r>
      <w:r>
        <w:rPr>
          <w:rFonts w:hint="default" w:ascii="Times New Roman" w:hAnsi="Times New Roman" w:eastAsia="黑体" w:cs="Times New Roman"/>
          <w:color w:val="000000" w:themeColor="text1"/>
          <w:sz w:val="32"/>
          <w:szCs w:val="32"/>
          <w14:textFill>
            <w14:solidFill>
              <w14:schemeClr w14:val="tx1"/>
            </w14:solidFill>
          </w14:textFill>
        </w:rPr>
        <w:tab/>
      </w:r>
      <w:r>
        <w:rPr>
          <w:rFonts w:hint="default" w:ascii="Times New Roman" w:hAnsi="Times New Roman" w:eastAsia="黑体" w:cs="Times New Roman"/>
          <w:color w:val="000000" w:themeColor="text1"/>
          <w:sz w:val="32"/>
          <w:szCs w:val="32"/>
          <w14:textFill>
            <w14:solidFill>
              <w14:schemeClr w14:val="tx1"/>
            </w14:solidFill>
          </w14:textFill>
        </w:rPr>
        <w:fldChar w:fldCharType="begin"/>
      </w:r>
      <w:r>
        <w:rPr>
          <w:rFonts w:hint="default" w:ascii="Times New Roman" w:hAnsi="Times New Roman" w:eastAsia="黑体" w:cs="Times New Roman"/>
          <w:color w:val="000000" w:themeColor="text1"/>
          <w:sz w:val="32"/>
          <w:szCs w:val="32"/>
          <w14:textFill>
            <w14:solidFill>
              <w14:schemeClr w14:val="tx1"/>
            </w14:solidFill>
          </w14:textFill>
        </w:rPr>
        <w:instrText xml:space="preserve"> PAGEREF _Toc31718 \h </w:instrText>
      </w:r>
      <w:r>
        <w:rPr>
          <w:rFonts w:hint="default" w:ascii="Times New Roman" w:hAnsi="Times New Roman" w:eastAsia="黑体" w:cs="Times New Roman"/>
          <w:color w:val="000000" w:themeColor="text1"/>
          <w:sz w:val="32"/>
          <w:szCs w:val="32"/>
          <w14:textFill>
            <w14:solidFill>
              <w14:schemeClr w14:val="tx1"/>
            </w14:solidFill>
          </w14:textFill>
        </w:rPr>
        <w:fldChar w:fldCharType="separate"/>
      </w:r>
      <w:r>
        <w:rPr>
          <w:rFonts w:hint="default" w:ascii="Times New Roman" w:hAnsi="Times New Roman" w:eastAsia="黑体" w:cs="Times New Roman"/>
          <w:color w:val="000000" w:themeColor="text1"/>
          <w:sz w:val="32"/>
          <w:szCs w:val="32"/>
          <w14:textFill>
            <w14:solidFill>
              <w14:schemeClr w14:val="tx1"/>
            </w14:solidFill>
          </w14:textFill>
        </w:rPr>
        <w:t>44</w:t>
      </w:r>
      <w:r>
        <w:rPr>
          <w:rFonts w:hint="default" w:ascii="Times New Roman" w:hAnsi="Times New Roman" w:eastAsia="黑体" w:cs="Times New Roman"/>
          <w:color w:val="000000" w:themeColor="text1"/>
          <w:sz w:val="32"/>
          <w:szCs w:val="32"/>
          <w14:textFill>
            <w14:solidFill>
              <w14:schemeClr w14:val="tx1"/>
            </w14:solidFill>
          </w14:textFill>
        </w:rPr>
        <w:fldChar w:fldCharType="end"/>
      </w:r>
      <w:r>
        <w:rPr>
          <w:rFonts w:hint="default" w:ascii="Times New Roman" w:hAnsi="Times New Roman" w:eastAsia="黑体" w:cs="Times New Roman"/>
          <w:color w:val="000000" w:themeColor="text1"/>
          <w:sz w:val="32"/>
          <w:szCs w:val="32"/>
          <w14:textFill>
            <w14:solidFill>
              <w14:schemeClr w14:val="tx1"/>
            </w14:solidFill>
          </w14:textFill>
        </w:rPr>
        <w:fldChar w:fldCharType="end"/>
      </w:r>
    </w:p>
    <w:p>
      <w:pPr>
        <w:pStyle w:val="14"/>
        <w:keepNext w:val="0"/>
        <w:keepLines w:val="0"/>
        <w:pageBreakBefore w:val="0"/>
        <w:widowControl w:val="0"/>
        <w:tabs>
          <w:tab w:val="right" w:leader="dot" w:pos="8845"/>
        </w:tabs>
        <w:kinsoku/>
        <w:wordWrap/>
        <w:overflowPunct/>
        <w:topLinePunct w:val="0"/>
        <w:autoSpaceDE/>
        <w:autoSpaceDN/>
        <w:bidi w:val="0"/>
        <w:adjustRightInd/>
        <w:snapToGrid/>
        <w:spacing w:line="560" w:lineRule="exact"/>
        <w:ind w:left="800" w:leftChars="0" w:hanging="800" w:hangingChars="250"/>
        <w:textAlignment w:val="auto"/>
        <w:rPr>
          <w:rFonts w:hint="default" w:ascii="Times New Roman" w:hAnsi="Times New Roman" w:eastAsia="楷体_GB2312" w:cs="Times New Roman"/>
          <w:b w:val="0"/>
          <w:bCs w:val="0"/>
          <w:color w:val="000000" w:themeColor="text1"/>
          <w:sz w:val="32"/>
          <w:szCs w:val="32"/>
          <w14:textFill>
            <w14:solidFill>
              <w14:schemeClr w14:val="tx1"/>
            </w14:solidFill>
          </w14:textFill>
        </w:rPr>
      </w:pPr>
      <w:r>
        <w:rPr>
          <w:rFonts w:hint="default" w:ascii="Times New Roman" w:hAnsi="Times New Roman" w:eastAsia="楷体_GB2312" w:cs="Times New Roman"/>
          <w:b w:val="0"/>
          <w:bCs w:val="0"/>
          <w:color w:val="000000" w:themeColor="text1"/>
          <w:sz w:val="32"/>
          <w:szCs w:val="32"/>
          <w14:textFill>
            <w14:solidFill>
              <w14:schemeClr w14:val="tx1"/>
            </w14:solidFill>
          </w14:textFill>
        </w:rPr>
        <w:fldChar w:fldCharType="begin"/>
      </w:r>
      <w:r>
        <w:rPr>
          <w:rFonts w:hint="default" w:ascii="Times New Roman" w:hAnsi="Times New Roman" w:eastAsia="楷体_GB2312" w:cs="Times New Roman"/>
          <w:b w:val="0"/>
          <w:bCs w:val="0"/>
          <w:color w:val="000000" w:themeColor="text1"/>
          <w:sz w:val="32"/>
          <w:szCs w:val="32"/>
          <w14:textFill>
            <w14:solidFill>
              <w14:schemeClr w14:val="tx1"/>
            </w14:solidFill>
          </w14:textFill>
        </w:rPr>
        <w:instrText xml:space="preserve"> HYPERLINK \l _Toc9911 </w:instrText>
      </w:r>
      <w:r>
        <w:rPr>
          <w:rFonts w:hint="default" w:ascii="Times New Roman" w:hAnsi="Times New Roman" w:eastAsia="楷体_GB2312" w:cs="Times New Roman"/>
          <w:b w:val="0"/>
          <w:bCs w:val="0"/>
          <w:color w:val="000000" w:themeColor="text1"/>
          <w:sz w:val="32"/>
          <w:szCs w:val="32"/>
          <w14:textFill>
            <w14:solidFill>
              <w14:schemeClr w14:val="tx1"/>
            </w14:solidFill>
          </w14:textFill>
        </w:rPr>
        <w:fldChar w:fldCharType="separate"/>
      </w:r>
      <w:r>
        <w:rPr>
          <w:rFonts w:hint="default" w:ascii="Times New Roman" w:hAnsi="Times New Roman" w:eastAsia="楷体_GB2312" w:cs="Times New Roman"/>
          <w:b w:val="0"/>
          <w:bCs w:val="0"/>
          <w:color w:val="000000" w:themeColor="text1"/>
          <w:sz w:val="32"/>
          <w:szCs w:val="32"/>
          <w14:textFill>
            <w14:solidFill>
              <w14:schemeClr w14:val="tx1"/>
            </w14:solidFill>
          </w14:textFill>
        </w:rPr>
        <w:t>一、发展环境优化工程</w:t>
      </w:r>
      <w:r>
        <w:rPr>
          <w:rFonts w:hint="default" w:ascii="Times New Roman" w:hAnsi="Times New Roman" w:eastAsia="楷体_GB2312" w:cs="Times New Roman"/>
          <w:b w:val="0"/>
          <w:bCs w:val="0"/>
          <w:color w:val="000000" w:themeColor="text1"/>
          <w:sz w:val="32"/>
          <w:szCs w:val="32"/>
          <w14:textFill>
            <w14:solidFill>
              <w14:schemeClr w14:val="tx1"/>
            </w14:solidFill>
          </w14:textFill>
        </w:rPr>
        <w:tab/>
      </w:r>
      <w:r>
        <w:rPr>
          <w:rFonts w:hint="default" w:ascii="Times New Roman" w:hAnsi="Times New Roman" w:eastAsia="楷体_GB2312" w:cs="Times New Roman"/>
          <w:b w:val="0"/>
          <w:bCs w:val="0"/>
          <w:color w:val="000000" w:themeColor="text1"/>
          <w:sz w:val="32"/>
          <w:szCs w:val="32"/>
          <w14:textFill>
            <w14:solidFill>
              <w14:schemeClr w14:val="tx1"/>
            </w14:solidFill>
          </w14:textFill>
        </w:rPr>
        <w:fldChar w:fldCharType="begin"/>
      </w:r>
      <w:r>
        <w:rPr>
          <w:rFonts w:hint="default" w:ascii="Times New Roman" w:hAnsi="Times New Roman" w:eastAsia="楷体_GB2312" w:cs="Times New Roman"/>
          <w:b w:val="0"/>
          <w:bCs w:val="0"/>
          <w:color w:val="000000" w:themeColor="text1"/>
          <w:sz w:val="32"/>
          <w:szCs w:val="32"/>
          <w14:textFill>
            <w14:solidFill>
              <w14:schemeClr w14:val="tx1"/>
            </w14:solidFill>
          </w14:textFill>
        </w:rPr>
        <w:instrText xml:space="preserve"> PAGEREF _Toc9911 \h </w:instrText>
      </w:r>
      <w:r>
        <w:rPr>
          <w:rFonts w:hint="default" w:ascii="Times New Roman" w:hAnsi="Times New Roman" w:eastAsia="楷体_GB2312" w:cs="Times New Roman"/>
          <w:b w:val="0"/>
          <w:bCs w:val="0"/>
          <w:color w:val="000000" w:themeColor="text1"/>
          <w:sz w:val="32"/>
          <w:szCs w:val="32"/>
          <w14:textFill>
            <w14:solidFill>
              <w14:schemeClr w14:val="tx1"/>
            </w14:solidFill>
          </w14:textFill>
        </w:rPr>
        <w:fldChar w:fldCharType="separate"/>
      </w:r>
      <w:r>
        <w:rPr>
          <w:rFonts w:hint="default" w:ascii="Times New Roman" w:hAnsi="Times New Roman" w:eastAsia="楷体_GB2312" w:cs="Times New Roman"/>
          <w:b w:val="0"/>
          <w:bCs w:val="0"/>
          <w:color w:val="000000" w:themeColor="text1"/>
          <w:sz w:val="32"/>
          <w:szCs w:val="32"/>
          <w14:textFill>
            <w14:solidFill>
              <w14:schemeClr w14:val="tx1"/>
            </w14:solidFill>
          </w14:textFill>
        </w:rPr>
        <w:t>44</w:t>
      </w:r>
      <w:r>
        <w:rPr>
          <w:rFonts w:hint="default" w:ascii="Times New Roman" w:hAnsi="Times New Roman" w:eastAsia="楷体_GB2312" w:cs="Times New Roman"/>
          <w:b w:val="0"/>
          <w:bCs w:val="0"/>
          <w:color w:val="000000" w:themeColor="text1"/>
          <w:sz w:val="32"/>
          <w:szCs w:val="32"/>
          <w14:textFill>
            <w14:solidFill>
              <w14:schemeClr w14:val="tx1"/>
            </w14:solidFill>
          </w14:textFill>
        </w:rPr>
        <w:fldChar w:fldCharType="end"/>
      </w:r>
      <w:r>
        <w:rPr>
          <w:rFonts w:hint="default" w:ascii="Times New Roman" w:hAnsi="Times New Roman" w:eastAsia="楷体_GB2312" w:cs="Times New Roman"/>
          <w:b w:val="0"/>
          <w:bCs w:val="0"/>
          <w:color w:val="000000" w:themeColor="text1"/>
          <w:sz w:val="32"/>
          <w:szCs w:val="32"/>
          <w14:textFill>
            <w14:solidFill>
              <w14:schemeClr w14:val="tx1"/>
            </w14:solidFill>
          </w14:textFill>
        </w:rPr>
        <w:fldChar w:fldCharType="end"/>
      </w:r>
    </w:p>
    <w:p>
      <w:pPr>
        <w:pStyle w:val="14"/>
        <w:keepNext w:val="0"/>
        <w:keepLines w:val="0"/>
        <w:pageBreakBefore w:val="0"/>
        <w:widowControl w:val="0"/>
        <w:tabs>
          <w:tab w:val="right" w:leader="dot" w:pos="8845"/>
        </w:tabs>
        <w:kinsoku/>
        <w:wordWrap/>
        <w:overflowPunct/>
        <w:topLinePunct w:val="0"/>
        <w:autoSpaceDE/>
        <w:autoSpaceDN/>
        <w:bidi w:val="0"/>
        <w:adjustRightInd/>
        <w:snapToGrid/>
        <w:spacing w:line="560" w:lineRule="exact"/>
        <w:ind w:left="800" w:leftChars="0" w:hanging="800" w:hangingChars="250"/>
        <w:textAlignment w:val="auto"/>
        <w:rPr>
          <w:rFonts w:hint="default" w:ascii="Times New Roman" w:hAnsi="Times New Roman" w:eastAsia="楷体_GB2312" w:cs="Times New Roman"/>
          <w:b w:val="0"/>
          <w:bCs w:val="0"/>
          <w:color w:val="000000" w:themeColor="text1"/>
          <w:sz w:val="32"/>
          <w:szCs w:val="32"/>
          <w14:textFill>
            <w14:solidFill>
              <w14:schemeClr w14:val="tx1"/>
            </w14:solidFill>
          </w14:textFill>
        </w:rPr>
      </w:pPr>
      <w:r>
        <w:rPr>
          <w:rFonts w:hint="default" w:ascii="Times New Roman" w:hAnsi="Times New Roman" w:eastAsia="楷体_GB2312" w:cs="Times New Roman"/>
          <w:b w:val="0"/>
          <w:bCs w:val="0"/>
          <w:color w:val="000000" w:themeColor="text1"/>
          <w:sz w:val="32"/>
          <w:szCs w:val="32"/>
          <w14:textFill>
            <w14:solidFill>
              <w14:schemeClr w14:val="tx1"/>
            </w14:solidFill>
          </w14:textFill>
        </w:rPr>
        <w:fldChar w:fldCharType="begin"/>
      </w:r>
      <w:r>
        <w:rPr>
          <w:rFonts w:hint="default" w:ascii="Times New Roman" w:hAnsi="Times New Roman" w:eastAsia="楷体_GB2312" w:cs="Times New Roman"/>
          <w:b w:val="0"/>
          <w:bCs w:val="0"/>
          <w:color w:val="000000" w:themeColor="text1"/>
          <w:sz w:val="32"/>
          <w:szCs w:val="32"/>
          <w14:textFill>
            <w14:solidFill>
              <w14:schemeClr w14:val="tx1"/>
            </w14:solidFill>
          </w14:textFill>
        </w:rPr>
        <w:instrText xml:space="preserve"> HYPERLINK \l _Toc2166 </w:instrText>
      </w:r>
      <w:r>
        <w:rPr>
          <w:rFonts w:hint="default" w:ascii="Times New Roman" w:hAnsi="Times New Roman" w:eastAsia="楷体_GB2312" w:cs="Times New Roman"/>
          <w:b w:val="0"/>
          <w:bCs w:val="0"/>
          <w:color w:val="000000" w:themeColor="text1"/>
          <w:sz w:val="32"/>
          <w:szCs w:val="32"/>
          <w14:textFill>
            <w14:solidFill>
              <w14:schemeClr w14:val="tx1"/>
            </w14:solidFill>
          </w14:textFill>
        </w:rPr>
        <w:fldChar w:fldCharType="separate"/>
      </w:r>
      <w:r>
        <w:rPr>
          <w:rFonts w:hint="default" w:ascii="Times New Roman" w:hAnsi="Times New Roman" w:eastAsia="楷体_GB2312" w:cs="Times New Roman"/>
          <w:b w:val="0"/>
          <w:bCs w:val="0"/>
          <w:color w:val="000000" w:themeColor="text1"/>
          <w:sz w:val="32"/>
          <w:szCs w:val="32"/>
          <w14:textFill>
            <w14:solidFill>
              <w14:schemeClr w14:val="tx1"/>
            </w14:solidFill>
          </w14:textFill>
        </w:rPr>
        <w:t>二、集聚载体提升工程</w:t>
      </w:r>
      <w:r>
        <w:rPr>
          <w:rFonts w:hint="default" w:ascii="Times New Roman" w:hAnsi="Times New Roman" w:eastAsia="楷体_GB2312" w:cs="Times New Roman"/>
          <w:b w:val="0"/>
          <w:bCs w:val="0"/>
          <w:color w:val="000000" w:themeColor="text1"/>
          <w:sz w:val="32"/>
          <w:szCs w:val="32"/>
          <w14:textFill>
            <w14:solidFill>
              <w14:schemeClr w14:val="tx1"/>
            </w14:solidFill>
          </w14:textFill>
        </w:rPr>
        <w:tab/>
      </w:r>
      <w:r>
        <w:rPr>
          <w:rFonts w:hint="default" w:ascii="Times New Roman" w:hAnsi="Times New Roman" w:eastAsia="楷体_GB2312" w:cs="Times New Roman"/>
          <w:b w:val="0"/>
          <w:bCs w:val="0"/>
          <w:color w:val="000000" w:themeColor="text1"/>
          <w:sz w:val="32"/>
          <w:szCs w:val="32"/>
          <w14:textFill>
            <w14:solidFill>
              <w14:schemeClr w14:val="tx1"/>
            </w14:solidFill>
          </w14:textFill>
        </w:rPr>
        <w:fldChar w:fldCharType="begin"/>
      </w:r>
      <w:r>
        <w:rPr>
          <w:rFonts w:hint="default" w:ascii="Times New Roman" w:hAnsi="Times New Roman" w:eastAsia="楷体_GB2312" w:cs="Times New Roman"/>
          <w:b w:val="0"/>
          <w:bCs w:val="0"/>
          <w:color w:val="000000" w:themeColor="text1"/>
          <w:sz w:val="32"/>
          <w:szCs w:val="32"/>
          <w14:textFill>
            <w14:solidFill>
              <w14:schemeClr w14:val="tx1"/>
            </w14:solidFill>
          </w14:textFill>
        </w:rPr>
        <w:instrText xml:space="preserve"> PAGEREF _Toc2166 \h </w:instrText>
      </w:r>
      <w:r>
        <w:rPr>
          <w:rFonts w:hint="default" w:ascii="Times New Roman" w:hAnsi="Times New Roman" w:eastAsia="楷体_GB2312" w:cs="Times New Roman"/>
          <w:b w:val="0"/>
          <w:bCs w:val="0"/>
          <w:color w:val="000000" w:themeColor="text1"/>
          <w:sz w:val="32"/>
          <w:szCs w:val="32"/>
          <w14:textFill>
            <w14:solidFill>
              <w14:schemeClr w14:val="tx1"/>
            </w14:solidFill>
          </w14:textFill>
        </w:rPr>
        <w:fldChar w:fldCharType="separate"/>
      </w:r>
      <w:r>
        <w:rPr>
          <w:rFonts w:hint="default" w:ascii="Times New Roman" w:hAnsi="Times New Roman" w:eastAsia="楷体_GB2312" w:cs="Times New Roman"/>
          <w:b w:val="0"/>
          <w:bCs w:val="0"/>
          <w:color w:val="000000" w:themeColor="text1"/>
          <w:sz w:val="32"/>
          <w:szCs w:val="32"/>
          <w14:textFill>
            <w14:solidFill>
              <w14:schemeClr w14:val="tx1"/>
            </w14:solidFill>
          </w14:textFill>
        </w:rPr>
        <w:t>44</w:t>
      </w:r>
      <w:r>
        <w:rPr>
          <w:rFonts w:hint="default" w:ascii="Times New Roman" w:hAnsi="Times New Roman" w:eastAsia="楷体_GB2312" w:cs="Times New Roman"/>
          <w:b w:val="0"/>
          <w:bCs w:val="0"/>
          <w:color w:val="000000" w:themeColor="text1"/>
          <w:sz w:val="32"/>
          <w:szCs w:val="32"/>
          <w14:textFill>
            <w14:solidFill>
              <w14:schemeClr w14:val="tx1"/>
            </w14:solidFill>
          </w14:textFill>
        </w:rPr>
        <w:fldChar w:fldCharType="end"/>
      </w:r>
      <w:r>
        <w:rPr>
          <w:rFonts w:hint="default" w:ascii="Times New Roman" w:hAnsi="Times New Roman" w:eastAsia="楷体_GB2312" w:cs="Times New Roman"/>
          <w:b w:val="0"/>
          <w:bCs w:val="0"/>
          <w:color w:val="000000" w:themeColor="text1"/>
          <w:sz w:val="32"/>
          <w:szCs w:val="32"/>
          <w14:textFill>
            <w14:solidFill>
              <w14:schemeClr w14:val="tx1"/>
            </w14:solidFill>
          </w14:textFill>
        </w:rPr>
        <w:fldChar w:fldCharType="end"/>
      </w:r>
    </w:p>
    <w:p>
      <w:pPr>
        <w:pStyle w:val="14"/>
        <w:keepNext w:val="0"/>
        <w:keepLines w:val="0"/>
        <w:pageBreakBefore w:val="0"/>
        <w:widowControl w:val="0"/>
        <w:tabs>
          <w:tab w:val="right" w:leader="dot" w:pos="8845"/>
        </w:tabs>
        <w:kinsoku/>
        <w:wordWrap/>
        <w:overflowPunct/>
        <w:topLinePunct w:val="0"/>
        <w:autoSpaceDE/>
        <w:autoSpaceDN/>
        <w:bidi w:val="0"/>
        <w:adjustRightInd/>
        <w:snapToGrid/>
        <w:spacing w:line="560" w:lineRule="exact"/>
        <w:ind w:left="800" w:leftChars="0" w:hanging="800" w:hangingChars="250"/>
        <w:textAlignment w:val="auto"/>
        <w:rPr>
          <w:rFonts w:hint="default" w:ascii="Times New Roman" w:hAnsi="Times New Roman" w:eastAsia="楷体_GB2312" w:cs="Times New Roman"/>
          <w:b w:val="0"/>
          <w:bCs w:val="0"/>
          <w:color w:val="000000" w:themeColor="text1"/>
          <w:sz w:val="32"/>
          <w:szCs w:val="32"/>
          <w14:textFill>
            <w14:solidFill>
              <w14:schemeClr w14:val="tx1"/>
            </w14:solidFill>
          </w14:textFill>
        </w:rPr>
      </w:pPr>
      <w:r>
        <w:rPr>
          <w:rFonts w:hint="default" w:ascii="Times New Roman" w:hAnsi="Times New Roman" w:eastAsia="楷体_GB2312" w:cs="Times New Roman"/>
          <w:b w:val="0"/>
          <w:bCs w:val="0"/>
          <w:color w:val="000000" w:themeColor="text1"/>
          <w:sz w:val="32"/>
          <w:szCs w:val="32"/>
          <w14:textFill>
            <w14:solidFill>
              <w14:schemeClr w14:val="tx1"/>
            </w14:solidFill>
          </w14:textFill>
        </w:rPr>
        <w:fldChar w:fldCharType="begin"/>
      </w:r>
      <w:r>
        <w:rPr>
          <w:rFonts w:hint="default" w:ascii="Times New Roman" w:hAnsi="Times New Roman" w:eastAsia="楷体_GB2312" w:cs="Times New Roman"/>
          <w:b w:val="0"/>
          <w:bCs w:val="0"/>
          <w:color w:val="000000" w:themeColor="text1"/>
          <w:sz w:val="32"/>
          <w:szCs w:val="32"/>
          <w14:textFill>
            <w14:solidFill>
              <w14:schemeClr w14:val="tx1"/>
            </w14:solidFill>
          </w14:textFill>
        </w:rPr>
        <w:instrText xml:space="preserve"> HYPERLINK \l _Toc13205 </w:instrText>
      </w:r>
      <w:r>
        <w:rPr>
          <w:rFonts w:hint="default" w:ascii="Times New Roman" w:hAnsi="Times New Roman" w:eastAsia="楷体_GB2312" w:cs="Times New Roman"/>
          <w:b w:val="0"/>
          <w:bCs w:val="0"/>
          <w:color w:val="000000" w:themeColor="text1"/>
          <w:sz w:val="32"/>
          <w:szCs w:val="32"/>
          <w14:textFill>
            <w14:solidFill>
              <w14:schemeClr w14:val="tx1"/>
            </w14:solidFill>
          </w14:textFill>
        </w:rPr>
        <w:fldChar w:fldCharType="separate"/>
      </w:r>
      <w:r>
        <w:rPr>
          <w:rFonts w:hint="default" w:ascii="Times New Roman" w:hAnsi="Times New Roman" w:eastAsia="楷体_GB2312" w:cs="Times New Roman"/>
          <w:b w:val="0"/>
          <w:bCs w:val="0"/>
          <w:color w:val="000000" w:themeColor="text1"/>
          <w:sz w:val="32"/>
          <w:szCs w:val="32"/>
          <w14:textFill>
            <w14:solidFill>
              <w14:schemeClr w14:val="tx1"/>
            </w14:solidFill>
          </w14:textFill>
        </w:rPr>
        <w:t>三、市场主体培育工程</w:t>
      </w:r>
      <w:r>
        <w:rPr>
          <w:rFonts w:hint="default" w:ascii="Times New Roman" w:hAnsi="Times New Roman" w:eastAsia="楷体_GB2312" w:cs="Times New Roman"/>
          <w:b w:val="0"/>
          <w:bCs w:val="0"/>
          <w:color w:val="000000" w:themeColor="text1"/>
          <w:sz w:val="32"/>
          <w:szCs w:val="32"/>
          <w14:textFill>
            <w14:solidFill>
              <w14:schemeClr w14:val="tx1"/>
            </w14:solidFill>
          </w14:textFill>
        </w:rPr>
        <w:tab/>
      </w:r>
      <w:r>
        <w:rPr>
          <w:rFonts w:hint="default" w:ascii="Times New Roman" w:hAnsi="Times New Roman" w:eastAsia="楷体_GB2312" w:cs="Times New Roman"/>
          <w:b w:val="0"/>
          <w:bCs w:val="0"/>
          <w:color w:val="000000" w:themeColor="text1"/>
          <w:sz w:val="32"/>
          <w:szCs w:val="32"/>
          <w14:textFill>
            <w14:solidFill>
              <w14:schemeClr w14:val="tx1"/>
            </w14:solidFill>
          </w14:textFill>
        </w:rPr>
        <w:fldChar w:fldCharType="begin"/>
      </w:r>
      <w:r>
        <w:rPr>
          <w:rFonts w:hint="default" w:ascii="Times New Roman" w:hAnsi="Times New Roman" w:eastAsia="楷体_GB2312" w:cs="Times New Roman"/>
          <w:b w:val="0"/>
          <w:bCs w:val="0"/>
          <w:color w:val="000000" w:themeColor="text1"/>
          <w:sz w:val="32"/>
          <w:szCs w:val="32"/>
          <w14:textFill>
            <w14:solidFill>
              <w14:schemeClr w14:val="tx1"/>
            </w14:solidFill>
          </w14:textFill>
        </w:rPr>
        <w:instrText xml:space="preserve"> PAGEREF _Toc13205 \h </w:instrText>
      </w:r>
      <w:r>
        <w:rPr>
          <w:rFonts w:hint="default" w:ascii="Times New Roman" w:hAnsi="Times New Roman" w:eastAsia="楷体_GB2312" w:cs="Times New Roman"/>
          <w:b w:val="0"/>
          <w:bCs w:val="0"/>
          <w:color w:val="000000" w:themeColor="text1"/>
          <w:sz w:val="32"/>
          <w:szCs w:val="32"/>
          <w14:textFill>
            <w14:solidFill>
              <w14:schemeClr w14:val="tx1"/>
            </w14:solidFill>
          </w14:textFill>
        </w:rPr>
        <w:fldChar w:fldCharType="separate"/>
      </w:r>
      <w:r>
        <w:rPr>
          <w:rFonts w:hint="default" w:ascii="Times New Roman" w:hAnsi="Times New Roman" w:eastAsia="楷体_GB2312" w:cs="Times New Roman"/>
          <w:b w:val="0"/>
          <w:bCs w:val="0"/>
          <w:color w:val="000000" w:themeColor="text1"/>
          <w:sz w:val="32"/>
          <w:szCs w:val="32"/>
          <w14:textFill>
            <w14:solidFill>
              <w14:schemeClr w14:val="tx1"/>
            </w14:solidFill>
          </w14:textFill>
        </w:rPr>
        <w:t>45</w:t>
      </w:r>
      <w:r>
        <w:rPr>
          <w:rFonts w:hint="default" w:ascii="Times New Roman" w:hAnsi="Times New Roman" w:eastAsia="楷体_GB2312" w:cs="Times New Roman"/>
          <w:b w:val="0"/>
          <w:bCs w:val="0"/>
          <w:color w:val="000000" w:themeColor="text1"/>
          <w:sz w:val="32"/>
          <w:szCs w:val="32"/>
          <w14:textFill>
            <w14:solidFill>
              <w14:schemeClr w14:val="tx1"/>
            </w14:solidFill>
          </w14:textFill>
        </w:rPr>
        <w:fldChar w:fldCharType="end"/>
      </w:r>
      <w:r>
        <w:rPr>
          <w:rFonts w:hint="default" w:ascii="Times New Roman" w:hAnsi="Times New Roman" w:eastAsia="楷体_GB2312" w:cs="Times New Roman"/>
          <w:b w:val="0"/>
          <w:bCs w:val="0"/>
          <w:color w:val="000000" w:themeColor="text1"/>
          <w:sz w:val="32"/>
          <w:szCs w:val="32"/>
          <w14:textFill>
            <w14:solidFill>
              <w14:schemeClr w14:val="tx1"/>
            </w14:solidFill>
          </w14:textFill>
        </w:rPr>
        <w:fldChar w:fldCharType="end"/>
      </w:r>
    </w:p>
    <w:p>
      <w:pPr>
        <w:pStyle w:val="14"/>
        <w:keepNext w:val="0"/>
        <w:keepLines w:val="0"/>
        <w:pageBreakBefore w:val="0"/>
        <w:widowControl w:val="0"/>
        <w:tabs>
          <w:tab w:val="right" w:leader="dot" w:pos="8845"/>
        </w:tabs>
        <w:kinsoku/>
        <w:wordWrap/>
        <w:overflowPunct/>
        <w:topLinePunct w:val="0"/>
        <w:autoSpaceDE/>
        <w:autoSpaceDN/>
        <w:bidi w:val="0"/>
        <w:adjustRightInd/>
        <w:snapToGrid/>
        <w:spacing w:line="560" w:lineRule="exact"/>
        <w:ind w:left="800" w:leftChars="0" w:hanging="800" w:hangingChars="250"/>
        <w:textAlignment w:val="auto"/>
        <w:rPr>
          <w:rFonts w:hint="default" w:ascii="Times New Roman" w:hAnsi="Times New Roman" w:eastAsia="楷体_GB2312" w:cs="Times New Roman"/>
          <w:b w:val="0"/>
          <w:bCs w:val="0"/>
          <w:color w:val="000000" w:themeColor="text1"/>
          <w:sz w:val="32"/>
          <w:szCs w:val="32"/>
          <w14:textFill>
            <w14:solidFill>
              <w14:schemeClr w14:val="tx1"/>
            </w14:solidFill>
          </w14:textFill>
        </w:rPr>
      </w:pPr>
      <w:r>
        <w:rPr>
          <w:rFonts w:hint="default" w:ascii="Times New Roman" w:hAnsi="Times New Roman" w:eastAsia="楷体_GB2312" w:cs="Times New Roman"/>
          <w:b w:val="0"/>
          <w:bCs w:val="0"/>
          <w:color w:val="000000" w:themeColor="text1"/>
          <w:sz w:val="32"/>
          <w:szCs w:val="32"/>
          <w14:textFill>
            <w14:solidFill>
              <w14:schemeClr w14:val="tx1"/>
            </w14:solidFill>
          </w14:textFill>
        </w:rPr>
        <w:fldChar w:fldCharType="begin"/>
      </w:r>
      <w:r>
        <w:rPr>
          <w:rFonts w:hint="default" w:ascii="Times New Roman" w:hAnsi="Times New Roman" w:eastAsia="楷体_GB2312" w:cs="Times New Roman"/>
          <w:b w:val="0"/>
          <w:bCs w:val="0"/>
          <w:color w:val="000000" w:themeColor="text1"/>
          <w:sz w:val="32"/>
          <w:szCs w:val="32"/>
          <w14:textFill>
            <w14:solidFill>
              <w14:schemeClr w14:val="tx1"/>
            </w14:solidFill>
          </w14:textFill>
        </w:rPr>
        <w:instrText xml:space="preserve"> HYPERLINK \l _Toc7250 </w:instrText>
      </w:r>
      <w:r>
        <w:rPr>
          <w:rFonts w:hint="default" w:ascii="Times New Roman" w:hAnsi="Times New Roman" w:eastAsia="楷体_GB2312" w:cs="Times New Roman"/>
          <w:b w:val="0"/>
          <w:bCs w:val="0"/>
          <w:color w:val="000000" w:themeColor="text1"/>
          <w:sz w:val="32"/>
          <w:szCs w:val="32"/>
          <w14:textFill>
            <w14:solidFill>
              <w14:schemeClr w14:val="tx1"/>
            </w14:solidFill>
          </w14:textFill>
        </w:rPr>
        <w:fldChar w:fldCharType="separate"/>
      </w:r>
      <w:r>
        <w:rPr>
          <w:rFonts w:hint="default" w:ascii="Times New Roman" w:hAnsi="Times New Roman" w:eastAsia="楷体_GB2312" w:cs="Times New Roman"/>
          <w:b w:val="0"/>
          <w:bCs w:val="0"/>
          <w:color w:val="000000" w:themeColor="text1"/>
          <w:sz w:val="32"/>
          <w:szCs w:val="32"/>
          <w14:textFill>
            <w14:solidFill>
              <w14:schemeClr w14:val="tx1"/>
            </w14:solidFill>
          </w14:textFill>
        </w:rPr>
        <w:t>四、品牌品质塑造工程</w:t>
      </w:r>
      <w:r>
        <w:rPr>
          <w:rFonts w:hint="default" w:ascii="Times New Roman" w:hAnsi="Times New Roman" w:eastAsia="楷体_GB2312" w:cs="Times New Roman"/>
          <w:b w:val="0"/>
          <w:bCs w:val="0"/>
          <w:color w:val="000000" w:themeColor="text1"/>
          <w:sz w:val="32"/>
          <w:szCs w:val="32"/>
          <w14:textFill>
            <w14:solidFill>
              <w14:schemeClr w14:val="tx1"/>
            </w14:solidFill>
          </w14:textFill>
        </w:rPr>
        <w:tab/>
      </w:r>
      <w:r>
        <w:rPr>
          <w:rFonts w:hint="default" w:ascii="Times New Roman" w:hAnsi="Times New Roman" w:eastAsia="楷体_GB2312" w:cs="Times New Roman"/>
          <w:b w:val="0"/>
          <w:bCs w:val="0"/>
          <w:color w:val="000000" w:themeColor="text1"/>
          <w:sz w:val="32"/>
          <w:szCs w:val="32"/>
          <w14:textFill>
            <w14:solidFill>
              <w14:schemeClr w14:val="tx1"/>
            </w14:solidFill>
          </w14:textFill>
        </w:rPr>
        <w:fldChar w:fldCharType="begin"/>
      </w:r>
      <w:r>
        <w:rPr>
          <w:rFonts w:hint="default" w:ascii="Times New Roman" w:hAnsi="Times New Roman" w:eastAsia="楷体_GB2312" w:cs="Times New Roman"/>
          <w:b w:val="0"/>
          <w:bCs w:val="0"/>
          <w:color w:val="000000" w:themeColor="text1"/>
          <w:sz w:val="32"/>
          <w:szCs w:val="32"/>
          <w14:textFill>
            <w14:solidFill>
              <w14:schemeClr w14:val="tx1"/>
            </w14:solidFill>
          </w14:textFill>
        </w:rPr>
        <w:instrText xml:space="preserve"> PAGEREF _Toc7250 \h </w:instrText>
      </w:r>
      <w:r>
        <w:rPr>
          <w:rFonts w:hint="default" w:ascii="Times New Roman" w:hAnsi="Times New Roman" w:eastAsia="楷体_GB2312" w:cs="Times New Roman"/>
          <w:b w:val="0"/>
          <w:bCs w:val="0"/>
          <w:color w:val="000000" w:themeColor="text1"/>
          <w:sz w:val="32"/>
          <w:szCs w:val="32"/>
          <w14:textFill>
            <w14:solidFill>
              <w14:schemeClr w14:val="tx1"/>
            </w14:solidFill>
          </w14:textFill>
        </w:rPr>
        <w:fldChar w:fldCharType="separate"/>
      </w:r>
      <w:r>
        <w:rPr>
          <w:rFonts w:hint="default" w:ascii="Times New Roman" w:hAnsi="Times New Roman" w:eastAsia="楷体_GB2312" w:cs="Times New Roman"/>
          <w:b w:val="0"/>
          <w:bCs w:val="0"/>
          <w:color w:val="000000" w:themeColor="text1"/>
          <w:sz w:val="32"/>
          <w:szCs w:val="32"/>
          <w14:textFill>
            <w14:solidFill>
              <w14:schemeClr w14:val="tx1"/>
            </w14:solidFill>
          </w14:textFill>
        </w:rPr>
        <w:t>46</w:t>
      </w:r>
      <w:r>
        <w:rPr>
          <w:rFonts w:hint="default" w:ascii="Times New Roman" w:hAnsi="Times New Roman" w:eastAsia="楷体_GB2312" w:cs="Times New Roman"/>
          <w:b w:val="0"/>
          <w:bCs w:val="0"/>
          <w:color w:val="000000" w:themeColor="text1"/>
          <w:sz w:val="32"/>
          <w:szCs w:val="32"/>
          <w14:textFill>
            <w14:solidFill>
              <w14:schemeClr w14:val="tx1"/>
            </w14:solidFill>
          </w14:textFill>
        </w:rPr>
        <w:fldChar w:fldCharType="end"/>
      </w:r>
      <w:r>
        <w:rPr>
          <w:rFonts w:hint="default" w:ascii="Times New Roman" w:hAnsi="Times New Roman" w:eastAsia="楷体_GB2312" w:cs="Times New Roman"/>
          <w:b w:val="0"/>
          <w:bCs w:val="0"/>
          <w:color w:val="000000" w:themeColor="text1"/>
          <w:sz w:val="32"/>
          <w:szCs w:val="32"/>
          <w14:textFill>
            <w14:solidFill>
              <w14:schemeClr w14:val="tx1"/>
            </w14:solidFill>
          </w14:textFill>
        </w:rPr>
        <w:fldChar w:fldCharType="end"/>
      </w:r>
    </w:p>
    <w:p>
      <w:pPr>
        <w:pStyle w:val="14"/>
        <w:keepNext w:val="0"/>
        <w:keepLines w:val="0"/>
        <w:pageBreakBefore w:val="0"/>
        <w:widowControl w:val="0"/>
        <w:tabs>
          <w:tab w:val="right" w:leader="dot" w:pos="8845"/>
        </w:tabs>
        <w:kinsoku/>
        <w:wordWrap/>
        <w:overflowPunct/>
        <w:topLinePunct w:val="0"/>
        <w:autoSpaceDE/>
        <w:autoSpaceDN/>
        <w:bidi w:val="0"/>
        <w:adjustRightInd/>
        <w:snapToGrid/>
        <w:spacing w:line="560" w:lineRule="exact"/>
        <w:ind w:left="800" w:leftChars="0" w:hanging="800" w:hangingChars="25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b w:val="0"/>
          <w:bCs w:val="0"/>
          <w:color w:val="000000" w:themeColor="text1"/>
          <w:sz w:val="32"/>
          <w:szCs w:val="32"/>
          <w14:textFill>
            <w14:solidFill>
              <w14:schemeClr w14:val="tx1"/>
            </w14:solidFill>
          </w14:textFill>
        </w:rPr>
        <w:fldChar w:fldCharType="begin"/>
      </w:r>
      <w:r>
        <w:rPr>
          <w:rFonts w:hint="default" w:ascii="Times New Roman" w:hAnsi="Times New Roman" w:eastAsia="楷体_GB2312" w:cs="Times New Roman"/>
          <w:b w:val="0"/>
          <w:bCs w:val="0"/>
          <w:color w:val="000000" w:themeColor="text1"/>
          <w:sz w:val="32"/>
          <w:szCs w:val="32"/>
          <w14:textFill>
            <w14:solidFill>
              <w14:schemeClr w14:val="tx1"/>
            </w14:solidFill>
          </w14:textFill>
        </w:rPr>
        <w:instrText xml:space="preserve"> HYPERLINK \l _Toc21056 </w:instrText>
      </w:r>
      <w:r>
        <w:rPr>
          <w:rFonts w:hint="default" w:ascii="Times New Roman" w:hAnsi="Times New Roman" w:eastAsia="楷体_GB2312" w:cs="Times New Roman"/>
          <w:b w:val="0"/>
          <w:bCs w:val="0"/>
          <w:color w:val="000000" w:themeColor="text1"/>
          <w:sz w:val="32"/>
          <w:szCs w:val="32"/>
          <w14:textFill>
            <w14:solidFill>
              <w14:schemeClr w14:val="tx1"/>
            </w14:solidFill>
          </w14:textFill>
        </w:rPr>
        <w:fldChar w:fldCharType="separate"/>
      </w:r>
      <w:r>
        <w:rPr>
          <w:rFonts w:hint="default" w:ascii="Times New Roman" w:hAnsi="Times New Roman" w:eastAsia="楷体_GB2312" w:cs="Times New Roman"/>
          <w:b w:val="0"/>
          <w:bCs w:val="0"/>
          <w:color w:val="000000" w:themeColor="text1"/>
          <w:sz w:val="32"/>
          <w:szCs w:val="32"/>
          <w14:textFill>
            <w14:solidFill>
              <w14:schemeClr w14:val="tx1"/>
            </w14:solidFill>
          </w14:textFill>
        </w:rPr>
        <w:t>五、人力资源保障工程</w:t>
      </w:r>
      <w:r>
        <w:rPr>
          <w:rFonts w:hint="default" w:ascii="Times New Roman" w:hAnsi="Times New Roman" w:eastAsia="楷体_GB2312" w:cs="Times New Roman"/>
          <w:b w:val="0"/>
          <w:bCs w:val="0"/>
          <w:color w:val="000000" w:themeColor="text1"/>
          <w:sz w:val="32"/>
          <w:szCs w:val="32"/>
          <w14:textFill>
            <w14:solidFill>
              <w14:schemeClr w14:val="tx1"/>
            </w14:solidFill>
          </w14:textFill>
        </w:rPr>
        <w:tab/>
      </w:r>
      <w:r>
        <w:rPr>
          <w:rFonts w:hint="default" w:ascii="Times New Roman" w:hAnsi="Times New Roman" w:eastAsia="楷体_GB2312" w:cs="Times New Roman"/>
          <w:b w:val="0"/>
          <w:bCs w:val="0"/>
          <w:color w:val="000000" w:themeColor="text1"/>
          <w:sz w:val="32"/>
          <w:szCs w:val="32"/>
          <w14:textFill>
            <w14:solidFill>
              <w14:schemeClr w14:val="tx1"/>
            </w14:solidFill>
          </w14:textFill>
        </w:rPr>
        <w:fldChar w:fldCharType="begin"/>
      </w:r>
      <w:r>
        <w:rPr>
          <w:rFonts w:hint="default" w:ascii="Times New Roman" w:hAnsi="Times New Roman" w:eastAsia="楷体_GB2312" w:cs="Times New Roman"/>
          <w:b w:val="0"/>
          <w:bCs w:val="0"/>
          <w:color w:val="000000" w:themeColor="text1"/>
          <w:sz w:val="32"/>
          <w:szCs w:val="32"/>
          <w14:textFill>
            <w14:solidFill>
              <w14:schemeClr w14:val="tx1"/>
            </w14:solidFill>
          </w14:textFill>
        </w:rPr>
        <w:instrText xml:space="preserve"> PAGEREF _Toc21056 \h </w:instrText>
      </w:r>
      <w:r>
        <w:rPr>
          <w:rFonts w:hint="default" w:ascii="Times New Roman" w:hAnsi="Times New Roman" w:eastAsia="楷体_GB2312" w:cs="Times New Roman"/>
          <w:b w:val="0"/>
          <w:bCs w:val="0"/>
          <w:color w:val="000000" w:themeColor="text1"/>
          <w:sz w:val="32"/>
          <w:szCs w:val="32"/>
          <w14:textFill>
            <w14:solidFill>
              <w14:schemeClr w14:val="tx1"/>
            </w14:solidFill>
          </w14:textFill>
        </w:rPr>
        <w:fldChar w:fldCharType="separate"/>
      </w:r>
      <w:r>
        <w:rPr>
          <w:rFonts w:hint="default" w:ascii="Times New Roman" w:hAnsi="Times New Roman" w:eastAsia="楷体_GB2312" w:cs="Times New Roman"/>
          <w:b w:val="0"/>
          <w:bCs w:val="0"/>
          <w:color w:val="000000" w:themeColor="text1"/>
          <w:sz w:val="32"/>
          <w:szCs w:val="32"/>
          <w14:textFill>
            <w14:solidFill>
              <w14:schemeClr w14:val="tx1"/>
            </w14:solidFill>
          </w14:textFill>
        </w:rPr>
        <w:t>47</w:t>
      </w:r>
      <w:r>
        <w:rPr>
          <w:rFonts w:hint="default" w:ascii="Times New Roman" w:hAnsi="Times New Roman" w:eastAsia="楷体_GB2312" w:cs="Times New Roman"/>
          <w:b w:val="0"/>
          <w:bCs w:val="0"/>
          <w:color w:val="000000" w:themeColor="text1"/>
          <w:sz w:val="32"/>
          <w:szCs w:val="32"/>
          <w14:textFill>
            <w14:solidFill>
              <w14:schemeClr w14:val="tx1"/>
            </w14:solidFill>
          </w14:textFill>
        </w:rPr>
        <w:fldChar w:fldCharType="end"/>
      </w:r>
      <w:r>
        <w:rPr>
          <w:rFonts w:hint="default" w:ascii="Times New Roman" w:hAnsi="Times New Roman" w:eastAsia="楷体_GB2312" w:cs="Times New Roman"/>
          <w:b w:val="0"/>
          <w:bCs w:val="0"/>
          <w:color w:val="000000" w:themeColor="text1"/>
          <w:sz w:val="32"/>
          <w:szCs w:val="32"/>
          <w14:textFill>
            <w14:solidFill>
              <w14:schemeClr w14:val="tx1"/>
            </w14:solidFill>
          </w14:textFill>
        </w:rPr>
        <w:fldChar w:fldCharType="end"/>
      </w:r>
    </w:p>
    <w:p>
      <w:pPr>
        <w:pStyle w:val="13"/>
        <w:keepNext w:val="0"/>
        <w:keepLines w:val="0"/>
        <w:pageBreakBefore w:val="0"/>
        <w:widowControl w:val="0"/>
        <w:tabs>
          <w:tab w:val="right" w:leader="dot" w:pos="8845"/>
        </w:tabs>
        <w:kinsoku/>
        <w:wordWrap/>
        <w:overflowPunct/>
        <w:topLinePunct w:val="0"/>
        <w:autoSpaceDE/>
        <w:autoSpaceDN/>
        <w:bidi w:val="0"/>
        <w:adjustRightInd/>
        <w:snapToGrid/>
        <w:spacing w:line="560" w:lineRule="exact"/>
        <w:ind w:left="800" w:leftChars="0" w:hanging="800" w:hangingChars="250"/>
        <w:textAlignment w:val="auto"/>
        <w:rPr>
          <w:rFonts w:hint="default" w:ascii="Times New Roman" w:hAnsi="Times New Roman" w:eastAsia="黑体" w:cs="Times New Roman"/>
          <w:color w:val="000000" w:themeColor="text1"/>
          <w:sz w:val="32"/>
          <w:szCs w:val="32"/>
          <w14:textFill>
            <w14:solidFill>
              <w14:schemeClr w14:val="tx1"/>
            </w14:solidFill>
          </w14:textFill>
        </w:rPr>
      </w:pPr>
      <w:r>
        <w:rPr>
          <w:rFonts w:hint="default" w:ascii="Times New Roman" w:hAnsi="Times New Roman" w:eastAsia="黑体" w:cs="Times New Roman"/>
          <w:color w:val="000000" w:themeColor="text1"/>
          <w:sz w:val="32"/>
          <w:szCs w:val="32"/>
          <w14:textFill>
            <w14:solidFill>
              <w14:schemeClr w14:val="tx1"/>
            </w14:solidFill>
          </w14:textFill>
        </w:rPr>
        <w:fldChar w:fldCharType="begin"/>
      </w:r>
      <w:r>
        <w:rPr>
          <w:rFonts w:hint="default" w:ascii="Times New Roman" w:hAnsi="Times New Roman" w:eastAsia="黑体" w:cs="Times New Roman"/>
          <w:color w:val="000000" w:themeColor="text1"/>
          <w:sz w:val="32"/>
          <w:szCs w:val="32"/>
          <w14:textFill>
            <w14:solidFill>
              <w14:schemeClr w14:val="tx1"/>
            </w14:solidFill>
          </w14:textFill>
        </w:rPr>
        <w:instrText xml:space="preserve"> HYPERLINK \l _Toc5301 </w:instrText>
      </w:r>
      <w:r>
        <w:rPr>
          <w:rFonts w:hint="default" w:ascii="Times New Roman" w:hAnsi="Times New Roman" w:eastAsia="黑体" w:cs="Times New Roman"/>
          <w:color w:val="000000" w:themeColor="text1"/>
          <w:sz w:val="32"/>
          <w:szCs w:val="32"/>
          <w14:textFill>
            <w14:solidFill>
              <w14:schemeClr w14:val="tx1"/>
            </w14:solidFill>
          </w14:textFill>
        </w:rPr>
        <w:fldChar w:fldCharType="separate"/>
      </w:r>
      <w:r>
        <w:rPr>
          <w:rFonts w:hint="default" w:ascii="Times New Roman" w:hAnsi="Times New Roman" w:eastAsia="黑体" w:cs="Times New Roman"/>
          <w:color w:val="000000" w:themeColor="text1"/>
          <w:sz w:val="32"/>
          <w:szCs w:val="32"/>
          <w14:textFill>
            <w14:solidFill>
              <w14:schemeClr w14:val="tx1"/>
            </w14:solidFill>
          </w14:textFill>
        </w:rPr>
        <w:t>第五章  服务业空间布局</w:t>
      </w:r>
      <w:r>
        <w:rPr>
          <w:rFonts w:hint="default" w:ascii="Times New Roman" w:hAnsi="Times New Roman" w:eastAsia="黑体" w:cs="Times New Roman"/>
          <w:color w:val="000000" w:themeColor="text1"/>
          <w:sz w:val="32"/>
          <w:szCs w:val="32"/>
          <w14:textFill>
            <w14:solidFill>
              <w14:schemeClr w14:val="tx1"/>
            </w14:solidFill>
          </w14:textFill>
        </w:rPr>
        <w:tab/>
      </w:r>
      <w:r>
        <w:rPr>
          <w:rFonts w:hint="default" w:ascii="Times New Roman" w:hAnsi="Times New Roman" w:eastAsia="黑体" w:cs="Times New Roman"/>
          <w:color w:val="000000" w:themeColor="text1"/>
          <w:sz w:val="32"/>
          <w:szCs w:val="32"/>
          <w14:textFill>
            <w14:solidFill>
              <w14:schemeClr w14:val="tx1"/>
            </w14:solidFill>
          </w14:textFill>
        </w:rPr>
        <w:fldChar w:fldCharType="begin"/>
      </w:r>
      <w:r>
        <w:rPr>
          <w:rFonts w:hint="default" w:ascii="Times New Roman" w:hAnsi="Times New Roman" w:eastAsia="黑体" w:cs="Times New Roman"/>
          <w:color w:val="000000" w:themeColor="text1"/>
          <w:sz w:val="32"/>
          <w:szCs w:val="32"/>
          <w14:textFill>
            <w14:solidFill>
              <w14:schemeClr w14:val="tx1"/>
            </w14:solidFill>
          </w14:textFill>
        </w:rPr>
        <w:instrText xml:space="preserve"> PAGEREF _Toc5301 \h </w:instrText>
      </w:r>
      <w:r>
        <w:rPr>
          <w:rFonts w:hint="default" w:ascii="Times New Roman" w:hAnsi="Times New Roman" w:eastAsia="黑体" w:cs="Times New Roman"/>
          <w:color w:val="000000" w:themeColor="text1"/>
          <w:sz w:val="32"/>
          <w:szCs w:val="32"/>
          <w14:textFill>
            <w14:solidFill>
              <w14:schemeClr w14:val="tx1"/>
            </w14:solidFill>
          </w14:textFill>
        </w:rPr>
        <w:fldChar w:fldCharType="separate"/>
      </w:r>
      <w:r>
        <w:rPr>
          <w:rFonts w:hint="default" w:ascii="Times New Roman" w:hAnsi="Times New Roman" w:eastAsia="黑体" w:cs="Times New Roman"/>
          <w:color w:val="000000" w:themeColor="text1"/>
          <w:sz w:val="32"/>
          <w:szCs w:val="32"/>
          <w14:textFill>
            <w14:solidFill>
              <w14:schemeClr w14:val="tx1"/>
            </w14:solidFill>
          </w14:textFill>
        </w:rPr>
        <w:t>49</w:t>
      </w:r>
      <w:r>
        <w:rPr>
          <w:rFonts w:hint="default" w:ascii="Times New Roman" w:hAnsi="Times New Roman" w:eastAsia="黑体" w:cs="Times New Roman"/>
          <w:color w:val="000000" w:themeColor="text1"/>
          <w:sz w:val="32"/>
          <w:szCs w:val="32"/>
          <w14:textFill>
            <w14:solidFill>
              <w14:schemeClr w14:val="tx1"/>
            </w14:solidFill>
          </w14:textFill>
        </w:rPr>
        <w:fldChar w:fldCharType="end"/>
      </w:r>
      <w:r>
        <w:rPr>
          <w:rFonts w:hint="default" w:ascii="Times New Roman" w:hAnsi="Times New Roman" w:eastAsia="黑体" w:cs="Times New Roman"/>
          <w:color w:val="000000" w:themeColor="text1"/>
          <w:sz w:val="32"/>
          <w:szCs w:val="32"/>
          <w14:textFill>
            <w14:solidFill>
              <w14:schemeClr w14:val="tx1"/>
            </w14:solidFill>
          </w14:textFill>
        </w:rPr>
        <w:fldChar w:fldCharType="end"/>
      </w:r>
    </w:p>
    <w:p>
      <w:pPr>
        <w:pStyle w:val="14"/>
        <w:keepNext w:val="0"/>
        <w:keepLines w:val="0"/>
        <w:pageBreakBefore w:val="0"/>
        <w:widowControl w:val="0"/>
        <w:tabs>
          <w:tab w:val="right" w:leader="dot" w:pos="8845"/>
        </w:tabs>
        <w:kinsoku/>
        <w:wordWrap/>
        <w:overflowPunct/>
        <w:topLinePunct w:val="0"/>
        <w:autoSpaceDE/>
        <w:autoSpaceDN/>
        <w:bidi w:val="0"/>
        <w:adjustRightInd/>
        <w:snapToGrid/>
        <w:spacing w:line="560" w:lineRule="exact"/>
        <w:ind w:left="800" w:leftChars="0" w:hanging="800" w:hangingChars="250"/>
        <w:textAlignment w:val="auto"/>
        <w:rPr>
          <w:rFonts w:hint="default" w:ascii="Times New Roman" w:hAnsi="Times New Roman" w:eastAsia="楷体_GB2312" w:cs="Times New Roman"/>
          <w:b w:val="0"/>
          <w:bCs w:val="0"/>
          <w:color w:val="000000" w:themeColor="text1"/>
          <w:sz w:val="32"/>
          <w:szCs w:val="32"/>
          <w14:textFill>
            <w14:solidFill>
              <w14:schemeClr w14:val="tx1"/>
            </w14:solidFill>
          </w14:textFill>
        </w:rPr>
      </w:pPr>
      <w:r>
        <w:rPr>
          <w:rFonts w:hint="default" w:ascii="Times New Roman" w:hAnsi="Times New Roman" w:eastAsia="楷体_GB2312" w:cs="Times New Roman"/>
          <w:b w:val="0"/>
          <w:bCs w:val="0"/>
          <w:color w:val="000000" w:themeColor="text1"/>
          <w:sz w:val="32"/>
          <w:szCs w:val="32"/>
          <w14:textFill>
            <w14:solidFill>
              <w14:schemeClr w14:val="tx1"/>
            </w14:solidFill>
          </w14:textFill>
        </w:rPr>
        <w:fldChar w:fldCharType="begin"/>
      </w:r>
      <w:r>
        <w:rPr>
          <w:rFonts w:hint="default" w:ascii="Times New Roman" w:hAnsi="Times New Roman" w:eastAsia="楷体_GB2312" w:cs="Times New Roman"/>
          <w:b w:val="0"/>
          <w:bCs w:val="0"/>
          <w:color w:val="000000" w:themeColor="text1"/>
          <w:sz w:val="32"/>
          <w:szCs w:val="32"/>
          <w14:textFill>
            <w14:solidFill>
              <w14:schemeClr w14:val="tx1"/>
            </w14:solidFill>
          </w14:textFill>
        </w:rPr>
        <w:instrText xml:space="preserve"> HYPERLINK \l _Toc17031 </w:instrText>
      </w:r>
      <w:r>
        <w:rPr>
          <w:rFonts w:hint="default" w:ascii="Times New Roman" w:hAnsi="Times New Roman" w:eastAsia="楷体_GB2312" w:cs="Times New Roman"/>
          <w:b w:val="0"/>
          <w:bCs w:val="0"/>
          <w:color w:val="000000" w:themeColor="text1"/>
          <w:sz w:val="32"/>
          <w:szCs w:val="32"/>
          <w14:textFill>
            <w14:solidFill>
              <w14:schemeClr w14:val="tx1"/>
            </w14:solidFill>
          </w14:textFill>
        </w:rPr>
        <w:fldChar w:fldCharType="separate"/>
      </w:r>
      <w:r>
        <w:rPr>
          <w:rFonts w:hint="default" w:ascii="Times New Roman" w:hAnsi="Times New Roman" w:eastAsia="楷体_GB2312" w:cs="Times New Roman"/>
          <w:b w:val="0"/>
          <w:bCs w:val="0"/>
          <w:color w:val="000000" w:themeColor="text1"/>
          <w:sz w:val="32"/>
          <w:szCs w:val="32"/>
          <w14:textFill>
            <w14:solidFill>
              <w14:schemeClr w14:val="tx1"/>
            </w14:solidFill>
          </w14:textFill>
        </w:rPr>
        <w:t>一、总体布局</w:t>
      </w:r>
      <w:r>
        <w:rPr>
          <w:rFonts w:hint="default" w:ascii="Times New Roman" w:hAnsi="Times New Roman" w:eastAsia="楷体_GB2312" w:cs="Times New Roman"/>
          <w:b w:val="0"/>
          <w:bCs w:val="0"/>
          <w:color w:val="000000" w:themeColor="text1"/>
          <w:sz w:val="32"/>
          <w:szCs w:val="32"/>
          <w14:textFill>
            <w14:solidFill>
              <w14:schemeClr w14:val="tx1"/>
            </w14:solidFill>
          </w14:textFill>
        </w:rPr>
        <w:tab/>
      </w:r>
      <w:r>
        <w:rPr>
          <w:rFonts w:hint="default" w:ascii="Times New Roman" w:hAnsi="Times New Roman" w:eastAsia="楷体_GB2312" w:cs="Times New Roman"/>
          <w:b w:val="0"/>
          <w:bCs w:val="0"/>
          <w:color w:val="000000" w:themeColor="text1"/>
          <w:sz w:val="32"/>
          <w:szCs w:val="32"/>
          <w14:textFill>
            <w14:solidFill>
              <w14:schemeClr w14:val="tx1"/>
            </w14:solidFill>
          </w14:textFill>
        </w:rPr>
        <w:fldChar w:fldCharType="begin"/>
      </w:r>
      <w:r>
        <w:rPr>
          <w:rFonts w:hint="default" w:ascii="Times New Roman" w:hAnsi="Times New Roman" w:eastAsia="楷体_GB2312" w:cs="Times New Roman"/>
          <w:b w:val="0"/>
          <w:bCs w:val="0"/>
          <w:color w:val="000000" w:themeColor="text1"/>
          <w:sz w:val="32"/>
          <w:szCs w:val="32"/>
          <w14:textFill>
            <w14:solidFill>
              <w14:schemeClr w14:val="tx1"/>
            </w14:solidFill>
          </w14:textFill>
        </w:rPr>
        <w:instrText xml:space="preserve"> PAGEREF _Toc17031 \h </w:instrText>
      </w:r>
      <w:r>
        <w:rPr>
          <w:rFonts w:hint="default" w:ascii="Times New Roman" w:hAnsi="Times New Roman" w:eastAsia="楷体_GB2312" w:cs="Times New Roman"/>
          <w:b w:val="0"/>
          <w:bCs w:val="0"/>
          <w:color w:val="000000" w:themeColor="text1"/>
          <w:sz w:val="32"/>
          <w:szCs w:val="32"/>
          <w14:textFill>
            <w14:solidFill>
              <w14:schemeClr w14:val="tx1"/>
            </w14:solidFill>
          </w14:textFill>
        </w:rPr>
        <w:fldChar w:fldCharType="separate"/>
      </w:r>
      <w:r>
        <w:rPr>
          <w:rFonts w:hint="default" w:ascii="Times New Roman" w:hAnsi="Times New Roman" w:eastAsia="楷体_GB2312" w:cs="Times New Roman"/>
          <w:b w:val="0"/>
          <w:bCs w:val="0"/>
          <w:color w:val="000000" w:themeColor="text1"/>
          <w:sz w:val="32"/>
          <w:szCs w:val="32"/>
          <w14:textFill>
            <w14:solidFill>
              <w14:schemeClr w14:val="tx1"/>
            </w14:solidFill>
          </w14:textFill>
        </w:rPr>
        <w:t>49</w:t>
      </w:r>
      <w:r>
        <w:rPr>
          <w:rFonts w:hint="default" w:ascii="Times New Roman" w:hAnsi="Times New Roman" w:eastAsia="楷体_GB2312" w:cs="Times New Roman"/>
          <w:b w:val="0"/>
          <w:bCs w:val="0"/>
          <w:color w:val="000000" w:themeColor="text1"/>
          <w:sz w:val="32"/>
          <w:szCs w:val="32"/>
          <w14:textFill>
            <w14:solidFill>
              <w14:schemeClr w14:val="tx1"/>
            </w14:solidFill>
          </w14:textFill>
        </w:rPr>
        <w:fldChar w:fldCharType="end"/>
      </w:r>
      <w:r>
        <w:rPr>
          <w:rFonts w:hint="default" w:ascii="Times New Roman" w:hAnsi="Times New Roman" w:eastAsia="楷体_GB2312" w:cs="Times New Roman"/>
          <w:b w:val="0"/>
          <w:bCs w:val="0"/>
          <w:color w:val="000000" w:themeColor="text1"/>
          <w:sz w:val="32"/>
          <w:szCs w:val="32"/>
          <w14:textFill>
            <w14:solidFill>
              <w14:schemeClr w14:val="tx1"/>
            </w14:solidFill>
          </w14:textFill>
        </w:rPr>
        <w:fldChar w:fldCharType="end"/>
      </w:r>
    </w:p>
    <w:p>
      <w:pPr>
        <w:pStyle w:val="14"/>
        <w:keepNext w:val="0"/>
        <w:keepLines w:val="0"/>
        <w:pageBreakBefore w:val="0"/>
        <w:widowControl w:val="0"/>
        <w:tabs>
          <w:tab w:val="right" w:leader="dot" w:pos="8845"/>
        </w:tabs>
        <w:kinsoku/>
        <w:wordWrap/>
        <w:overflowPunct/>
        <w:topLinePunct w:val="0"/>
        <w:autoSpaceDE/>
        <w:autoSpaceDN/>
        <w:bidi w:val="0"/>
        <w:adjustRightInd/>
        <w:snapToGrid/>
        <w:spacing w:line="560" w:lineRule="exact"/>
        <w:ind w:left="800" w:leftChars="0" w:hanging="800" w:hangingChars="250"/>
        <w:textAlignment w:val="auto"/>
        <w:rPr>
          <w:rFonts w:hint="default" w:ascii="Times New Roman" w:hAnsi="Times New Roman" w:eastAsia="楷体_GB2312" w:cs="Times New Roman"/>
          <w:b w:val="0"/>
          <w:bCs w:val="0"/>
          <w:color w:val="000000" w:themeColor="text1"/>
          <w:sz w:val="32"/>
          <w:szCs w:val="32"/>
          <w14:textFill>
            <w14:solidFill>
              <w14:schemeClr w14:val="tx1"/>
            </w14:solidFill>
          </w14:textFill>
        </w:rPr>
      </w:pPr>
      <w:r>
        <w:rPr>
          <w:rFonts w:hint="default" w:ascii="Times New Roman" w:hAnsi="Times New Roman" w:eastAsia="楷体_GB2312" w:cs="Times New Roman"/>
          <w:b w:val="0"/>
          <w:bCs w:val="0"/>
          <w:color w:val="000000" w:themeColor="text1"/>
          <w:sz w:val="32"/>
          <w:szCs w:val="32"/>
          <w14:textFill>
            <w14:solidFill>
              <w14:schemeClr w14:val="tx1"/>
            </w14:solidFill>
          </w14:textFill>
        </w:rPr>
        <w:fldChar w:fldCharType="begin"/>
      </w:r>
      <w:r>
        <w:rPr>
          <w:rFonts w:hint="default" w:ascii="Times New Roman" w:hAnsi="Times New Roman" w:eastAsia="楷体_GB2312" w:cs="Times New Roman"/>
          <w:b w:val="0"/>
          <w:bCs w:val="0"/>
          <w:color w:val="000000" w:themeColor="text1"/>
          <w:sz w:val="32"/>
          <w:szCs w:val="32"/>
          <w14:textFill>
            <w14:solidFill>
              <w14:schemeClr w14:val="tx1"/>
            </w14:solidFill>
          </w14:textFill>
        </w:rPr>
        <w:instrText xml:space="preserve"> HYPERLINK \l _Toc13232 </w:instrText>
      </w:r>
      <w:r>
        <w:rPr>
          <w:rFonts w:hint="default" w:ascii="Times New Roman" w:hAnsi="Times New Roman" w:eastAsia="楷体_GB2312" w:cs="Times New Roman"/>
          <w:b w:val="0"/>
          <w:bCs w:val="0"/>
          <w:color w:val="000000" w:themeColor="text1"/>
          <w:sz w:val="32"/>
          <w:szCs w:val="32"/>
          <w14:textFill>
            <w14:solidFill>
              <w14:schemeClr w14:val="tx1"/>
            </w14:solidFill>
          </w14:textFill>
        </w:rPr>
        <w:fldChar w:fldCharType="separate"/>
      </w:r>
      <w:r>
        <w:rPr>
          <w:rFonts w:hint="default" w:ascii="Times New Roman" w:hAnsi="Times New Roman" w:eastAsia="楷体_GB2312" w:cs="Times New Roman"/>
          <w:b w:val="0"/>
          <w:bCs w:val="0"/>
          <w:color w:val="000000" w:themeColor="text1"/>
          <w:sz w:val="32"/>
          <w:szCs w:val="32"/>
          <w14:textFill>
            <w14:solidFill>
              <w14:schemeClr w14:val="tx1"/>
            </w14:solidFill>
          </w14:textFill>
        </w:rPr>
        <w:t>二、生产性服务业布局</w:t>
      </w:r>
      <w:r>
        <w:rPr>
          <w:rFonts w:hint="default" w:ascii="Times New Roman" w:hAnsi="Times New Roman" w:eastAsia="楷体_GB2312" w:cs="Times New Roman"/>
          <w:b w:val="0"/>
          <w:bCs w:val="0"/>
          <w:color w:val="000000" w:themeColor="text1"/>
          <w:sz w:val="32"/>
          <w:szCs w:val="32"/>
          <w14:textFill>
            <w14:solidFill>
              <w14:schemeClr w14:val="tx1"/>
            </w14:solidFill>
          </w14:textFill>
        </w:rPr>
        <w:tab/>
      </w:r>
      <w:r>
        <w:rPr>
          <w:rFonts w:hint="default" w:ascii="Times New Roman" w:hAnsi="Times New Roman" w:eastAsia="楷体_GB2312" w:cs="Times New Roman"/>
          <w:b w:val="0"/>
          <w:bCs w:val="0"/>
          <w:color w:val="000000" w:themeColor="text1"/>
          <w:sz w:val="32"/>
          <w:szCs w:val="32"/>
          <w14:textFill>
            <w14:solidFill>
              <w14:schemeClr w14:val="tx1"/>
            </w14:solidFill>
          </w14:textFill>
        </w:rPr>
        <w:fldChar w:fldCharType="begin"/>
      </w:r>
      <w:r>
        <w:rPr>
          <w:rFonts w:hint="default" w:ascii="Times New Roman" w:hAnsi="Times New Roman" w:eastAsia="楷体_GB2312" w:cs="Times New Roman"/>
          <w:b w:val="0"/>
          <w:bCs w:val="0"/>
          <w:color w:val="000000" w:themeColor="text1"/>
          <w:sz w:val="32"/>
          <w:szCs w:val="32"/>
          <w14:textFill>
            <w14:solidFill>
              <w14:schemeClr w14:val="tx1"/>
            </w14:solidFill>
          </w14:textFill>
        </w:rPr>
        <w:instrText xml:space="preserve"> PAGEREF _Toc13232 \h </w:instrText>
      </w:r>
      <w:r>
        <w:rPr>
          <w:rFonts w:hint="default" w:ascii="Times New Roman" w:hAnsi="Times New Roman" w:eastAsia="楷体_GB2312" w:cs="Times New Roman"/>
          <w:b w:val="0"/>
          <w:bCs w:val="0"/>
          <w:color w:val="000000" w:themeColor="text1"/>
          <w:sz w:val="32"/>
          <w:szCs w:val="32"/>
          <w14:textFill>
            <w14:solidFill>
              <w14:schemeClr w14:val="tx1"/>
            </w14:solidFill>
          </w14:textFill>
        </w:rPr>
        <w:fldChar w:fldCharType="separate"/>
      </w:r>
      <w:r>
        <w:rPr>
          <w:rFonts w:hint="default" w:ascii="Times New Roman" w:hAnsi="Times New Roman" w:eastAsia="楷体_GB2312" w:cs="Times New Roman"/>
          <w:b w:val="0"/>
          <w:bCs w:val="0"/>
          <w:color w:val="000000" w:themeColor="text1"/>
          <w:sz w:val="32"/>
          <w:szCs w:val="32"/>
          <w14:textFill>
            <w14:solidFill>
              <w14:schemeClr w14:val="tx1"/>
            </w14:solidFill>
          </w14:textFill>
        </w:rPr>
        <w:t>49</w:t>
      </w:r>
      <w:r>
        <w:rPr>
          <w:rFonts w:hint="default" w:ascii="Times New Roman" w:hAnsi="Times New Roman" w:eastAsia="楷体_GB2312" w:cs="Times New Roman"/>
          <w:b w:val="0"/>
          <w:bCs w:val="0"/>
          <w:color w:val="000000" w:themeColor="text1"/>
          <w:sz w:val="32"/>
          <w:szCs w:val="32"/>
          <w14:textFill>
            <w14:solidFill>
              <w14:schemeClr w14:val="tx1"/>
            </w14:solidFill>
          </w14:textFill>
        </w:rPr>
        <w:fldChar w:fldCharType="end"/>
      </w:r>
      <w:r>
        <w:rPr>
          <w:rFonts w:hint="default" w:ascii="Times New Roman" w:hAnsi="Times New Roman" w:eastAsia="楷体_GB2312" w:cs="Times New Roman"/>
          <w:b w:val="0"/>
          <w:bCs w:val="0"/>
          <w:color w:val="000000" w:themeColor="text1"/>
          <w:sz w:val="32"/>
          <w:szCs w:val="32"/>
          <w14:textFill>
            <w14:solidFill>
              <w14:schemeClr w14:val="tx1"/>
            </w14:solidFill>
          </w14:textFill>
        </w:rPr>
        <w:fldChar w:fldCharType="end"/>
      </w:r>
    </w:p>
    <w:p>
      <w:pPr>
        <w:pStyle w:val="14"/>
        <w:keepNext w:val="0"/>
        <w:keepLines w:val="0"/>
        <w:pageBreakBefore w:val="0"/>
        <w:widowControl w:val="0"/>
        <w:tabs>
          <w:tab w:val="right" w:leader="dot" w:pos="8845"/>
        </w:tabs>
        <w:kinsoku/>
        <w:wordWrap/>
        <w:overflowPunct/>
        <w:topLinePunct w:val="0"/>
        <w:autoSpaceDE/>
        <w:autoSpaceDN/>
        <w:bidi w:val="0"/>
        <w:adjustRightInd/>
        <w:snapToGrid/>
        <w:spacing w:line="560" w:lineRule="exact"/>
        <w:ind w:left="800" w:leftChars="0" w:hanging="800" w:hangingChars="250"/>
        <w:textAlignment w:val="auto"/>
        <w:rPr>
          <w:rFonts w:hint="default" w:ascii="Times New Roman" w:hAnsi="Times New Roman" w:eastAsia="楷体_GB2312" w:cs="Times New Roman"/>
          <w:b w:val="0"/>
          <w:bCs w:val="0"/>
          <w:color w:val="000000" w:themeColor="text1"/>
          <w:sz w:val="32"/>
          <w:szCs w:val="32"/>
          <w14:textFill>
            <w14:solidFill>
              <w14:schemeClr w14:val="tx1"/>
            </w14:solidFill>
          </w14:textFill>
        </w:rPr>
      </w:pPr>
      <w:r>
        <w:rPr>
          <w:rFonts w:hint="default" w:ascii="Times New Roman" w:hAnsi="Times New Roman" w:eastAsia="楷体_GB2312" w:cs="Times New Roman"/>
          <w:b w:val="0"/>
          <w:bCs w:val="0"/>
          <w:color w:val="000000" w:themeColor="text1"/>
          <w:sz w:val="32"/>
          <w:szCs w:val="32"/>
          <w14:textFill>
            <w14:solidFill>
              <w14:schemeClr w14:val="tx1"/>
            </w14:solidFill>
          </w14:textFill>
        </w:rPr>
        <w:fldChar w:fldCharType="begin"/>
      </w:r>
      <w:r>
        <w:rPr>
          <w:rFonts w:hint="default" w:ascii="Times New Roman" w:hAnsi="Times New Roman" w:eastAsia="楷体_GB2312" w:cs="Times New Roman"/>
          <w:b w:val="0"/>
          <w:bCs w:val="0"/>
          <w:color w:val="000000" w:themeColor="text1"/>
          <w:sz w:val="32"/>
          <w:szCs w:val="32"/>
          <w14:textFill>
            <w14:solidFill>
              <w14:schemeClr w14:val="tx1"/>
            </w14:solidFill>
          </w14:textFill>
        </w:rPr>
        <w:instrText xml:space="preserve"> HYPERLINK \l _Toc8651 </w:instrText>
      </w:r>
      <w:r>
        <w:rPr>
          <w:rFonts w:hint="default" w:ascii="Times New Roman" w:hAnsi="Times New Roman" w:eastAsia="楷体_GB2312" w:cs="Times New Roman"/>
          <w:b w:val="0"/>
          <w:bCs w:val="0"/>
          <w:color w:val="000000" w:themeColor="text1"/>
          <w:sz w:val="32"/>
          <w:szCs w:val="32"/>
          <w14:textFill>
            <w14:solidFill>
              <w14:schemeClr w14:val="tx1"/>
            </w14:solidFill>
          </w14:textFill>
        </w:rPr>
        <w:fldChar w:fldCharType="separate"/>
      </w:r>
      <w:r>
        <w:rPr>
          <w:rFonts w:hint="default" w:ascii="Times New Roman" w:hAnsi="Times New Roman" w:eastAsia="楷体_GB2312" w:cs="Times New Roman"/>
          <w:b w:val="0"/>
          <w:bCs w:val="0"/>
          <w:color w:val="000000" w:themeColor="text1"/>
          <w:sz w:val="32"/>
          <w:szCs w:val="32"/>
          <w14:textFill>
            <w14:solidFill>
              <w14:schemeClr w14:val="tx1"/>
            </w14:solidFill>
          </w14:textFill>
        </w:rPr>
        <w:t>三、生活性服务业布局</w:t>
      </w:r>
      <w:r>
        <w:rPr>
          <w:rFonts w:hint="default" w:ascii="Times New Roman" w:hAnsi="Times New Roman" w:eastAsia="楷体_GB2312" w:cs="Times New Roman"/>
          <w:b w:val="0"/>
          <w:bCs w:val="0"/>
          <w:color w:val="000000" w:themeColor="text1"/>
          <w:sz w:val="32"/>
          <w:szCs w:val="32"/>
          <w14:textFill>
            <w14:solidFill>
              <w14:schemeClr w14:val="tx1"/>
            </w14:solidFill>
          </w14:textFill>
        </w:rPr>
        <w:tab/>
      </w:r>
      <w:r>
        <w:rPr>
          <w:rFonts w:hint="default" w:ascii="Times New Roman" w:hAnsi="Times New Roman" w:eastAsia="楷体_GB2312" w:cs="Times New Roman"/>
          <w:b w:val="0"/>
          <w:bCs w:val="0"/>
          <w:color w:val="000000" w:themeColor="text1"/>
          <w:sz w:val="32"/>
          <w:szCs w:val="32"/>
          <w14:textFill>
            <w14:solidFill>
              <w14:schemeClr w14:val="tx1"/>
            </w14:solidFill>
          </w14:textFill>
        </w:rPr>
        <w:fldChar w:fldCharType="begin"/>
      </w:r>
      <w:r>
        <w:rPr>
          <w:rFonts w:hint="default" w:ascii="Times New Roman" w:hAnsi="Times New Roman" w:eastAsia="楷体_GB2312" w:cs="Times New Roman"/>
          <w:b w:val="0"/>
          <w:bCs w:val="0"/>
          <w:color w:val="000000" w:themeColor="text1"/>
          <w:sz w:val="32"/>
          <w:szCs w:val="32"/>
          <w14:textFill>
            <w14:solidFill>
              <w14:schemeClr w14:val="tx1"/>
            </w14:solidFill>
          </w14:textFill>
        </w:rPr>
        <w:instrText xml:space="preserve"> PAGEREF _Toc8651 \h </w:instrText>
      </w:r>
      <w:r>
        <w:rPr>
          <w:rFonts w:hint="default" w:ascii="Times New Roman" w:hAnsi="Times New Roman" w:eastAsia="楷体_GB2312" w:cs="Times New Roman"/>
          <w:b w:val="0"/>
          <w:bCs w:val="0"/>
          <w:color w:val="000000" w:themeColor="text1"/>
          <w:sz w:val="32"/>
          <w:szCs w:val="32"/>
          <w14:textFill>
            <w14:solidFill>
              <w14:schemeClr w14:val="tx1"/>
            </w14:solidFill>
          </w14:textFill>
        </w:rPr>
        <w:fldChar w:fldCharType="separate"/>
      </w:r>
      <w:r>
        <w:rPr>
          <w:rFonts w:hint="default" w:ascii="Times New Roman" w:hAnsi="Times New Roman" w:eastAsia="楷体_GB2312" w:cs="Times New Roman"/>
          <w:b w:val="0"/>
          <w:bCs w:val="0"/>
          <w:color w:val="000000" w:themeColor="text1"/>
          <w:sz w:val="32"/>
          <w:szCs w:val="32"/>
          <w14:textFill>
            <w14:solidFill>
              <w14:schemeClr w14:val="tx1"/>
            </w14:solidFill>
          </w14:textFill>
        </w:rPr>
        <w:t>51</w:t>
      </w:r>
      <w:r>
        <w:rPr>
          <w:rFonts w:hint="default" w:ascii="Times New Roman" w:hAnsi="Times New Roman" w:eastAsia="楷体_GB2312" w:cs="Times New Roman"/>
          <w:b w:val="0"/>
          <w:bCs w:val="0"/>
          <w:color w:val="000000" w:themeColor="text1"/>
          <w:sz w:val="32"/>
          <w:szCs w:val="32"/>
          <w14:textFill>
            <w14:solidFill>
              <w14:schemeClr w14:val="tx1"/>
            </w14:solidFill>
          </w14:textFill>
        </w:rPr>
        <w:fldChar w:fldCharType="end"/>
      </w:r>
      <w:r>
        <w:rPr>
          <w:rFonts w:hint="default" w:ascii="Times New Roman" w:hAnsi="Times New Roman" w:eastAsia="楷体_GB2312" w:cs="Times New Roman"/>
          <w:b w:val="0"/>
          <w:bCs w:val="0"/>
          <w:color w:val="000000" w:themeColor="text1"/>
          <w:sz w:val="32"/>
          <w:szCs w:val="32"/>
          <w14:textFill>
            <w14:solidFill>
              <w14:schemeClr w14:val="tx1"/>
            </w14:solidFill>
          </w14:textFill>
        </w:rPr>
        <w:fldChar w:fldCharType="end"/>
      </w:r>
    </w:p>
    <w:p>
      <w:pPr>
        <w:pStyle w:val="13"/>
        <w:keepNext w:val="0"/>
        <w:keepLines w:val="0"/>
        <w:pageBreakBefore w:val="0"/>
        <w:widowControl w:val="0"/>
        <w:tabs>
          <w:tab w:val="right" w:leader="dot" w:pos="8845"/>
        </w:tabs>
        <w:kinsoku/>
        <w:wordWrap/>
        <w:overflowPunct/>
        <w:topLinePunct w:val="0"/>
        <w:autoSpaceDE/>
        <w:autoSpaceDN/>
        <w:bidi w:val="0"/>
        <w:adjustRightInd/>
        <w:snapToGrid/>
        <w:spacing w:line="560" w:lineRule="exact"/>
        <w:ind w:left="800" w:leftChars="0" w:hanging="800" w:hangingChars="250"/>
        <w:textAlignment w:val="auto"/>
        <w:rPr>
          <w:rFonts w:hint="default" w:ascii="Times New Roman" w:hAnsi="Times New Roman" w:eastAsia="黑体" w:cs="Times New Roman"/>
          <w:color w:val="000000" w:themeColor="text1"/>
          <w:sz w:val="32"/>
          <w:szCs w:val="32"/>
          <w14:textFill>
            <w14:solidFill>
              <w14:schemeClr w14:val="tx1"/>
            </w14:solidFill>
          </w14:textFill>
        </w:rPr>
      </w:pPr>
      <w:r>
        <w:rPr>
          <w:rFonts w:hint="default" w:ascii="Times New Roman" w:hAnsi="Times New Roman" w:eastAsia="黑体" w:cs="Times New Roman"/>
          <w:color w:val="000000" w:themeColor="text1"/>
          <w:sz w:val="32"/>
          <w:szCs w:val="32"/>
          <w14:textFill>
            <w14:solidFill>
              <w14:schemeClr w14:val="tx1"/>
            </w14:solidFill>
          </w14:textFill>
        </w:rPr>
        <w:fldChar w:fldCharType="begin"/>
      </w:r>
      <w:r>
        <w:rPr>
          <w:rFonts w:hint="default" w:ascii="Times New Roman" w:hAnsi="Times New Roman" w:eastAsia="黑体" w:cs="Times New Roman"/>
          <w:color w:val="000000" w:themeColor="text1"/>
          <w:sz w:val="32"/>
          <w:szCs w:val="32"/>
          <w14:textFill>
            <w14:solidFill>
              <w14:schemeClr w14:val="tx1"/>
            </w14:solidFill>
          </w14:textFill>
        </w:rPr>
        <w:instrText xml:space="preserve"> HYPERLINK \l _Toc15972 </w:instrText>
      </w:r>
      <w:r>
        <w:rPr>
          <w:rFonts w:hint="default" w:ascii="Times New Roman" w:hAnsi="Times New Roman" w:eastAsia="黑体" w:cs="Times New Roman"/>
          <w:color w:val="000000" w:themeColor="text1"/>
          <w:sz w:val="32"/>
          <w:szCs w:val="32"/>
          <w14:textFill>
            <w14:solidFill>
              <w14:schemeClr w14:val="tx1"/>
            </w14:solidFill>
          </w14:textFill>
        </w:rPr>
        <w:fldChar w:fldCharType="separate"/>
      </w:r>
      <w:r>
        <w:rPr>
          <w:rFonts w:hint="default" w:ascii="Times New Roman" w:hAnsi="Times New Roman" w:eastAsia="黑体" w:cs="Times New Roman"/>
          <w:color w:val="000000" w:themeColor="text1"/>
          <w:sz w:val="32"/>
          <w:szCs w:val="32"/>
          <w14:textFill>
            <w14:solidFill>
              <w14:schemeClr w14:val="tx1"/>
            </w14:solidFill>
          </w14:textFill>
        </w:rPr>
        <w:t>第六章  保障措施</w:t>
      </w:r>
      <w:r>
        <w:rPr>
          <w:rFonts w:hint="default" w:ascii="Times New Roman" w:hAnsi="Times New Roman" w:eastAsia="黑体" w:cs="Times New Roman"/>
          <w:color w:val="000000" w:themeColor="text1"/>
          <w:sz w:val="32"/>
          <w:szCs w:val="32"/>
          <w14:textFill>
            <w14:solidFill>
              <w14:schemeClr w14:val="tx1"/>
            </w14:solidFill>
          </w14:textFill>
        </w:rPr>
        <w:tab/>
      </w:r>
      <w:r>
        <w:rPr>
          <w:rFonts w:hint="default" w:ascii="Times New Roman" w:hAnsi="Times New Roman" w:eastAsia="黑体" w:cs="Times New Roman"/>
          <w:color w:val="000000" w:themeColor="text1"/>
          <w:sz w:val="32"/>
          <w:szCs w:val="32"/>
          <w14:textFill>
            <w14:solidFill>
              <w14:schemeClr w14:val="tx1"/>
            </w14:solidFill>
          </w14:textFill>
        </w:rPr>
        <w:fldChar w:fldCharType="begin"/>
      </w:r>
      <w:r>
        <w:rPr>
          <w:rFonts w:hint="default" w:ascii="Times New Roman" w:hAnsi="Times New Roman" w:eastAsia="黑体" w:cs="Times New Roman"/>
          <w:color w:val="000000" w:themeColor="text1"/>
          <w:sz w:val="32"/>
          <w:szCs w:val="32"/>
          <w14:textFill>
            <w14:solidFill>
              <w14:schemeClr w14:val="tx1"/>
            </w14:solidFill>
          </w14:textFill>
        </w:rPr>
        <w:instrText xml:space="preserve"> PAGEREF _Toc15972 \h </w:instrText>
      </w:r>
      <w:r>
        <w:rPr>
          <w:rFonts w:hint="default" w:ascii="Times New Roman" w:hAnsi="Times New Roman" w:eastAsia="黑体" w:cs="Times New Roman"/>
          <w:color w:val="000000" w:themeColor="text1"/>
          <w:sz w:val="32"/>
          <w:szCs w:val="32"/>
          <w14:textFill>
            <w14:solidFill>
              <w14:schemeClr w14:val="tx1"/>
            </w14:solidFill>
          </w14:textFill>
        </w:rPr>
        <w:fldChar w:fldCharType="separate"/>
      </w:r>
      <w:r>
        <w:rPr>
          <w:rFonts w:hint="default" w:ascii="Times New Roman" w:hAnsi="Times New Roman" w:eastAsia="黑体" w:cs="Times New Roman"/>
          <w:color w:val="000000" w:themeColor="text1"/>
          <w:sz w:val="32"/>
          <w:szCs w:val="32"/>
          <w14:textFill>
            <w14:solidFill>
              <w14:schemeClr w14:val="tx1"/>
            </w14:solidFill>
          </w14:textFill>
        </w:rPr>
        <w:t>52</w:t>
      </w:r>
      <w:r>
        <w:rPr>
          <w:rFonts w:hint="default" w:ascii="Times New Roman" w:hAnsi="Times New Roman" w:eastAsia="黑体" w:cs="Times New Roman"/>
          <w:color w:val="000000" w:themeColor="text1"/>
          <w:sz w:val="32"/>
          <w:szCs w:val="32"/>
          <w14:textFill>
            <w14:solidFill>
              <w14:schemeClr w14:val="tx1"/>
            </w14:solidFill>
          </w14:textFill>
        </w:rPr>
        <w:fldChar w:fldCharType="end"/>
      </w:r>
      <w:r>
        <w:rPr>
          <w:rFonts w:hint="default" w:ascii="Times New Roman" w:hAnsi="Times New Roman" w:eastAsia="黑体" w:cs="Times New Roman"/>
          <w:color w:val="000000" w:themeColor="text1"/>
          <w:sz w:val="32"/>
          <w:szCs w:val="32"/>
          <w14:textFill>
            <w14:solidFill>
              <w14:schemeClr w14:val="tx1"/>
            </w14:solidFill>
          </w14:textFill>
        </w:rPr>
        <w:fldChar w:fldCharType="end"/>
      </w:r>
    </w:p>
    <w:p>
      <w:pPr>
        <w:pStyle w:val="14"/>
        <w:keepNext w:val="0"/>
        <w:keepLines w:val="0"/>
        <w:pageBreakBefore w:val="0"/>
        <w:widowControl w:val="0"/>
        <w:tabs>
          <w:tab w:val="right" w:leader="dot" w:pos="8845"/>
        </w:tabs>
        <w:kinsoku/>
        <w:wordWrap/>
        <w:overflowPunct/>
        <w:topLinePunct w:val="0"/>
        <w:autoSpaceDE/>
        <w:autoSpaceDN/>
        <w:bidi w:val="0"/>
        <w:adjustRightInd/>
        <w:snapToGrid/>
        <w:spacing w:line="560" w:lineRule="exact"/>
        <w:ind w:left="800" w:leftChars="0" w:hanging="800" w:hangingChars="250"/>
        <w:textAlignment w:val="auto"/>
        <w:rPr>
          <w:rFonts w:hint="default" w:ascii="Times New Roman" w:hAnsi="Times New Roman" w:eastAsia="楷体_GB2312" w:cs="Times New Roman"/>
          <w:b w:val="0"/>
          <w:bCs w:val="0"/>
          <w:color w:val="000000" w:themeColor="text1"/>
          <w:sz w:val="32"/>
          <w:szCs w:val="32"/>
          <w14:textFill>
            <w14:solidFill>
              <w14:schemeClr w14:val="tx1"/>
            </w14:solidFill>
          </w14:textFill>
        </w:rPr>
      </w:pPr>
      <w:r>
        <w:rPr>
          <w:rFonts w:hint="default" w:ascii="Times New Roman" w:hAnsi="Times New Roman" w:eastAsia="楷体_GB2312" w:cs="Times New Roman"/>
          <w:b w:val="0"/>
          <w:bCs w:val="0"/>
          <w:color w:val="000000" w:themeColor="text1"/>
          <w:sz w:val="32"/>
          <w:szCs w:val="32"/>
          <w14:textFill>
            <w14:solidFill>
              <w14:schemeClr w14:val="tx1"/>
            </w14:solidFill>
          </w14:textFill>
        </w:rPr>
        <w:fldChar w:fldCharType="begin"/>
      </w:r>
      <w:r>
        <w:rPr>
          <w:rFonts w:hint="default" w:ascii="Times New Roman" w:hAnsi="Times New Roman" w:eastAsia="楷体_GB2312" w:cs="Times New Roman"/>
          <w:b w:val="0"/>
          <w:bCs w:val="0"/>
          <w:color w:val="000000" w:themeColor="text1"/>
          <w:sz w:val="32"/>
          <w:szCs w:val="32"/>
          <w14:textFill>
            <w14:solidFill>
              <w14:schemeClr w14:val="tx1"/>
            </w14:solidFill>
          </w14:textFill>
        </w:rPr>
        <w:instrText xml:space="preserve"> HYPERLINK \l _Toc28875 </w:instrText>
      </w:r>
      <w:r>
        <w:rPr>
          <w:rFonts w:hint="default" w:ascii="Times New Roman" w:hAnsi="Times New Roman" w:eastAsia="楷体_GB2312" w:cs="Times New Roman"/>
          <w:b w:val="0"/>
          <w:bCs w:val="0"/>
          <w:color w:val="000000" w:themeColor="text1"/>
          <w:sz w:val="32"/>
          <w:szCs w:val="32"/>
          <w14:textFill>
            <w14:solidFill>
              <w14:schemeClr w14:val="tx1"/>
            </w14:solidFill>
          </w14:textFill>
        </w:rPr>
        <w:fldChar w:fldCharType="separate"/>
      </w:r>
      <w:r>
        <w:rPr>
          <w:rFonts w:hint="default" w:ascii="Times New Roman" w:hAnsi="Times New Roman" w:eastAsia="楷体_GB2312" w:cs="Times New Roman"/>
          <w:b w:val="0"/>
          <w:bCs w:val="0"/>
          <w:color w:val="000000" w:themeColor="text1"/>
          <w:sz w:val="32"/>
          <w:szCs w:val="32"/>
          <w14:textFill>
            <w14:solidFill>
              <w14:schemeClr w14:val="tx1"/>
            </w14:solidFill>
          </w14:textFill>
        </w:rPr>
        <w:t>一、加强组织协调</w:t>
      </w:r>
      <w:r>
        <w:rPr>
          <w:rFonts w:hint="default" w:ascii="Times New Roman" w:hAnsi="Times New Roman" w:eastAsia="楷体_GB2312" w:cs="Times New Roman"/>
          <w:b w:val="0"/>
          <w:bCs w:val="0"/>
          <w:color w:val="000000" w:themeColor="text1"/>
          <w:sz w:val="32"/>
          <w:szCs w:val="32"/>
          <w14:textFill>
            <w14:solidFill>
              <w14:schemeClr w14:val="tx1"/>
            </w14:solidFill>
          </w14:textFill>
        </w:rPr>
        <w:tab/>
      </w:r>
      <w:r>
        <w:rPr>
          <w:rFonts w:hint="default" w:ascii="Times New Roman" w:hAnsi="Times New Roman" w:eastAsia="楷体_GB2312" w:cs="Times New Roman"/>
          <w:b w:val="0"/>
          <w:bCs w:val="0"/>
          <w:color w:val="000000" w:themeColor="text1"/>
          <w:sz w:val="32"/>
          <w:szCs w:val="32"/>
          <w14:textFill>
            <w14:solidFill>
              <w14:schemeClr w14:val="tx1"/>
            </w14:solidFill>
          </w14:textFill>
        </w:rPr>
        <w:fldChar w:fldCharType="begin"/>
      </w:r>
      <w:r>
        <w:rPr>
          <w:rFonts w:hint="default" w:ascii="Times New Roman" w:hAnsi="Times New Roman" w:eastAsia="楷体_GB2312" w:cs="Times New Roman"/>
          <w:b w:val="0"/>
          <w:bCs w:val="0"/>
          <w:color w:val="000000" w:themeColor="text1"/>
          <w:sz w:val="32"/>
          <w:szCs w:val="32"/>
          <w14:textFill>
            <w14:solidFill>
              <w14:schemeClr w14:val="tx1"/>
            </w14:solidFill>
          </w14:textFill>
        </w:rPr>
        <w:instrText xml:space="preserve"> PAGEREF _Toc28875 \h </w:instrText>
      </w:r>
      <w:r>
        <w:rPr>
          <w:rFonts w:hint="default" w:ascii="Times New Roman" w:hAnsi="Times New Roman" w:eastAsia="楷体_GB2312" w:cs="Times New Roman"/>
          <w:b w:val="0"/>
          <w:bCs w:val="0"/>
          <w:color w:val="000000" w:themeColor="text1"/>
          <w:sz w:val="32"/>
          <w:szCs w:val="32"/>
          <w14:textFill>
            <w14:solidFill>
              <w14:schemeClr w14:val="tx1"/>
            </w14:solidFill>
          </w14:textFill>
        </w:rPr>
        <w:fldChar w:fldCharType="separate"/>
      </w:r>
      <w:r>
        <w:rPr>
          <w:rFonts w:hint="default" w:ascii="Times New Roman" w:hAnsi="Times New Roman" w:eastAsia="楷体_GB2312" w:cs="Times New Roman"/>
          <w:b w:val="0"/>
          <w:bCs w:val="0"/>
          <w:color w:val="000000" w:themeColor="text1"/>
          <w:sz w:val="32"/>
          <w:szCs w:val="32"/>
          <w14:textFill>
            <w14:solidFill>
              <w14:schemeClr w14:val="tx1"/>
            </w14:solidFill>
          </w14:textFill>
        </w:rPr>
        <w:t>52</w:t>
      </w:r>
      <w:r>
        <w:rPr>
          <w:rFonts w:hint="default" w:ascii="Times New Roman" w:hAnsi="Times New Roman" w:eastAsia="楷体_GB2312" w:cs="Times New Roman"/>
          <w:b w:val="0"/>
          <w:bCs w:val="0"/>
          <w:color w:val="000000" w:themeColor="text1"/>
          <w:sz w:val="32"/>
          <w:szCs w:val="32"/>
          <w14:textFill>
            <w14:solidFill>
              <w14:schemeClr w14:val="tx1"/>
            </w14:solidFill>
          </w14:textFill>
        </w:rPr>
        <w:fldChar w:fldCharType="end"/>
      </w:r>
      <w:r>
        <w:rPr>
          <w:rFonts w:hint="default" w:ascii="Times New Roman" w:hAnsi="Times New Roman" w:eastAsia="楷体_GB2312" w:cs="Times New Roman"/>
          <w:b w:val="0"/>
          <w:bCs w:val="0"/>
          <w:color w:val="000000" w:themeColor="text1"/>
          <w:sz w:val="32"/>
          <w:szCs w:val="32"/>
          <w14:textFill>
            <w14:solidFill>
              <w14:schemeClr w14:val="tx1"/>
            </w14:solidFill>
          </w14:textFill>
        </w:rPr>
        <w:fldChar w:fldCharType="end"/>
      </w:r>
    </w:p>
    <w:p>
      <w:pPr>
        <w:pStyle w:val="14"/>
        <w:keepNext w:val="0"/>
        <w:keepLines w:val="0"/>
        <w:pageBreakBefore w:val="0"/>
        <w:widowControl w:val="0"/>
        <w:tabs>
          <w:tab w:val="right" w:leader="dot" w:pos="8845"/>
        </w:tabs>
        <w:kinsoku/>
        <w:wordWrap/>
        <w:overflowPunct/>
        <w:topLinePunct w:val="0"/>
        <w:autoSpaceDE/>
        <w:autoSpaceDN/>
        <w:bidi w:val="0"/>
        <w:adjustRightInd/>
        <w:snapToGrid/>
        <w:spacing w:line="560" w:lineRule="exact"/>
        <w:ind w:left="800" w:leftChars="0" w:hanging="800" w:hangingChars="250"/>
        <w:textAlignment w:val="auto"/>
        <w:rPr>
          <w:rFonts w:hint="default" w:ascii="Times New Roman" w:hAnsi="Times New Roman" w:eastAsia="楷体_GB2312" w:cs="Times New Roman"/>
          <w:b w:val="0"/>
          <w:bCs w:val="0"/>
          <w:color w:val="000000" w:themeColor="text1"/>
          <w:sz w:val="32"/>
          <w:szCs w:val="32"/>
          <w14:textFill>
            <w14:solidFill>
              <w14:schemeClr w14:val="tx1"/>
            </w14:solidFill>
          </w14:textFill>
        </w:rPr>
      </w:pPr>
      <w:r>
        <w:rPr>
          <w:rFonts w:hint="default" w:ascii="Times New Roman" w:hAnsi="Times New Roman" w:eastAsia="楷体_GB2312" w:cs="Times New Roman"/>
          <w:b w:val="0"/>
          <w:bCs w:val="0"/>
          <w:color w:val="000000" w:themeColor="text1"/>
          <w:sz w:val="32"/>
          <w:szCs w:val="32"/>
          <w14:textFill>
            <w14:solidFill>
              <w14:schemeClr w14:val="tx1"/>
            </w14:solidFill>
          </w14:textFill>
        </w:rPr>
        <w:fldChar w:fldCharType="begin"/>
      </w:r>
      <w:r>
        <w:rPr>
          <w:rFonts w:hint="default" w:ascii="Times New Roman" w:hAnsi="Times New Roman" w:eastAsia="楷体_GB2312" w:cs="Times New Roman"/>
          <w:b w:val="0"/>
          <w:bCs w:val="0"/>
          <w:color w:val="000000" w:themeColor="text1"/>
          <w:sz w:val="32"/>
          <w:szCs w:val="32"/>
          <w14:textFill>
            <w14:solidFill>
              <w14:schemeClr w14:val="tx1"/>
            </w14:solidFill>
          </w14:textFill>
        </w:rPr>
        <w:instrText xml:space="preserve"> HYPERLINK \l _Toc18995 </w:instrText>
      </w:r>
      <w:r>
        <w:rPr>
          <w:rFonts w:hint="default" w:ascii="Times New Roman" w:hAnsi="Times New Roman" w:eastAsia="楷体_GB2312" w:cs="Times New Roman"/>
          <w:b w:val="0"/>
          <w:bCs w:val="0"/>
          <w:color w:val="000000" w:themeColor="text1"/>
          <w:sz w:val="32"/>
          <w:szCs w:val="32"/>
          <w14:textFill>
            <w14:solidFill>
              <w14:schemeClr w14:val="tx1"/>
            </w14:solidFill>
          </w14:textFill>
        </w:rPr>
        <w:fldChar w:fldCharType="separate"/>
      </w:r>
      <w:r>
        <w:rPr>
          <w:rFonts w:hint="default" w:ascii="Times New Roman" w:hAnsi="Times New Roman" w:eastAsia="楷体_GB2312" w:cs="Times New Roman"/>
          <w:b w:val="0"/>
          <w:bCs w:val="0"/>
          <w:color w:val="000000" w:themeColor="text1"/>
          <w:sz w:val="32"/>
          <w:szCs w:val="32"/>
          <w14:textFill>
            <w14:solidFill>
              <w14:schemeClr w14:val="tx1"/>
            </w14:solidFill>
          </w14:textFill>
        </w:rPr>
        <w:t>二、聚焦政策扶持</w:t>
      </w:r>
      <w:r>
        <w:rPr>
          <w:rFonts w:hint="default" w:ascii="Times New Roman" w:hAnsi="Times New Roman" w:eastAsia="楷体_GB2312" w:cs="Times New Roman"/>
          <w:b w:val="0"/>
          <w:bCs w:val="0"/>
          <w:color w:val="000000" w:themeColor="text1"/>
          <w:sz w:val="32"/>
          <w:szCs w:val="32"/>
          <w14:textFill>
            <w14:solidFill>
              <w14:schemeClr w14:val="tx1"/>
            </w14:solidFill>
          </w14:textFill>
        </w:rPr>
        <w:tab/>
      </w:r>
      <w:r>
        <w:rPr>
          <w:rFonts w:hint="default" w:ascii="Times New Roman" w:hAnsi="Times New Roman" w:eastAsia="楷体_GB2312" w:cs="Times New Roman"/>
          <w:b w:val="0"/>
          <w:bCs w:val="0"/>
          <w:color w:val="000000" w:themeColor="text1"/>
          <w:sz w:val="32"/>
          <w:szCs w:val="32"/>
          <w14:textFill>
            <w14:solidFill>
              <w14:schemeClr w14:val="tx1"/>
            </w14:solidFill>
          </w14:textFill>
        </w:rPr>
        <w:fldChar w:fldCharType="begin"/>
      </w:r>
      <w:r>
        <w:rPr>
          <w:rFonts w:hint="default" w:ascii="Times New Roman" w:hAnsi="Times New Roman" w:eastAsia="楷体_GB2312" w:cs="Times New Roman"/>
          <w:b w:val="0"/>
          <w:bCs w:val="0"/>
          <w:color w:val="000000" w:themeColor="text1"/>
          <w:sz w:val="32"/>
          <w:szCs w:val="32"/>
          <w14:textFill>
            <w14:solidFill>
              <w14:schemeClr w14:val="tx1"/>
            </w14:solidFill>
          </w14:textFill>
        </w:rPr>
        <w:instrText xml:space="preserve"> PAGEREF _Toc18995 \h </w:instrText>
      </w:r>
      <w:r>
        <w:rPr>
          <w:rFonts w:hint="default" w:ascii="Times New Roman" w:hAnsi="Times New Roman" w:eastAsia="楷体_GB2312" w:cs="Times New Roman"/>
          <w:b w:val="0"/>
          <w:bCs w:val="0"/>
          <w:color w:val="000000" w:themeColor="text1"/>
          <w:sz w:val="32"/>
          <w:szCs w:val="32"/>
          <w14:textFill>
            <w14:solidFill>
              <w14:schemeClr w14:val="tx1"/>
            </w14:solidFill>
          </w14:textFill>
        </w:rPr>
        <w:fldChar w:fldCharType="separate"/>
      </w:r>
      <w:r>
        <w:rPr>
          <w:rFonts w:hint="default" w:ascii="Times New Roman" w:hAnsi="Times New Roman" w:eastAsia="楷体_GB2312" w:cs="Times New Roman"/>
          <w:b w:val="0"/>
          <w:bCs w:val="0"/>
          <w:color w:val="000000" w:themeColor="text1"/>
          <w:sz w:val="32"/>
          <w:szCs w:val="32"/>
          <w14:textFill>
            <w14:solidFill>
              <w14:schemeClr w14:val="tx1"/>
            </w14:solidFill>
          </w14:textFill>
        </w:rPr>
        <w:t>52</w:t>
      </w:r>
      <w:r>
        <w:rPr>
          <w:rFonts w:hint="default" w:ascii="Times New Roman" w:hAnsi="Times New Roman" w:eastAsia="楷体_GB2312" w:cs="Times New Roman"/>
          <w:b w:val="0"/>
          <w:bCs w:val="0"/>
          <w:color w:val="000000" w:themeColor="text1"/>
          <w:sz w:val="32"/>
          <w:szCs w:val="32"/>
          <w14:textFill>
            <w14:solidFill>
              <w14:schemeClr w14:val="tx1"/>
            </w14:solidFill>
          </w14:textFill>
        </w:rPr>
        <w:fldChar w:fldCharType="end"/>
      </w:r>
      <w:r>
        <w:rPr>
          <w:rFonts w:hint="default" w:ascii="Times New Roman" w:hAnsi="Times New Roman" w:eastAsia="楷体_GB2312" w:cs="Times New Roman"/>
          <w:b w:val="0"/>
          <w:bCs w:val="0"/>
          <w:color w:val="000000" w:themeColor="text1"/>
          <w:sz w:val="32"/>
          <w:szCs w:val="32"/>
          <w14:textFill>
            <w14:solidFill>
              <w14:schemeClr w14:val="tx1"/>
            </w14:solidFill>
          </w14:textFill>
        </w:rPr>
        <w:fldChar w:fldCharType="end"/>
      </w:r>
    </w:p>
    <w:p>
      <w:pPr>
        <w:pStyle w:val="14"/>
        <w:keepNext w:val="0"/>
        <w:keepLines w:val="0"/>
        <w:pageBreakBefore w:val="0"/>
        <w:widowControl w:val="0"/>
        <w:tabs>
          <w:tab w:val="right" w:leader="dot" w:pos="8845"/>
        </w:tabs>
        <w:kinsoku/>
        <w:wordWrap/>
        <w:overflowPunct/>
        <w:topLinePunct w:val="0"/>
        <w:autoSpaceDE/>
        <w:autoSpaceDN/>
        <w:bidi w:val="0"/>
        <w:adjustRightInd/>
        <w:snapToGrid/>
        <w:spacing w:line="560" w:lineRule="exact"/>
        <w:ind w:left="800" w:leftChars="0" w:hanging="800" w:hangingChars="250"/>
        <w:textAlignment w:val="auto"/>
        <w:rPr>
          <w:rFonts w:hint="default" w:ascii="Times New Roman" w:hAnsi="Times New Roman" w:eastAsia="楷体_GB2312" w:cs="Times New Roman"/>
          <w:b w:val="0"/>
          <w:bCs w:val="0"/>
          <w:color w:val="000000" w:themeColor="text1"/>
          <w:sz w:val="32"/>
          <w:szCs w:val="32"/>
          <w14:textFill>
            <w14:solidFill>
              <w14:schemeClr w14:val="tx1"/>
            </w14:solidFill>
          </w14:textFill>
        </w:rPr>
      </w:pPr>
      <w:r>
        <w:rPr>
          <w:rFonts w:hint="default" w:ascii="Times New Roman" w:hAnsi="Times New Roman" w:eastAsia="楷体_GB2312" w:cs="Times New Roman"/>
          <w:b w:val="0"/>
          <w:bCs w:val="0"/>
          <w:color w:val="000000" w:themeColor="text1"/>
          <w:sz w:val="32"/>
          <w:szCs w:val="32"/>
          <w14:textFill>
            <w14:solidFill>
              <w14:schemeClr w14:val="tx1"/>
            </w14:solidFill>
          </w14:textFill>
        </w:rPr>
        <w:fldChar w:fldCharType="begin"/>
      </w:r>
      <w:r>
        <w:rPr>
          <w:rFonts w:hint="default" w:ascii="Times New Roman" w:hAnsi="Times New Roman" w:eastAsia="楷体_GB2312" w:cs="Times New Roman"/>
          <w:b w:val="0"/>
          <w:bCs w:val="0"/>
          <w:color w:val="000000" w:themeColor="text1"/>
          <w:sz w:val="32"/>
          <w:szCs w:val="32"/>
          <w14:textFill>
            <w14:solidFill>
              <w14:schemeClr w14:val="tx1"/>
            </w14:solidFill>
          </w14:textFill>
        </w:rPr>
        <w:instrText xml:space="preserve"> HYPERLINK \l _Toc4240 </w:instrText>
      </w:r>
      <w:r>
        <w:rPr>
          <w:rFonts w:hint="default" w:ascii="Times New Roman" w:hAnsi="Times New Roman" w:eastAsia="楷体_GB2312" w:cs="Times New Roman"/>
          <w:b w:val="0"/>
          <w:bCs w:val="0"/>
          <w:color w:val="000000" w:themeColor="text1"/>
          <w:sz w:val="32"/>
          <w:szCs w:val="32"/>
          <w14:textFill>
            <w14:solidFill>
              <w14:schemeClr w14:val="tx1"/>
            </w14:solidFill>
          </w14:textFill>
        </w:rPr>
        <w:fldChar w:fldCharType="separate"/>
      </w:r>
      <w:r>
        <w:rPr>
          <w:rFonts w:hint="default" w:ascii="Times New Roman" w:hAnsi="Times New Roman" w:eastAsia="楷体_GB2312" w:cs="Times New Roman"/>
          <w:b w:val="0"/>
          <w:bCs w:val="0"/>
          <w:color w:val="000000" w:themeColor="text1"/>
          <w:sz w:val="32"/>
          <w:szCs w:val="32"/>
          <w14:textFill>
            <w14:solidFill>
              <w14:schemeClr w14:val="tx1"/>
            </w14:solidFill>
          </w14:textFill>
        </w:rPr>
        <w:t>三、强化要素保障</w:t>
      </w:r>
      <w:r>
        <w:rPr>
          <w:rFonts w:hint="default" w:ascii="Times New Roman" w:hAnsi="Times New Roman" w:eastAsia="楷体_GB2312" w:cs="Times New Roman"/>
          <w:b w:val="0"/>
          <w:bCs w:val="0"/>
          <w:color w:val="000000" w:themeColor="text1"/>
          <w:sz w:val="32"/>
          <w:szCs w:val="32"/>
          <w14:textFill>
            <w14:solidFill>
              <w14:schemeClr w14:val="tx1"/>
            </w14:solidFill>
          </w14:textFill>
        </w:rPr>
        <w:tab/>
      </w:r>
      <w:r>
        <w:rPr>
          <w:rFonts w:hint="default" w:ascii="Times New Roman" w:hAnsi="Times New Roman" w:eastAsia="楷体_GB2312" w:cs="Times New Roman"/>
          <w:b w:val="0"/>
          <w:bCs w:val="0"/>
          <w:color w:val="000000" w:themeColor="text1"/>
          <w:sz w:val="32"/>
          <w:szCs w:val="32"/>
          <w14:textFill>
            <w14:solidFill>
              <w14:schemeClr w14:val="tx1"/>
            </w14:solidFill>
          </w14:textFill>
        </w:rPr>
        <w:fldChar w:fldCharType="begin"/>
      </w:r>
      <w:r>
        <w:rPr>
          <w:rFonts w:hint="default" w:ascii="Times New Roman" w:hAnsi="Times New Roman" w:eastAsia="楷体_GB2312" w:cs="Times New Roman"/>
          <w:b w:val="0"/>
          <w:bCs w:val="0"/>
          <w:color w:val="000000" w:themeColor="text1"/>
          <w:sz w:val="32"/>
          <w:szCs w:val="32"/>
          <w14:textFill>
            <w14:solidFill>
              <w14:schemeClr w14:val="tx1"/>
            </w14:solidFill>
          </w14:textFill>
        </w:rPr>
        <w:instrText xml:space="preserve"> PAGEREF _Toc4240 \h </w:instrText>
      </w:r>
      <w:r>
        <w:rPr>
          <w:rFonts w:hint="default" w:ascii="Times New Roman" w:hAnsi="Times New Roman" w:eastAsia="楷体_GB2312" w:cs="Times New Roman"/>
          <w:b w:val="0"/>
          <w:bCs w:val="0"/>
          <w:color w:val="000000" w:themeColor="text1"/>
          <w:sz w:val="32"/>
          <w:szCs w:val="32"/>
          <w14:textFill>
            <w14:solidFill>
              <w14:schemeClr w14:val="tx1"/>
            </w14:solidFill>
          </w14:textFill>
        </w:rPr>
        <w:fldChar w:fldCharType="separate"/>
      </w:r>
      <w:r>
        <w:rPr>
          <w:rFonts w:hint="default" w:ascii="Times New Roman" w:hAnsi="Times New Roman" w:eastAsia="楷体_GB2312" w:cs="Times New Roman"/>
          <w:b w:val="0"/>
          <w:bCs w:val="0"/>
          <w:color w:val="000000" w:themeColor="text1"/>
          <w:sz w:val="32"/>
          <w:szCs w:val="32"/>
          <w14:textFill>
            <w14:solidFill>
              <w14:schemeClr w14:val="tx1"/>
            </w14:solidFill>
          </w14:textFill>
        </w:rPr>
        <w:t>53</w:t>
      </w:r>
      <w:r>
        <w:rPr>
          <w:rFonts w:hint="default" w:ascii="Times New Roman" w:hAnsi="Times New Roman" w:eastAsia="楷体_GB2312" w:cs="Times New Roman"/>
          <w:b w:val="0"/>
          <w:bCs w:val="0"/>
          <w:color w:val="000000" w:themeColor="text1"/>
          <w:sz w:val="32"/>
          <w:szCs w:val="32"/>
          <w14:textFill>
            <w14:solidFill>
              <w14:schemeClr w14:val="tx1"/>
            </w14:solidFill>
          </w14:textFill>
        </w:rPr>
        <w:fldChar w:fldCharType="end"/>
      </w:r>
      <w:r>
        <w:rPr>
          <w:rFonts w:hint="default" w:ascii="Times New Roman" w:hAnsi="Times New Roman" w:eastAsia="楷体_GB2312" w:cs="Times New Roman"/>
          <w:b w:val="0"/>
          <w:bCs w:val="0"/>
          <w:color w:val="000000" w:themeColor="text1"/>
          <w:sz w:val="32"/>
          <w:szCs w:val="32"/>
          <w14:textFill>
            <w14:solidFill>
              <w14:schemeClr w14:val="tx1"/>
            </w14:solidFill>
          </w14:textFill>
        </w:rPr>
        <w:fldChar w:fldCharType="end"/>
      </w:r>
    </w:p>
    <w:p>
      <w:pPr>
        <w:pStyle w:val="8"/>
        <w:keepNext w:val="0"/>
        <w:keepLines w:val="0"/>
        <w:pageBreakBefore w:val="0"/>
        <w:widowControl w:val="0"/>
        <w:tabs>
          <w:tab w:val="right" w:leader="dot" w:pos="8845"/>
        </w:tabs>
        <w:kinsoku/>
        <w:wordWrap/>
        <w:overflowPunct/>
        <w:topLinePunct w:val="0"/>
        <w:autoSpaceDE/>
        <w:autoSpaceDN/>
        <w:bidi w:val="0"/>
        <w:adjustRightInd/>
        <w:snapToGrid/>
        <w:spacing w:line="560" w:lineRule="exact"/>
        <w:ind w:left="800" w:leftChars="0" w:hanging="800" w:hangingChars="25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themeColor="text1"/>
          <w:sz w:val="32"/>
          <w:szCs w:val="32"/>
          <w14:textFill>
            <w14:solidFill>
              <w14:schemeClr w14:val="tx1"/>
            </w14:solidFill>
          </w14:textFill>
        </w:rPr>
        <w:fldChar w:fldCharType="begin"/>
      </w:r>
      <w:r>
        <w:rPr>
          <w:rFonts w:hint="default" w:ascii="Times New Roman" w:hAnsi="Times New Roman" w:eastAsia="仿宋_GB2312" w:cs="Times New Roman"/>
          <w:sz w:val="32"/>
          <w:szCs w:val="32"/>
        </w:rPr>
        <w:instrText xml:space="preserve"> HYPERLINK \l _Toc6250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1.保障土地供应</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_Toc6250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53</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color w:val="000000" w:themeColor="text1"/>
          <w:sz w:val="32"/>
          <w:szCs w:val="32"/>
          <w14:textFill>
            <w14:solidFill>
              <w14:schemeClr w14:val="tx1"/>
            </w14:solidFill>
          </w14:textFill>
        </w:rPr>
        <w:fldChar w:fldCharType="end"/>
      </w:r>
    </w:p>
    <w:p>
      <w:pPr>
        <w:pStyle w:val="8"/>
        <w:keepNext w:val="0"/>
        <w:keepLines w:val="0"/>
        <w:pageBreakBefore w:val="0"/>
        <w:widowControl w:val="0"/>
        <w:tabs>
          <w:tab w:val="right" w:leader="dot" w:pos="8845"/>
        </w:tabs>
        <w:kinsoku/>
        <w:wordWrap/>
        <w:overflowPunct/>
        <w:topLinePunct w:val="0"/>
        <w:autoSpaceDE/>
        <w:autoSpaceDN/>
        <w:bidi w:val="0"/>
        <w:adjustRightInd/>
        <w:snapToGrid/>
        <w:spacing w:line="560" w:lineRule="exact"/>
        <w:ind w:left="800" w:leftChars="0" w:hanging="800" w:hangingChars="25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themeColor="text1"/>
          <w:sz w:val="32"/>
          <w:szCs w:val="32"/>
          <w14:textFill>
            <w14:solidFill>
              <w14:schemeClr w14:val="tx1"/>
            </w14:solidFill>
          </w14:textFill>
        </w:rPr>
        <w:fldChar w:fldCharType="begin"/>
      </w:r>
      <w:r>
        <w:rPr>
          <w:rFonts w:hint="default" w:ascii="Times New Roman" w:hAnsi="Times New Roman" w:eastAsia="仿宋_GB2312" w:cs="Times New Roman"/>
          <w:sz w:val="32"/>
          <w:szCs w:val="32"/>
        </w:rPr>
        <w:instrText xml:space="preserve"> HYPERLINK \l _Toc14329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2.落实金融财税政策</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_Toc14329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54</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color w:val="000000" w:themeColor="text1"/>
          <w:sz w:val="32"/>
          <w:szCs w:val="32"/>
          <w14:textFill>
            <w14:solidFill>
              <w14:schemeClr w14:val="tx1"/>
            </w14:solidFill>
          </w14:textFill>
        </w:rPr>
        <w:fldChar w:fldCharType="end"/>
      </w:r>
    </w:p>
    <w:p>
      <w:pPr>
        <w:pStyle w:val="8"/>
        <w:keepNext w:val="0"/>
        <w:keepLines w:val="0"/>
        <w:pageBreakBefore w:val="0"/>
        <w:widowControl w:val="0"/>
        <w:tabs>
          <w:tab w:val="right" w:leader="dot" w:pos="8845"/>
        </w:tabs>
        <w:kinsoku/>
        <w:wordWrap/>
        <w:overflowPunct/>
        <w:topLinePunct w:val="0"/>
        <w:autoSpaceDE/>
        <w:autoSpaceDN/>
        <w:bidi w:val="0"/>
        <w:adjustRightInd/>
        <w:snapToGrid/>
        <w:spacing w:line="560" w:lineRule="exact"/>
        <w:ind w:left="800" w:leftChars="0" w:hanging="800" w:hangingChars="25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themeColor="text1"/>
          <w:sz w:val="32"/>
          <w:szCs w:val="32"/>
          <w14:textFill>
            <w14:solidFill>
              <w14:schemeClr w14:val="tx1"/>
            </w14:solidFill>
          </w14:textFill>
        </w:rPr>
        <w:fldChar w:fldCharType="begin"/>
      </w:r>
      <w:r>
        <w:rPr>
          <w:rFonts w:hint="default" w:ascii="Times New Roman" w:hAnsi="Times New Roman" w:eastAsia="仿宋_GB2312" w:cs="Times New Roman"/>
          <w:sz w:val="32"/>
          <w:szCs w:val="32"/>
        </w:rPr>
        <w:instrText xml:space="preserve"> HYPERLINK \l _Toc7206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3.强化人才保障</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_Toc7206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54</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color w:val="000000" w:themeColor="text1"/>
          <w:sz w:val="32"/>
          <w:szCs w:val="32"/>
          <w14:textFill>
            <w14:solidFill>
              <w14:schemeClr w14:val="tx1"/>
            </w14:solidFill>
          </w14:textFill>
        </w:rPr>
        <w:fldChar w:fldCharType="end"/>
      </w:r>
    </w:p>
    <w:p>
      <w:pPr>
        <w:pStyle w:val="8"/>
        <w:keepNext w:val="0"/>
        <w:keepLines w:val="0"/>
        <w:pageBreakBefore w:val="0"/>
        <w:widowControl w:val="0"/>
        <w:tabs>
          <w:tab w:val="right" w:leader="dot" w:pos="8845"/>
        </w:tabs>
        <w:kinsoku/>
        <w:wordWrap/>
        <w:overflowPunct/>
        <w:topLinePunct w:val="0"/>
        <w:autoSpaceDE/>
        <w:autoSpaceDN/>
        <w:bidi w:val="0"/>
        <w:adjustRightInd/>
        <w:snapToGrid/>
        <w:spacing w:line="560" w:lineRule="exact"/>
        <w:ind w:left="800" w:leftChars="0" w:hanging="800" w:hangingChars="25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themeColor="text1"/>
          <w:sz w:val="32"/>
          <w:szCs w:val="32"/>
          <w14:textFill>
            <w14:solidFill>
              <w14:schemeClr w14:val="tx1"/>
            </w14:solidFill>
          </w14:textFill>
        </w:rPr>
        <w:fldChar w:fldCharType="begin"/>
      </w:r>
      <w:r>
        <w:rPr>
          <w:rFonts w:hint="default" w:ascii="Times New Roman" w:hAnsi="Times New Roman" w:eastAsia="仿宋_GB2312" w:cs="Times New Roman"/>
          <w:sz w:val="32"/>
          <w:szCs w:val="32"/>
        </w:rPr>
        <w:instrText xml:space="preserve"> HYPERLINK \l _Toc11902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highlight w:val="none"/>
        </w:rPr>
        <w:t>4.</w:t>
      </w:r>
      <w:r>
        <w:rPr>
          <w:rFonts w:hint="default" w:ascii="Times New Roman" w:hAnsi="Times New Roman" w:eastAsia="仿宋_GB2312" w:cs="Times New Roman"/>
          <w:sz w:val="32"/>
          <w:szCs w:val="32"/>
        </w:rPr>
        <w:t>优化</w:t>
      </w:r>
      <w:r>
        <w:rPr>
          <w:rFonts w:hint="default" w:ascii="Times New Roman" w:hAnsi="Times New Roman" w:eastAsia="仿宋_GB2312" w:cs="Times New Roman"/>
          <w:sz w:val="32"/>
          <w:szCs w:val="32"/>
          <w:highlight w:val="none"/>
        </w:rPr>
        <w:t>数据资源</w:t>
      </w:r>
      <w:r>
        <w:rPr>
          <w:rFonts w:hint="default" w:ascii="Times New Roman" w:hAnsi="Times New Roman" w:eastAsia="仿宋_GB2312" w:cs="Times New Roman"/>
          <w:sz w:val="32"/>
          <w:szCs w:val="32"/>
        </w:rPr>
        <w:t>应用</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_Toc11902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55</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color w:val="000000" w:themeColor="text1"/>
          <w:sz w:val="32"/>
          <w:szCs w:val="32"/>
          <w14:textFill>
            <w14:solidFill>
              <w14:schemeClr w14:val="tx1"/>
            </w14:solidFill>
          </w14:textFill>
        </w:rPr>
        <w:fldChar w:fldCharType="end"/>
      </w:r>
    </w:p>
    <w:p>
      <w:pPr>
        <w:pStyle w:val="14"/>
        <w:keepNext w:val="0"/>
        <w:keepLines w:val="0"/>
        <w:pageBreakBefore w:val="0"/>
        <w:widowControl w:val="0"/>
        <w:tabs>
          <w:tab w:val="right" w:leader="dot" w:pos="8845"/>
        </w:tabs>
        <w:kinsoku/>
        <w:wordWrap/>
        <w:overflowPunct/>
        <w:topLinePunct w:val="0"/>
        <w:autoSpaceDE/>
        <w:autoSpaceDN/>
        <w:bidi w:val="0"/>
        <w:adjustRightInd/>
        <w:snapToGrid/>
        <w:spacing w:line="560" w:lineRule="exact"/>
        <w:ind w:left="800" w:leftChars="0" w:hanging="800" w:hangingChars="250"/>
        <w:textAlignment w:val="auto"/>
        <w:rPr>
          <w:rFonts w:hint="default" w:ascii="Times New Roman" w:hAnsi="Times New Roman" w:eastAsia="楷体_GB2312" w:cs="Times New Roman"/>
          <w:b w:val="0"/>
          <w:bCs w:val="0"/>
          <w:color w:val="000000" w:themeColor="text1"/>
          <w:sz w:val="32"/>
          <w:szCs w:val="32"/>
          <w14:textFill>
            <w14:solidFill>
              <w14:schemeClr w14:val="tx1"/>
            </w14:solidFill>
          </w14:textFill>
        </w:rPr>
      </w:pPr>
      <w:r>
        <w:rPr>
          <w:rFonts w:hint="default" w:ascii="Times New Roman" w:hAnsi="Times New Roman" w:eastAsia="楷体_GB2312" w:cs="Times New Roman"/>
          <w:b w:val="0"/>
          <w:bCs w:val="0"/>
          <w:color w:val="000000" w:themeColor="text1"/>
          <w:sz w:val="32"/>
          <w:szCs w:val="32"/>
          <w14:textFill>
            <w14:solidFill>
              <w14:schemeClr w14:val="tx1"/>
            </w14:solidFill>
          </w14:textFill>
        </w:rPr>
        <w:fldChar w:fldCharType="begin"/>
      </w:r>
      <w:r>
        <w:rPr>
          <w:rFonts w:hint="default" w:ascii="Times New Roman" w:hAnsi="Times New Roman" w:eastAsia="楷体_GB2312" w:cs="Times New Roman"/>
          <w:b w:val="0"/>
          <w:bCs w:val="0"/>
          <w:color w:val="000000" w:themeColor="text1"/>
          <w:sz w:val="32"/>
          <w:szCs w:val="32"/>
          <w14:textFill>
            <w14:solidFill>
              <w14:schemeClr w14:val="tx1"/>
            </w14:solidFill>
          </w14:textFill>
        </w:rPr>
        <w:instrText xml:space="preserve"> HYPERLINK \l _Toc25738 </w:instrText>
      </w:r>
      <w:r>
        <w:rPr>
          <w:rFonts w:hint="default" w:ascii="Times New Roman" w:hAnsi="Times New Roman" w:eastAsia="楷体_GB2312" w:cs="Times New Roman"/>
          <w:b w:val="0"/>
          <w:bCs w:val="0"/>
          <w:color w:val="000000" w:themeColor="text1"/>
          <w:sz w:val="32"/>
          <w:szCs w:val="32"/>
          <w14:textFill>
            <w14:solidFill>
              <w14:schemeClr w14:val="tx1"/>
            </w14:solidFill>
          </w14:textFill>
        </w:rPr>
        <w:fldChar w:fldCharType="separate"/>
      </w:r>
      <w:r>
        <w:rPr>
          <w:rFonts w:hint="default" w:ascii="Times New Roman" w:hAnsi="Times New Roman" w:eastAsia="楷体_GB2312" w:cs="Times New Roman"/>
          <w:b w:val="0"/>
          <w:bCs w:val="0"/>
          <w:color w:val="000000" w:themeColor="text1"/>
          <w:sz w:val="32"/>
          <w:szCs w:val="32"/>
          <w14:textFill>
            <w14:solidFill>
              <w14:schemeClr w14:val="tx1"/>
            </w14:solidFill>
          </w14:textFill>
        </w:rPr>
        <w:t>四、优化发展环境</w:t>
      </w:r>
      <w:r>
        <w:rPr>
          <w:rFonts w:hint="default" w:ascii="Times New Roman" w:hAnsi="Times New Roman" w:eastAsia="楷体_GB2312" w:cs="Times New Roman"/>
          <w:b w:val="0"/>
          <w:bCs w:val="0"/>
          <w:color w:val="000000" w:themeColor="text1"/>
          <w:sz w:val="32"/>
          <w:szCs w:val="32"/>
          <w14:textFill>
            <w14:solidFill>
              <w14:schemeClr w14:val="tx1"/>
            </w14:solidFill>
          </w14:textFill>
        </w:rPr>
        <w:tab/>
      </w:r>
      <w:r>
        <w:rPr>
          <w:rFonts w:hint="default" w:ascii="Times New Roman" w:hAnsi="Times New Roman" w:eastAsia="楷体_GB2312" w:cs="Times New Roman"/>
          <w:b w:val="0"/>
          <w:bCs w:val="0"/>
          <w:color w:val="000000" w:themeColor="text1"/>
          <w:sz w:val="32"/>
          <w:szCs w:val="32"/>
          <w14:textFill>
            <w14:solidFill>
              <w14:schemeClr w14:val="tx1"/>
            </w14:solidFill>
          </w14:textFill>
        </w:rPr>
        <w:fldChar w:fldCharType="begin"/>
      </w:r>
      <w:r>
        <w:rPr>
          <w:rFonts w:hint="default" w:ascii="Times New Roman" w:hAnsi="Times New Roman" w:eastAsia="楷体_GB2312" w:cs="Times New Roman"/>
          <w:b w:val="0"/>
          <w:bCs w:val="0"/>
          <w:color w:val="000000" w:themeColor="text1"/>
          <w:sz w:val="32"/>
          <w:szCs w:val="32"/>
          <w14:textFill>
            <w14:solidFill>
              <w14:schemeClr w14:val="tx1"/>
            </w14:solidFill>
          </w14:textFill>
        </w:rPr>
        <w:instrText xml:space="preserve"> PAGEREF _Toc25738 \h </w:instrText>
      </w:r>
      <w:r>
        <w:rPr>
          <w:rFonts w:hint="default" w:ascii="Times New Roman" w:hAnsi="Times New Roman" w:eastAsia="楷体_GB2312" w:cs="Times New Roman"/>
          <w:b w:val="0"/>
          <w:bCs w:val="0"/>
          <w:color w:val="000000" w:themeColor="text1"/>
          <w:sz w:val="32"/>
          <w:szCs w:val="32"/>
          <w14:textFill>
            <w14:solidFill>
              <w14:schemeClr w14:val="tx1"/>
            </w14:solidFill>
          </w14:textFill>
        </w:rPr>
        <w:fldChar w:fldCharType="separate"/>
      </w:r>
      <w:r>
        <w:rPr>
          <w:rFonts w:hint="default" w:ascii="Times New Roman" w:hAnsi="Times New Roman" w:eastAsia="楷体_GB2312" w:cs="Times New Roman"/>
          <w:b w:val="0"/>
          <w:bCs w:val="0"/>
          <w:color w:val="000000" w:themeColor="text1"/>
          <w:sz w:val="32"/>
          <w:szCs w:val="32"/>
          <w14:textFill>
            <w14:solidFill>
              <w14:schemeClr w14:val="tx1"/>
            </w14:solidFill>
          </w14:textFill>
        </w:rPr>
        <w:t>55</w:t>
      </w:r>
      <w:r>
        <w:rPr>
          <w:rFonts w:hint="default" w:ascii="Times New Roman" w:hAnsi="Times New Roman" w:eastAsia="楷体_GB2312" w:cs="Times New Roman"/>
          <w:b w:val="0"/>
          <w:bCs w:val="0"/>
          <w:color w:val="000000" w:themeColor="text1"/>
          <w:sz w:val="32"/>
          <w:szCs w:val="32"/>
          <w14:textFill>
            <w14:solidFill>
              <w14:schemeClr w14:val="tx1"/>
            </w14:solidFill>
          </w14:textFill>
        </w:rPr>
        <w:fldChar w:fldCharType="end"/>
      </w:r>
      <w:r>
        <w:rPr>
          <w:rFonts w:hint="default" w:ascii="Times New Roman" w:hAnsi="Times New Roman" w:eastAsia="楷体_GB2312" w:cs="Times New Roman"/>
          <w:b w:val="0"/>
          <w:bCs w:val="0"/>
          <w:color w:val="000000" w:themeColor="text1"/>
          <w:sz w:val="32"/>
          <w:szCs w:val="32"/>
          <w14:textFill>
            <w14:solidFill>
              <w14:schemeClr w14:val="tx1"/>
            </w14:solidFill>
          </w14:textFill>
        </w:rPr>
        <w:fldChar w:fldCharType="end"/>
      </w:r>
    </w:p>
    <w:p>
      <w:pPr>
        <w:pStyle w:val="8"/>
        <w:keepNext w:val="0"/>
        <w:keepLines w:val="0"/>
        <w:pageBreakBefore w:val="0"/>
        <w:widowControl w:val="0"/>
        <w:tabs>
          <w:tab w:val="right" w:leader="dot" w:pos="8845"/>
        </w:tabs>
        <w:kinsoku/>
        <w:wordWrap/>
        <w:overflowPunct/>
        <w:topLinePunct w:val="0"/>
        <w:autoSpaceDE/>
        <w:autoSpaceDN/>
        <w:bidi w:val="0"/>
        <w:adjustRightInd/>
        <w:snapToGrid/>
        <w:spacing w:line="560" w:lineRule="exact"/>
        <w:ind w:left="800" w:leftChars="0" w:hanging="800" w:hangingChars="25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themeColor="text1"/>
          <w:sz w:val="32"/>
          <w:szCs w:val="32"/>
          <w14:textFill>
            <w14:solidFill>
              <w14:schemeClr w14:val="tx1"/>
            </w14:solidFill>
          </w14:textFill>
        </w:rPr>
        <w:fldChar w:fldCharType="begin"/>
      </w:r>
      <w:r>
        <w:rPr>
          <w:rFonts w:hint="default" w:ascii="Times New Roman" w:hAnsi="Times New Roman" w:eastAsia="仿宋_GB2312" w:cs="Times New Roman"/>
          <w:sz w:val="32"/>
          <w:szCs w:val="32"/>
        </w:rPr>
        <w:instrText xml:space="preserve"> HYPERLINK \l _Toc15897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1.推进社会信用体系建设</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_Toc15897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55</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color w:val="000000" w:themeColor="text1"/>
          <w:sz w:val="32"/>
          <w:szCs w:val="32"/>
          <w14:textFill>
            <w14:solidFill>
              <w14:schemeClr w14:val="tx1"/>
            </w14:solidFill>
          </w14:textFill>
        </w:rPr>
        <w:fldChar w:fldCharType="end"/>
      </w:r>
    </w:p>
    <w:p>
      <w:pPr>
        <w:pStyle w:val="8"/>
        <w:keepNext w:val="0"/>
        <w:keepLines w:val="0"/>
        <w:pageBreakBefore w:val="0"/>
        <w:widowControl w:val="0"/>
        <w:tabs>
          <w:tab w:val="right" w:leader="dot" w:pos="8845"/>
        </w:tabs>
        <w:kinsoku/>
        <w:wordWrap/>
        <w:overflowPunct/>
        <w:topLinePunct w:val="0"/>
        <w:autoSpaceDE/>
        <w:autoSpaceDN/>
        <w:bidi w:val="0"/>
        <w:adjustRightInd/>
        <w:snapToGrid/>
        <w:spacing w:line="560" w:lineRule="exact"/>
        <w:ind w:left="800" w:leftChars="0" w:hanging="800" w:hangingChars="25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themeColor="text1"/>
          <w:sz w:val="32"/>
          <w:szCs w:val="32"/>
          <w14:textFill>
            <w14:solidFill>
              <w14:schemeClr w14:val="tx1"/>
            </w14:solidFill>
          </w14:textFill>
        </w:rPr>
        <w:fldChar w:fldCharType="begin"/>
      </w:r>
      <w:r>
        <w:rPr>
          <w:rFonts w:hint="default" w:ascii="Times New Roman" w:hAnsi="Times New Roman" w:eastAsia="仿宋_GB2312" w:cs="Times New Roman"/>
          <w:sz w:val="32"/>
          <w:szCs w:val="32"/>
        </w:rPr>
        <w:instrText xml:space="preserve"> HYPERLINK \l _Toc13697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2.深化服务业领域改革创新</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_Toc13697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56</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color w:val="000000" w:themeColor="text1"/>
          <w:sz w:val="32"/>
          <w:szCs w:val="32"/>
          <w14:textFill>
            <w14:solidFill>
              <w14:schemeClr w14:val="tx1"/>
            </w14:solidFill>
          </w14:textFill>
        </w:rPr>
        <w:fldChar w:fldCharType="end"/>
      </w:r>
    </w:p>
    <w:p>
      <w:pPr>
        <w:pStyle w:val="8"/>
        <w:keepNext w:val="0"/>
        <w:keepLines w:val="0"/>
        <w:pageBreakBefore w:val="0"/>
        <w:widowControl w:val="0"/>
        <w:tabs>
          <w:tab w:val="right" w:leader="dot" w:pos="8845"/>
        </w:tabs>
        <w:kinsoku/>
        <w:wordWrap/>
        <w:overflowPunct/>
        <w:topLinePunct w:val="0"/>
        <w:autoSpaceDE/>
        <w:autoSpaceDN/>
        <w:bidi w:val="0"/>
        <w:adjustRightInd/>
        <w:snapToGrid/>
        <w:spacing w:line="560" w:lineRule="exact"/>
        <w:ind w:left="800" w:leftChars="0" w:hanging="800" w:hangingChars="25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themeColor="text1"/>
          <w:sz w:val="32"/>
          <w:szCs w:val="32"/>
          <w14:textFill>
            <w14:solidFill>
              <w14:schemeClr w14:val="tx1"/>
            </w14:solidFill>
          </w14:textFill>
        </w:rPr>
        <w:fldChar w:fldCharType="begin"/>
      </w:r>
      <w:r>
        <w:rPr>
          <w:rFonts w:hint="default" w:ascii="Times New Roman" w:hAnsi="Times New Roman" w:eastAsia="仿宋_GB2312" w:cs="Times New Roman"/>
          <w:sz w:val="32"/>
          <w:szCs w:val="32"/>
        </w:rPr>
        <w:instrText xml:space="preserve"> HYPERLINK \l _Toc7551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3.改善事中事后监管体制</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_Toc7551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57</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color w:val="000000" w:themeColor="text1"/>
          <w:sz w:val="32"/>
          <w:szCs w:val="32"/>
          <w14:textFill>
            <w14:solidFill>
              <w14:schemeClr w14:val="tx1"/>
            </w14:solidFill>
          </w14:textFill>
        </w:rPr>
        <w:fldChar w:fldCharType="end"/>
      </w:r>
    </w:p>
    <w:p>
      <w:pPr>
        <w:pStyle w:val="8"/>
        <w:keepNext w:val="0"/>
        <w:keepLines w:val="0"/>
        <w:pageBreakBefore w:val="0"/>
        <w:widowControl w:val="0"/>
        <w:tabs>
          <w:tab w:val="right" w:leader="dot" w:pos="8845"/>
        </w:tabs>
        <w:kinsoku/>
        <w:wordWrap/>
        <w:overflowPunct/>
        <w:topLinePunct w:val="0"/>
        <w:autoSpaceDE/>
        <w:autoSpaceDN/>
        <w:bidi w:val="0"/>
        <w:adjustRightInd/>
        <w:snapToGrid/>
        <w:spacing w:line="560" w:lineRule="exact"/>
        <w:ind w:left="800" w:leftChars="0" w:hanging="800" w:hangingChars="25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themeColor="text1"/>
          <w:sz w:val="32"/>
          <w:szCs w:val="32"/>
          <w14:textFill>
            <w14:solidFill>
              <w14:schemeClr w14:val="tx1"/>
            </w14:solidFill>
          </w14:textFill>
        </w:rPr>
        <w:fldChar w:fldCharType="begin"/>
      </w:r>
      <w:r>
        <w:rPr>
          <w:rFonts w:hint="default" w:ascii="Times New Roman" w:hAnsi="Times New Roman" w:eastAsia="仿宋_GB2312" w:cs="Times New Roman"/>
          <w:sz w:val="32"/>
          <w:szCs w:val="32"/>
        </w:rPr>
        <w:instrText xml:space="preserve"> HYPERLINK \l _Toc11158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4.加强市场监督管理和惩罚力度</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_Toc11158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57</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color w:val="000000" w:themeColor="text1"/>
          <w:sz w:val="32"/>
          <w:szCs w:val="32"/>
          <w14:textFill>
            <w14:solidFill>
              <w14:schemeClr w14:val="tx1"/>
            </w14:solidFill>
          </w14:textFill>
        </w:rPr>
        <w:fldChar w:fldCharType="end"/>
      </w:r>
    </w:p>
    <w:p>
      <w:pPr>
        <w:pStyle w:val="14"/>
        <w:keepNext w:val="0"/>
        <w:keepLines w:val="0"/>
        <w:pageBreakBefore w:val="0"/>
        <w:widowControl w:val="0"/>
        <w:tabs>
          <w:tab w:val="right" w:leader="dot" w:pos="8845"/>
        </w:tabs>
        <w:kinsoku/>
        <w:wordWrap/>
        <w:overflowPunct/>
        <w:topLinePunct w:val="0"/>
        <w:autoSpaceDE/>
        <w:autoSpaceDN/>
        <w:bidi w:val="0"/>
        <w:adjustRightInd/>
        <w:snapToGrid/>
        <w:spacing w:line="560" w:lineRule="exact"/>
        <w:ind w:left="800" w:leftChars="0" w:hanging="800" w:hangingChars="250"/>
        <w:textAlignment w:val="auto"/>
        <w:rPr>
          <w:rFonts w:hint="default" w:ascii="Times New Roman" w:hAnsi="Times New Roman" w:eastAsia="楷体_GB2312" w:cs="Times New Roman"/>
          <w:b w:val="0"/>
          <w:bCs w:val="0"/>
          <w:color w:val="000000" w:themeColor="text1"/>
          <w:sz w:val="32"/>
          <w:szCs w:val="32"/>
          <w14:textFill>
            <w14:solidFill>
              <w14:schemeClr w14:val="tx1"/>
            </w14:solidFill>
          </w14:textFill>
        </w:rPr>
      </w:pPr>
      <w:r>
        <w:rPr>
          <w:rFonts w:hint="default" w:ascii="Times New Roman" w:hAnsi="Times New Roman" w:eastAsia="楷体_GB2312" w:cs="Times New Roman"/>
          <w:b w:val="0"/>
          <w:bCs w:val="0"/>
          <w:color w:val="000000" w:themeColor="text1"/>
          <w:sz w:val="32"/>
          <w:szCs w:val="32"/>
          <w14:textFill>
            <w14:solidFill>
              <w14:schemeClr w14:val="tx1"/>
            </w14:solidFill>
          </w14:textFill>
        </w:rPr>
        <w:fldChar w:fldCharType="begin"/>
      </w:r>
      <w:r>
        <w:rPr>
          <w:rFonts w:hint="default" w:ascii="Times New Roman" w:hAnsi="Times New Roman" w:eastAsia="楷体_GB2312" w:cs="Times New Roman"/>
          <w:b w:val="0"/>
          <w:bCs w:val="0"/>
          <w:color w:val="000000" w:themeColor="text1"/>
          <w:sz w:val="32"/>
          <w:szCs w:val="32"/>
          <w14:textFill>
            <w14:solidFill>
              <w14:schemeClr w14:val="tx1"/>
            </w14:solidFill>
          </w14:textFill>
        </w:rPr>
        <w:instrText xml:space="preserve"> HYPERLINK \l _Toc23817 </w:instrText>
      </w:r>
      <w:r>
        <w:rPr>
          <w:rFonts w:hint="default" w:ascii="Times New Roman" w:hAnsi="Times New Roman" w:eastAsia="楷体_GB2312" w:cs="Times New Roman"/>
          <w:b w:val="0"/>
          <w:bCs w:val="0"/>
          <w:color w:val="000000" w:themeColor="text1"/>
          <w:sz w:val="32"/>
          <w:szCs w:val="32"/>
          <w14:textFill>
            <w14:solidFill>
              <w14:schemeClr w14:val="tx1"/>
            </w14:solidFill>
          </w14:textFill>
        </w:rPr>
        <w:fldChar w:fldCharType="separate"/>
      </w:r>
      <w:r>
        <w:rPr>
          <w:rFonts w:hint="default" w:ascii="Times New Roman" w:hAnsi="Times New Roman" w:eastAsia="楷体_GB2312" w:cs="Times New Roman"/>
          <w:b w:val="0"/>
          <w:bCs w:val="0"/>
          <w:color w:val="000000" w:themeColor="text1"/>
          <w:sz w:val="32"/>
          <w:szCs w:val="32"/>
          <w14:textFill>
            <w14:solidFill>
              <w14:schemeClr w14:val="tx1"/>
            </w14:solidFill>
          </w14:textFill>
        </w:rPr>
        <w:t>五、强化项目支撑</w:t>
      </w:r>
      <w:r>
        <w:rPr>
          <w:rFonts w:hint="default" w:ascii="Times New Roman" w:hAnsi="Times New Roman" w:eastAsia="楷体_GB2312" w:cs="Times New Roman"/>
          <w:b w:val="0"/>
          <w:bCs w:val="0"/>
          <w:color w:val="000000" w:themeColor="text1"/>
          <w:sz w:val="32"/>
          <w:szCs w:val="32"/>
          <w14:textFill>
            <w14:solidFill>
              <w14:schemeClr w14:val="tx1"/>
            </w14:solidFill>
          </w14:textFill>
        </w:rPr>
        <w:tab/>
      </w:r>
      <w:r>
        <w:rPr>
          <w:rFonts w:hint="default" w:ascii="Times New Roman" w:hAnsi="Times New Roman" w:eastAsia="楷体_GB2312" w:cs="Times New Roman"/>
          <w:b w:val="0"/>
          <w:bCs w:val="0"/>
          <w:color w:val="000000" w:themeColor="text1"/>
          <w:sz w:val="32"/>
          <w:szCs w:val="32"/>
          <w14:textFill>
            <w14:solidFill>
              <w14:schemeClr w14:val="tx1"/>
            </w14:solidFill>
          </w14:textFill>
        </w:rPr>
        <w:fldChar w:fldCharType="begin"/>
      </w:r>
      <w:r>
        <w:rPr>
          <w:rFonts w:hint="default" w:ascii="Times New Roman" w:hAnsi="Times New Roman" w:eastAsia="楷体_GB2312" w:cs="Times New Roman"/>
          <w:b w:val="0"/>
          <w:bCs w:val="0"/>
          <w:color w:val="000000" w:themeColor="text1"/>
          <w:sz w:val="32"/>
          <w:szCs w:val="32"/>
          <w14:textFill>
            <w14:solidFill>
              <w14:schemeClr w14:val="tx1"/>
            </w14:solidFill>
          </w14:textFill>
        </w:rPr>
        <w:instrText xml:space="preserve"> PAGEREF _Toc23817 \h </w:instrText>
      </w:r>
      <w:r>
        <w:rPr>
          <w:rFonts w:hint="default" w:ascii="Times New Roman" w:hAnsi="Times New Roman" w:eastAsia="楷体_GB2312" w:cs="Times New Roman"/>
          <w:b w:val="0"/>
          <w:bCs w:val="0"/>
          <w:color w:val="000000" w:themeColor="text1"/>
          <w:sz w:val="32"/>
          <w:szCs w:val="32"/>
          <w14:textFill>
            <w14:solidFill>
              <w14:schemeClr w14:val="tx1"/>
            </w14:solidFill>
          </w14:textFill>
        </w:rPr>
        <w:fldChar w:fldCharType="separate"/>
      </w:r>
      <w:r>
        <w:rPr>
          <w:rFonts w:hint="default" w:ascii="Times New Roman" w:hAnsi="Times New Roman" w:eastAsia="楷体_GB2312" w:cs="Times New Roman"/>
          <w:b w:val="0"/>
          <w:bCs w:val="0"/>
          <w:color w:val="000000" w:themeColor="text1"/>
          <w:sz w:val="32"/>
          <w:szCs w:val="32"/>
          <w14:textFill>
            <w14:solidFill>
              <w14:schemeClr w14:val="tx1"/>
            </w14:solidFill>
          </w14:textFill>
        </w:rPr>
        <w:t>57</w:t>
      </w:r>
      <w:r>
        <w:rPr>
          <w:rFonts w:hint="default" w:ascii="Times New Roman" w:hAnsi="Times New Roman" w:eastAsia="楷体_GB2312" w:cs="Times New Roman"/>
          <w:b w:val="0"/>
          <w:bCs w:val="0"/>
          <w:color w:val="000000" w:themeColor="text1"/>
          <w:sz w:val="32"/>
          <w:szCs w:val="32"/>
          <w14:textFill>
            <w14:solidFill>
              <w14:schemeClr w14:val="tx1"/>
            </w14:solidFill>
          </w14:textFill>
        </w:rPr>
        <w:fldChar w:fldCharType="end"/>
      </w:r>
      <w:r>
        <w:rPr>
          <w:rFonts w:hint="default" w:ascii="Times New Roman" w:hAnsi="Times New Roman" w:eastAsia="楷体_GB2312" w:cs="Times New Roman"/>
          <w:b w:val="0"/>
          <w:bCs w:val="0"/>
          <w:color w:val="000000" w:themeColor="text1"/>
          <w:sz w:val="32"/>
          <w:szCs w:val="32"/>
          <w14:textFill>
            <w14:solidFill>
              <w14:schemeClr w14:val="tx1"/>
            </w14:solidFill>
          </w14:textFill>
        </w:rPr>
        <w:fldChar w:fldCharType="end"/>
      </w:r>
    </w:p>
    <w:p>
      <w:pPr>
        <w:pStyle w:val="8"/>
        <w:keepNext w:val="0"/>
        <w:keepLines w:val="0"/>
        <w:pageBreakBefore w:val="0"/>
        <w:widowControl w:val="0"/>
        <w:tabs>
          <w:tab w:val="right" w:leader="dot" w:pos="8845"/>
        </w:tabs>
        <w:kinsoku/>
        <w:wordWrap/>
        <w:overflowPunct/>
        <w:topLinePunct w:val="0"/>
        <w:autoSpaceDE/>
        <w:autoSpaceDN/>
        <w:bidi w:val="0"/>
        <w:adjustRightInd/>
        <w:snapToGrid/>
        <w:spacing w:line="560" w:lineRule="exact"/>
        <w:ind w:left="800" w:leftChars="0" w:hanging="800" w:hangingChars="25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themeColor="text1"/>
          <w:sz w:val="32"/>
          <w:szCs w:val="32"/>
          <w14:textFill>
            <w14:solidFill>
              <w14:schemeClr w14:val="tx1"/>
            </w14:solidFill>
          </w14:textFill>
        </w:rPr>
        <w:fldChar w:fldCharType="begin"/>
      </w:r>
      <w:r>
        <w:rPr>
          <w:rFonts w:hint="default" w:ascii="Times New Roman" w:hAnsi="Times New Roman" w:eastAsia="仿宋_GB2312" w:cs="Times New Roman"/>
          <w:sz w:val="32"/>
          <w:szCs w:val="32"/>
        </w:rPr>
        <w:instrText xml:space="preserve"> HYPERLINK \l _Toc27578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bCs w:val="0"/>
          <w:smallCaps w:val="0"/>
          <w:sz w:val="32"/>
          <w:szCs w:val="32"/>
        </w:rPr>
        <w:t>1.坚持以项目为抓手</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_Toc27578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58</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color w:val="000000" w:themeColor="text1"/>
          <w:sz w:val="32"/>
          <w:szCs w:val="32"/>
          <w14:textFill>
            <w14:solidFill>
              <w14:schemeClr w14:val="tx1"/>
            </w14:solidFill>
          </w14:textFill>
        </w:rPr>
        <w:fldChar w:fldCharType="end"/>
      </w:r>
    </w:p>
    <w:p>
      <w:pPr>
        <w:pStyle w:val="8"/>
        <w:keepNext w:val="0"/>
        <w:keepLines w:val="0"/>
        <w:pageBreakBefore w:val="0"/>
        <w:widowControl w:val="0"/>
        <w:tabs>
          <w:tab w:val="right" w:leader="dot" w:pos="8845"/>
        </w:tabs>
        <w:kinsoku/>
        <w:wordWrap/>
        <w:overflowPunct/>
        <w:topLinePunct w:val="0"/>
        <w:autoSpaceDE/>
        <w:autoSpaceDN/>
        <w:bidi w:val="0"/>
        <w:adjustRightInd/>
        <w:snapToGrid/>
        <w:spacing w:line="560" w:lineRule="exact"/>
        <w:ind w:left="800" w:leftChars="0" w:hanging="800" w:hangingChars="25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themeColor="text1"/>
          <w:sz w:val="32"/>
          <w:szCs w:val="32"/>
          <w14:textFill>
            <w14:solidFill>
              <w14:schemeClr w14:val="tx1"/>
            </w14:solidFill>
          </w14:textFill>
        </w:rPr>
        <w:fldChar w:fldCharType="begin"/>
      </w:r>
      <w:r>
        <w:rPr>
          <w:rFonts w:hint="default" w:ascii="Times New Roman" w:hAnsi="Times New Roman" w:eastAsia="仿宋_GB2312" w:cs="Times New Roman"/>
          <w:sz w:val="32"/>
          <w:szCs w:val="32"/>
        </w:rPr>
        <w:instrText xml:space="preserve"> HYPERLINK \l _Toc29693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bCs w:val="0"/>
          <w:smallCaps w:val="0"/>
          <w:sz w:val="32"/>
          <w:szCs w:val="32"/>
        </w:rPr>
        <w:t>2.完善项目推进机制</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_Toc29693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58</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color w:val="000000" w:themeColor="text1"/>
          <w:sz w:val="32"/>
          <w:szCs w:val="32"/>
          <w14:textFill>
            <w14:solidFill>
              <w14:schemeClr w14:val="tx1"/>
            </w14:solidFill>
          </w14:textFill>
        </w:rPr>
        <w:fldChar w:fldCharType="end"/>
      </w:r>
    </w:p>
    <w:p>
      <w:pPr>
        <w:pStyle w:val="14"/>
        <w:keepNext w:val="0"/>
        <w:keepLines w:val="0"/>
        <w:pageBreakBefore w:val="0"/>
        <w:widowControl w:val="0"/>
        <w:tabs>
          <w:tab w:val="right" w:leader="dot" w:pos="8845"/>
        </w:tabs>
        <w:kinsoku/>
        <w:wordWrap/>
        <w:overflowPunct/>
        <w:topLinePunct w:val="0"/>
        <w:autoSpaceDE/>
        <w:autoSpaceDN/>
        <w:bidi w:val="0"/>
        <w:adjustRightInd/>
        <w:snapToGrid/>
        <w:spacing w:line="560" w:lineRule="exact"/>
        <w:ind w:left="800" w:leftChars="0" w:hanging="800" w:hangingChars="250"/>
        <w:textAlignment w:val="auto"/>
        <w:rPr>
          <w:rFonts w:hint="default" w:ascii="Times New Roman" w:hAnsi="Times New Roman" w:eastAsia="楷体_GB2312" w:cs="Times New Roman"/>
          <w:b w:val="0"/>
          <w:bCs w:val="0"/>
          <w:color w:val="000000" w:themeColor="text1"/>
          <w:sz w:val="32"/>
          <w:szCs w:val="32"/>
          <w14:textFill>
            <w14:solidFill>
              <w14:schemeClr w14:val="tx1"/>
            </w14:solidFill>
          </w14:textFill>
        </w:rPr>
      </w:pPr>
      <w:r>
        <w:rPr>
          <w:rFonts w:hint="default" w:ascii="Times New Roman" w:hAnsi="Times New Roman" w:eastAsia="楷体_GB2312" w:cs="Times New Roman"/>
          <w:b w:val="0"/>
          <w:bCs w:val="0"/>
          <w:color w:val="000000" w:themeColor="text1"/>
          <w:sz w:val="32"/>
          <w:szCs w:val="32"/>
          <w14:textFill>
            <w14:solidFill>
              <w14:schemeClr w14:val="tx1"/>
            </w14:solidFill>
          </w14:textFill>
        </w:rPr>
        <w:fldChar w:fldCharType="begin"/>
      </w:r>
      <w:r>
        <w:rPr>
          <w:rFonts w:hint="default" w:ascii="Times New Roman" w:hAnsi="Times New Roman" w:eastAsia="楷体_GB2312" w:cs="Times New Roman"/>
          <w:b w:val="0"/>
          <w:bCs w:val="0"/>
          <w:color w:val="000000" w:themeColor="text1"/>
          <w:sz w:val="32"/>
          <w:szCs w:val="32"/>
          <w14:textFill>
            <w14:solidFill>
              <w14:schemeClr w14:val="tx1"/>
            </w14:solidFill>
          </w14:textFill>
        </w:rPr>
        <w:instrText xml:space="preserve"> HYPERLINK \l _Toc9696 </w:instrText>
      </w:r>
      <w:r>
        <w:rPr>
          <w:rFonts w:hint="default" w:ascii="Times New Roman" w:hAnsi="Times New Roman" w:eastAsia="楷体_GB2312" w:cs="Times New Roman"/>
          <w:b w:val="0"/>
          <w:bCs w:val="0"/>
          <w:color w:val="000000" w:themeColor="text1"/>
          <w:sz w:val="32"/>
          <w:szCs w:val="32"/>
          <w14:textFill>
            <w14:solidFill>
              <w14:schemeClr w14:val="tx1"/>
            </w14:solidFill>
          </w14:textFill>
        </w:rPr>
        <w:fldChar w:fldCharType="separate"/>
      </w:r>
      <w:r>
        <w:rPr>
          <w:rFonts w:hint="default" w:ascii="Times New Roman" w:hAnsi="Times New Roman" w:eastAsia="楷体_GB2312" w:cs="Times New Roman"/>
          <w:b w:val="0"/>
          <w:bCs w:val="0"/>
          <w:color w:val="000000" w:themeColor="text1"/>
          <w:sz w:val="32"/>
          <w:szCs w:val="32"/>
          <w14:textFill>
            <w14:solidFill>
              <w14:schemeClr w14:val="tx1"/>
            </w14:solidFill>
          </w14:textFill>
        </w:rPr>
        <w:t>六、抓好督促落实</w:t>
      </w:r>
      <w:r>
        <w:rPr>
          <w:rFonts w:hint="default" w:ascii="Times New Roman" w:hAnsi="Times New Roman" w:eastAsia="楷体_GB2312" w:cs="Times New Roman"/>
          <w:b w:val="0"/>
          <w:bCs w:val="0"/>
          <w:color w:val="000000" w:themeColor="text1"/>
          <w:sz w:val="32"/>
          <w:szCs w:val="32"/>
          <w14:textFill>
            <w14:solidFill>
              <w14:schemeClr w14:val="tx1"/>
            </w14:solidFill>
          </w14:textFill>
        </w:rPr>
        <w:tab/>
      </w:r>
      <w:r>
        <w:rPr>
          <w:rFonts w:hint="default" w:ascii="Times New Roman" w:hAnsi="Times New Roman" w:eastAsia="楷体_GB2312" w:cs="Times New Roman"/>
          <w:b w:val="0"/>
          <w:bCs w:val="0"/>
          <w:color w:val="000000" w:themeColor="text1"/>
          <w:sz w:val="32"/>
          <w:szCs w:val="32"/>
          <w14:textFill>
            <w14:solidFill>
              <w14:schemeClr w14:val="tx1"/>
            </w14:solidFill>
          </w14:textFill>
        </w:rPr>
        <w:fldChar w:fldCharType="begin"/>
      </w:r>
      <w:r>
        <w:rPr>
          <w:rFonts w:hint="default" w:ascii="Times New Roman" w:hAnsi="Times New Roman" w:eastAsia="楷体_GB2312" w:cs="Times New Roman"/>
          <w:b w:val="0"/>
          <w:bCs w:val="0"/>
          <w:color w:val="000000" w:themeColor="text1"/>
          <w:sz w:val="32"/>
          <w:szCs w:val="32"/>
          <w14:textFill>
            <w14:solidFill>
              <w14:schemeClr w14:val="tx1"/>
            </w14:solidFill>
          </w14:textFill>
        </w:rPr>
        <w:instrText xml:space="preserve"> PAGEREF _Toc9696 \h </w:instrText>
      </w:r>
      <w:r>
        <w:rPr>
          <w:rFonts w:hint="default" w:ascii="Times New Roman" w:hAnsi="Times New Roman" w:eastAsia="楷体_GB2312" w:cs="Times New Roman"/>
          <w:b w:val="0"/>
          <w:bCs w:val="0"/>
          <w:color w:val="000000" w:themeColor="text1"/>
          <w:sz w:val="32"/>
          <w:szCs w:val="32"/>
          <w14:textFill>
            <w14:solidFill>
              <w14:schemeClr w14:val="tx1"/>
            </w14:solidFill>
          </w14:textFill>
        </w:rPr>
        <w:fldChar w:fldCharType="separate"/>
      </w:r>
      <w:r>
        <w:rPr>
          <w:rFonts w:hint="default" w:ascii="Times New Roman" w:hAnsi="Times New Roman" w:eastAsia="楷体_GB2312" w:cs="Times New Roman"/>
          <w:b w:val="0"/>
          <w:bCs w:val="0"/>
          <w:color w:val="000000" w:themeColor="text1"/>
          <w:sz w:val="32"/>
          <w:szCs w:val="32"/>
          <w14:textFill>
            <w14:solidFill>
              <w14:schemeClr w14:val="tx1"/>
            </w14:solidFill>
          </w14:textFill>
        </w:rPr>
        <w:t>58</w:t>
      </w:r>
      <w:r>
        <w:rPr>
          <w:rFonts w:hint="default" w:ascii="Times New Roman" w:hAnsi="Times New Roman" w:eastAsia="楷体_GB2312" w:cs="Times New Roman"/>
          <w:b w:val="0"/>
          <w:bCs w:val="0"/>
          <w:color w:val="000000" w:themeColor="text1"/>
          <w:sz w:val="32"/>
          <w:szCs w:val="32"/>
          <w14:textFill>
            <w14:solidFill>
              <w14:schemeClr w14:val="tx1"/>
            </w14:solidFill>
          </w14:textFill>
        </w:rPr>
        <w:fldChar w:fldCharType="end"/>
      </w:r>
      <w:r>
        <w:rPr>
          <w:rFonts w:hint="default" w:ascii="Times New Roman" w:hAnsi="Times New Roman" w:eastAsia="楷体_GB2312" w:cs="Times New Roman"/>
          <w:b w:val="0"/>
          <w:bCs w:val="0"/>
          <w:color w:val="000000" w:themeColor="text1"/>
          <w:sz w:val="32"/>
          <w:szCs w:val="32"/>
          <w14:textFill>
            <w14:solidFill>
              <w14:schemeClr w14:val="tx1"/>
            </w14:solidFill>
          </w14:textFill>
        </w:rPr>
        <w:fldChar w:fldCharType="end"/>
      </w:r>
    </w:p>
    <w:p>
      <w:pPr>
        <w:pStyle w:val="8"/>
        <w:keepNext w:val="0"/>
        <w:keepLines w:val="0"/>
        <w:pageBreakBefore w:val="0"/>
        <w:widowControl w:val="0"/>
        <w:tabs>
          <w:tab w:val="right" w:leader="dot" w:pos="8845"/>
        </w:tabs>
        <w:kinsoku/>
        <w:wordWrap/>
        <w:overflowPunct/>
        <w:topLinePunct w:val="0"/>
        <w:autoSpaceDE/>
        <w:autoSpaceDN/>
        <w:bidi w:val="0"/>
        <w:adjustRightInd/>
        <w:snapToGrid/>
        <w:spacing w:line="560" w:lineRule="exact"/>
        <w:ind w:left="800" w:leftChars="0" w:hanging="800" w:hangingChars="25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themeColor="text1"/>
          <w:sz w:val="32"/>
          <w:szCs w:val="32"/>
          <w14:textFill>
            <w14:solidFill>
              <w14:schemeClr w14:val="tx1"/>
            </w14:solidFill>
          </w14:textFill>
        </w:rPr>
        <w:fldChar w:fldCharType="begin"/>
      </w:r>
      <w:r>
        <w:rPr>
          <w:rFonts w:hint="default" w:ascii="Times New Roman" w:hAnsi="Times New Roman" w:eastAsia="仿宋_GB2312" w:cs="Times New Roman"/>
          <w:sz w:val="32"/>
          <w:szCs w:val="32"/>
        </w:rPr>
        <w:instrText xml:space="preserve"> HYPERLINK \l _Toc14623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bCs w:val="0"/>
          <w:smallCaps w:val="0"/>
          <w:sz w:val="32"/>
          <w:szCs w:val="32"/>
        </w:rPr>
        <w:t>1.加强任务实施管理</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_Toc14623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58</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color w:val="000000" w:themeColor="text1"/>
          <w:sz w:val="32"/>
          <w:szCs w:val="32"/>
          <w14:textFill>
            <w14:solidFill>
              <w14:schemeClr w14:val="tx1"/>
            </w14:solidFill>
          </w14:textFill>
        </w:rPr>
        <w:fldChar w:fldCharType="end"/>
      </w:r>
    </w:p>
    <w:p>
      <w:pPr>
        <w:pStyle w:val="8"/>
        <w:keepNext w:val="0"/>
        <w:keepLines w:val="0"/>
        <w:pageBreakBefore w:val="0"/>
        <w:widowControl w:val="0"/>
        <w:tabs>
          <w:tab w:val="right" w:leader="dot" w:pos="8845"/>
        </w:tabs>
        <w:kinsoku/>
        <w:wordWrap/>
        <w:overflowPunct/>
        <w:topLinePunct w:val="0"/>
        <w:autoSpaceDE/>
        <w:autoSpaceDN/>
        <w:bidi w:val="0"/>
        <w:adjustRightInd/>
        <w:snapToGrid/>
        <w:spacing w:line="560" w:lineRule="exact"/>
        <w:ind w:left="800" w:leftChars="0" w:hanging="800" w:hangingChars="25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themeColor="text1"/>
          <w:sz w:val="32"/>
          <w:szCs w:val="32"/>
          <w14:textFill>
            <w14:solidFill>
              <w14:schemeClr w14:val="tx1"/>
            </w14:solidFill>
          </w14:textFill>
        </w:rPr>
        <w:fldChar w:fldCharType="begin"/>
      </w:r>
      <w:r>
        <w:rPr>
          <w:rFonts w:hint="default" w:ascii="Times New Roman" w:hAnsi="Times New Roman" w:eastAsia="仿宋_GB2312" w:cs="Times New Roman"/>
          <w:sz w:val="32"/>
          <w:szCs w:val="32"/>
        </w:rPr>
        <w:instrText xml:space="preserve"> HYPERLINK \l _Toc10717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bCs w:val="0"/>
          <w:smallCaps w:val="0"/>
          <w:sz w:val="32"/>
          <w:szCs w:val="32"/>
          <w:lang w:val="en-US" w:eastAsia="zh-CN"/>
        </w:rPr>
        <w:t>2</w:t>
      </w:r>
      <w:r>
        <w:rPr>
          <w:rFonts w:hint="default" w:ascii="Times New Roman" w:hAnsi="Times New Roman" w:eastAsia="仿宋_GB2312" w:cs="Times New Roman"/>
          <w:bCs w:val="0"/>
          <w:smallCaps w:val="0"/>
          <w:sz w:val="32"/>
          <w:szCs w:val="32"/>
        </w:rPr>
        <w:t>.强化规划实施监测评估</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_Toc10717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59</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color w:val="000000" w:themeColor="text1"/>
          <w:sz w:val="32"/>
          <w:szCs w:val="32"/>
          <w14:textFill>
            <w14:solidFill>
              <w14:schemeClr w14:val="tx1"/>
            </w14:solidFill>
          </w14:textFill>
        </w:rPr>
        <w:fldChar w:fldCharType="end"/>
      </w:r>
    </w:p>
    <w:p>
      <w:pPr>
        <w:pStyle w:val="13"/>
        <w:keepNext w:val="0"/>
        <w:keepLines w:val="0"/>
        <w:pageBreakBefore w:val="0"/>
        <w:widowControl w:val="0"/>
        <w:tabs>
          <w:tab w:val="right" w:leader="dot" w:pos="8845"/>
        </w:tabs>
        <w:kinsoku/>
        <w:wordWrap/>
        <w:overflowPunct/>
        <w:topLinePunct w:val="0"/>
        <w:autoSpaceDE/>
        <w:autoSpaceDN/>
        <w:bidi w:val="0"/>
        <w:adjustRightInd/>
        <w:snapToGrid/>
        <w:spacing w:line="560" w:lineRule="exact"/>
        <w:ind w:left="800" w:leftChars="0" w:hanging="800" w:hangingChars="250"/>
        <w:textAlignment w:val="auto"/>
        <w:rPr>
          <w:rFonts w:hint="default" w:ascii="Times New Roman" w:hAnsi="Times New Roman" w:eastAsia="黑体" w:cs="Times New Roman"/>
          <w:color w:val="000000" w:themeColor="text1"/>
          <w:sz w:val="32"/>
          <w:szCs w:val="32"/>
          <w14:textFill>
            <w14:solidFill>
              <w14:schemeClr w14:val="tx1"/>
            </w14:solidFill>
          </w14:textFill>
        </w:rPr>
      </w:pPr>
    </w:p>
    <w:p>
      <w:pPr>
        <w:pStyle w:val="13"/>
        <w:keepNext w:val="0"/>
        <w:keepLines w:val="0"/>
        <w:pageBreakBefore w:val="0"/>
        <w:widowControl w:val="0"/>
        <w:tabs>
          <w:tab w:val="right" w:leader="dot" w:pos="8845"/>
        </w:tabs>
        <w:kinsoku/>
        <w:wordWrap/>
        <w:overflowPunct/>
        <w:topLinePunct w:val="0"/>
        <w:autoSpaceDE/>
        <w:autoSpaceDN/>
        <w:bidi w:val="0"/>
        <w:adjustRightInd/>
        <w:snapToGrid/>
        <w:spacing w:line="560" w:lineRule="exact"/>
        <w:ind w:left="800" w:leftChars="0" w:hanging="800" w:hangingChars="250"/>
        <w:textAlignment w:val="auto"/>
        <w:rPr>
          <w:rFonts w:hint="default" w:ascii="Times New Roman" w:hAnsi="Times New Roman" w:eastAsia="黑体" w:cs="Times New Roman"/>
          <w:color w:val="000000" w:themeColor="text1"/>
          <w:sz w:val="32"/>
          <w:szCs w:val="32"/>
          <w14:textFill>
            <w14:solidFill>
              <w14:schemeClr w14:val="tx1"/>
            </w14:solidFill>
          </w14:textFill>
        </w:rPr>
      </w:pPr>
      <w:r>
        <w:rPr>
          <w:rFonts w:hint="default" w:ascii="Times New Roman" w:hAnsi="Times New Roman" w:eastAsia="黑体" w:cs="Times New Roman"/>
          <w:color w:val="000000" w:themeColor="text1"/>
          <w:sz w:val="32"/>
          <w:szCs w:val="32"/>
          <w14:textFill>
            <w14:solidFill>
              <w14:schemeClr w14:val="tx1"/>
            </w14:solidFill>
          </w14:textFill>
        </w:rPr>
        <w:fldChar w:fldCharType="begin"/>
      </w:r>
      <w:r>
        <w:rPr>
          <w:rFonts w:hint="default" w:ascii="Times New Roman" w:hAnsi="Times New Roman" w:eastAsia="黑体" w:cs="Times New Roman"/>
          <w:color w:val="000000" w:themeColor="text1"/>
          <w:sz w:val="32"/>
          <w:szCs w:val="32"/>
          <w14:textFill>
            <w14:solidFill>
              <w14:schemeClr w14:val="tx1"/>
            </w14:solidFill>
          </w14:textFill>
        </w:rPr>
        <w:instrText xml:space="preserve"> HYPERLINK \l _Toc10405 </w:instrText>
      </w:r>
      <w:r>
        <w:rPr>
          <w:rFonts w:hint="default" w:ascii="Times New Roman" w:hAnsi="Times New Roman" w:eastAsia="黑体" w:cs="Times New Roman"/>
          <w:color w:val="000000" w:themeColor="text1"/>
          <w:sz w:val="32"/>
          <w:szCs w:val="32"/>
          <w14:textFill>
            <w14:solidFill>
              <w14:schemeClr w14:val="tx1"/>
            </w14:solidFill>
          </w14:textFill>
        </w:rPr>
        <w:fldChar w:fldCharType="separate"/>
      </w:r>
      <w:r>
        <w:rPr>
          <w:rFonts w:hint="default" w:ascii="Times New Roman" w:hAnsi="Times New Roman" w:eastAsia="黑体" w:cs="Times New Roman"/>
          <w:color w:val="000000" w:themeColor="text1"/>
          <w:sz w:val="32"/>
          <w:szCs w:val="32"/>
          <w14:textFill>
            <w14:solidFill>
              <w14:schemeClr w14:val="tx1"/>
            </w14:solidFill>
          </w14:textFill>
        </w:rPr>
        <w:t>附件</w:t>
      </w:r>
      <w:r>
        <w:rPr>
          <w:rFonts w:hint="default" w:ascii="Times New Roman" w:hAnsi="Times New Roman" w:eastAsia="黑体" w:cs="Times New Roman"/>
          <w:color w:val="000000" w:themeColor="text1"/>
          <w:sz w:val="32"/>
          <w:szCs w:val="32"/>
          <w14:textFill>
            <w14:solidFill>
              <w14:schemeClr w14:val="tx1"/>
            </w14:solidFill>
          </w14:textFill>
        </w:rPr>
        <w:fldChar w:fldCharType="end"/>
      </w:r>
      <w:r>
        <w:rPr>
          <w:rFonts w:hint="default" w:ascii="Times New Roman" w:hAnsi="Times New Roman" w:eastAsia="黑体" w:cs="Times New Roman"/>
          <w:color w:val="000000" w:themeColor="text1"/>
          <w:sz w:val="32"/>
          <w:szCs w:val="32"/>
          <w:lang w:val="en-US"/>
          <w14:textFill>
            <w14:solidFill>
              <w14:schemeClr w14:val="tx1"/>
            </w14:solidFill>
          </w14:textFill>
        </w:rPr>
        <w:t xml:space="preserve"> </w:t>
      </w:r>
      <w:r>
        <w:rPr>
          <w:rFonts w:hint="default" w:ascii="Times New Roman" w:hAnsi="Times New Roman" w:eastAsia="黑体" w:cs="Times New Roman"/>
          <w:color w:val="000000" w:themeColor="text1"/>
          <w:sz w:val="32"/>
          <w:szCs w:val="32"/>
          <w14:textFill>
            <w14:solidFill>
              <w14:schemeClr w14:val="tx1"/>
            </w14:solidFill>
          </w14:textFill>
        </w:rPr>
        <w:fldChar w:fldCharType="begin"/>
      </w:r>
      <w:r>
        <w:rPr>
          <w:rFonts w:hint="default" w:ascii="Times New Roman" w:hAnsi="Times New Roman" w:eastAsia="黑体" w:cs="Times New Roman"/>
          <w:color w:val="000000" w:themeColor="text1"/>
          <w:sz w:val="32"/>
          <w:szCs w:val="32"/>
          <w14:textFill>
            <w14:solidFill>
              <w14:schemeClr w14:val="tx1"/>
            </w14:solidFill>
          </w14:textFill>
        </w:rPr>
        <w:instrText xml:space="preserve"> HYPERLINK \l _Toc2034 </w:instrText>
      </w:r>
      <w:r>
        <w:rPr>
          <w:rFonts w:hint="default" w:ascii="Times New Roman" w:hAnsi="Times New Roman" w:eastAsia="黑体" w:cs="Times New Roman"/>
          <w:color w:val="000000" w:themeColor="text1"/>
          <w:sz w:val="32"/>
          <w:szCs w:val="32"/>
          <w14:textFill>
            <w14:solidFill>
              <w14:schemeClr w14:val="tx1"/>
            </w14:solidFill>
          </w14:textFill>
        </w:rPr>
        <w:fldChar w:fldCharType="separate"/>
      </w:r>
      <w:r>
        <w:rPr>
          <w:rFonts w:hint="default" w:ascii="Times New Roman" w:hAnsi="Times New Roman" w:eastAsia="黑体" w:cs="Times New Roman"/>
          <w:color w:val="000000" w:themeColor="text1"/>
          <w:sz w:val="32"/>
          <w:szCs w:val="32"/>
          <w14:textFill>
            <w14:solidFill>
              <w14:schemeClr w14:val="tx1"/>
            </w14:solidFill>
          </w14:textFill>
        </w:rPr>
        <w:t>濉溪县“十四五”服务业发展重大项目一览表</w:t>
      </w:r>
      <w:r>
        <w:rPr>
          <w:rFonts w:hint="default" w:ascii="Times New Roman" w:hAnsi="Times New Roman" w:eastAsia="黑体" w:cs="Times New Roman"/>
          <w:color w:val="000000" w:themeColor="text1"/>
          <w:sz w:val="32"/>
          <w:szCs w:val="32"/>
          <w14:textFill>
            <w14:solidFill>
              <w14:schemeClr w14:val="tx1"/>
            </w14:solidFill>
          </w14:textFill>
        </w:rPr>
        <w:tab/>
      </w:r>
      <w:r>
        <w:rPr>
          <w:rFonts w:hint="default" w:ascii="Times New Roman" w:hAnsi="Times New Roman" w:eastAsia="黑体" w:cs="Times New Roman"/>
          <w:color w:val="000000" w:themeColor="text1"/>
          <w:sz w:val="32"/>
          <w:szCs w:val="32"/>
          <w14:textFill>
            <w14:solidFill>
              <w14:schemeClr w14:val="tx1"/>
            </w14:solidFill>
          </w14:textFill>
        </w:rPr>
        <w:fldChar w:fldCharType="begin"/>
      </w:r>
      <w:r>
        <w:rPr>
          <w:rFonts w:hint="default" w:ascii="Times New Roman" w:hAnsi="Times New Roman" w:eastAsia="黑体" w:cs="Times New Roman"/>
          <w:color w:val="000000" w:themeColor="text1"/>
          <w:sz w:val="32"/>
          <w:szCs w:val="32"/>
          <w14:textFill>
            <w14:solidFill>
              <w14:schemeClr w14:val="tx1"/>
            </w14:solidFill>
          </w14:textFill>
        </w:rPr>
        <w:instrText xml:space="preserve"> PAGEREF _Toc2034 \h </w:instrText>
      </w:r>
      <w:r>
        <w:rPr>
          <w:rFonts w:hint="default" w:ascii="Times New Roman" w:hAnsi="Times New Roman" w:eastAsia="黑体" w:cs="Times New Roman"/>
          <w:color w:val="000000" w:themeColor="text1"/>
          <w:sz w:val="32"/>
          <w:szCs w:val="32"/>
          <w14:textFill>
            <w14:solidFill>
              <w14:schemeClr w14:val="tx1"/>
            </w14:solidFill>
          </w14:textFill>
        </w:rPr>
        <w:fldChar w:fldCharType="separate"/>
      </w:r>
      <w:r>
        <w:rPr>
          <w:rFonts w:hint="default" w:ascii="Times New Roman" w:hAnsi="Times New Roman" w:eastAsia="黑体" w:cs="Times New Roman"/>
          <w:color w:val="000000" w:themeColor="text1"/>
          <w:sz w:val="32"/>
          <w:szCs w:val="32"/>
          <w14:textFill>
            <w14:solidFill>
              <w14:schemeClr w14:val="tx1"/>
            </w14:solidFill>
          </w14:textFill>
        </w:rPr>
        <w:t>60</w:t>
      </w:r>
      <w:r>
        <w:rPr>
          <w:rFonts w:hint="default" w:ascii="Times New Roman" w:hAnsi="Times New Roman" w:eastAsia="黑体" w:cs="Times New Roman"/>
          <w:color w:val="000000" w:themeColor="text1"/>
          <w:sz w:val="32"/>
          <w:szCs w:val="32"/>
          <w14:textFill>
            <w14:solidFill>
              <w14:schemeClr w14:val="tx1"/>
            </w14:solidFill>
          </w14:textFill>
        </w:rPr>
        <w:fldChar w:fldCharType="end"/>
      </w:r>
      <w:r>
        <w:rPr>
          <w:rFonts w:hint="default" w:ascii="Times New Roman" w:hAnsi="Times New Roman" w:eastAsia="黑体" w:cs="Times New Roman"/>
          <w:color w:val="000000" w:themeColor="text1"/>
          <w:sz w:val="32"/>
          <w:szCs w:val="32"/>
          <w14:textFill>
            <w14:solidFill>
              <w14:schemeClr w14:val="tx1"/>
            </w14:solidFill>
          </w14:textFill>
        </w:rPr>
        <w:fldChar w:fldCharType="end"/>
      </w:r>
    </w:p>
    <w:p>
      <w:pPr>
        <w:pStyle w:val="14"/>
        <w:widowControl w:val="0"/>
        <w:tabs>
          <w:tab w:val="right" w:leader="dot" w:pos="8845"/>
        </w:tabs>
        <w:spacing w:line="560" w:lineRule="exact"/>
        <w:ind w:left="800" w:leftChars="0" w:hanging="800" w:hangingChars="250"/>
        <w:jc w:val="center"/>
        <w:rPr>
          <w:rFonts w:hint="default" w:ascii="Times New Roman" w:hAnsi="Times New Roman" w:eastAsia="黑体" w:cs="Times New Roman"/>
          <w:color w:val="000000" w:themeColor="text1"/>
          <w:sz w:val="36"/>
          <w:szCs w:val="36"/>
          <w14:textFill>
            <w14:solidFill>
              <w14:schemeClr w14:val="tx1"/>
            </w14:solidFill>
          </w14:textFill>
        </w:rPr>
        <w:sectPr>
          <w:footerReference r:id="rId4" w:type="default"/>
          <w:pgSz w:w="11906" w:h="16838"/>
          <w:pgMar w:top="2098" w:right="1474" w:bottom="1984" w:left="1587" w:header="851" w:footer="1219" w:gutter="0"/>
          <w:pgNumType w:fmt="decimal" w:start="1"/>
          <w:cols w:space="0" w:num="1"/>
          <w:rtlGutter w:val="0"/>
          <w:docGrid w:type="lines" w:linePitch="312" w:charSpace="0"/>
        </w:sectPr>
      </w:pPr>
      <w:r>
        <w:rPr>
          <w:rFonts w:hint="default" w:ascii="Times New Roman" w:hAnsi="Times New Roman" w:eastAsia="仿宋_GB2312" w:cs="Times New Roman"/>
          <w:color w:val="000000" w:themeColor="text1"/>
          <w:sz w:val="32"/>
          <w:szCs w:val="32"/>
          <w14:textFill>
            <w14:solidFill>
              <w14:schemeClr w14:val="tx1"/>
            </w14:solidFill>
          </w14:textFill>
        </w:rPr>
        <w:fldChar w:fldCharType="end"/>
      </w:r>
    </w:p>
    <w:p>
      <w:pPr>
        <w:pStyle w:val="3"/>
        <w:keepNext w:val="0"/>
        <w:keepLines w:val="0"/>
        <w:pageBreakBefore w:val="0"/>
        <w:widowControl w:val="0"/>
        <w:kinsoku/>
        <w:wordWrap/>
        <w:overflowPunct/>
        <w:topLinePunct w:val="0"/>
        <w:autoSpaceDE/>
        <w:autoSpaceDN/>
        <w:bidi w:val="0"/>
        <w:adjustRightInd/>
        <w:snapToGrid/>
        <w:spacing w:before="0" w:after="0" w:line="560" w:lineRule="exact"/>
        <w:jc w:val="center"/>
        <w:textAlignment w:val="auto"/>
        <w:rPr>
          <w:rFonts w:hint="default" w:ascii="Times New Roman" w:hAnsi="Times New Roman" w:eastAsia="方正小标宋简体" w:cs="Times New Roman"/>
          <w:b w:val="0"/>
          <w:bCs w:val="0"/>
          <w:color w:val="000000" w:themeColor="text1"/>
          <w:sz w:val="44"/>
          <w:szCs w:val="44"/>
          <w14:textFill>
            <w14:solidFill>
              <w14:schemeClr w14:val="tx1"/>
            </w14:solidFill>
          </w14:textFill>
        </w:rPr>
      </w:pPr>
      <w:bookmarkStart w:id="0" w:name="_Toc10396"/>
      <w:bookmarkStart w:id="1" w:name="_Toc83296367"/>
      <w:bookmarkStart w:id="2" w:name="_Toc26995"/>
      <w:r>
        <w:rPr>
          <w:rFonts w:hint="default" w:ascii="Times New Roman" w:hAnsi="Times New Roman" w:eastAsia="方正小标宋简体" w:cs="Times New Roman"/>
          <w:b w:val="0"/>
          <w:bCs w:val="0"/>
          <w:color w:val="000000" w:themeColor="text1"/>
          <w:sz w:val="44"/>
          <w:szCs w:val="44"/>
          <w14:textFill>
            <w14:solidFill>
              <w14:schemeClr w14:val="tx1"/>
            </w14:solidFill>
          </w14:textFill>
        </w:rPr>
        <w:t>前  言</w:t>
      </w:r>
      <w:bookmarkEnd w:id="0"/>
      <w:bookmarkEnd w:id="1"/>
      <w:bookmarkEnd w:id="2"/>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mallCaps/>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mallCaps/>
          <w:color w:val="000000" w:themeColor="text1"/>
          <w:sz w:val="32"/>
          <w:szCs w:val="32"/>
          <w14:textFill>
            <w14:solidFill>
              <w14:schemeClr w14:val="tx1"/>
            </w14:solidFill>
          </w14:textFill>
        </w:rPr>
      </w:pPr>
      <w:r>
        <w:rPr>
          <w:rFonts w:hint="default" w:ascii="Times New Roman" w:hAnsi="Times New Roman" w:eastAsia="仿宋_GB2312" w:cs="Times New Roman"/>
          <w:smallCaps/>
          <w:color w:val="000000" w:themeColor="text1"/>
          <w:sz w:val="32"/>
          <w:szCs w:val="32"/>
          <w14:textFill>
            <w14:solidFill>
              <w14:schemeClr w14:val="tx1"/>
            </w14:solidFill>
          </w14:textFill>
        </w:rPr>
        <w:t>“十四五”时期是我国全面建成小康社会、实现第一个百年奋斗目标之后，开启全面建设社会主义现代化国家新征程的第一个五年发展规划期，是推动经济社会高质量转型发展的关键时期和重要发展机遇期。我们要全面贯彻落实党的十九大、十九届历次全会精神和习近平总书记考察安徽重要讲话指示精神，以习近平新时代中国特色社会主义思想为指导，立足新发展阶段</w:t>
      </w:r>
      <w:r>
        <w:rPr>
          <w:rFonts w:hint="default" w:ascii="Times New Roman" w:hAnsi="Times New Roman" w:eastAsia="仿宋_GB2312" w:cs="Times New Roman"/>
          <w:smallCaps/>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smallCaps/>
          <w:color w:val="000000" w:themeColor="text1"/>
          <w:sz w:val="32"/>
          <w:szCs w:val="32"/>
          <w14:textFill>
            <w14:solidFill>
              <w14:schemeClr w14:val="tx1"/>
            </w14:solidFill>
          </w14:textFill>
        </w:rPr>
        <w:t>贯彻新发展理念，在构建新发展格局上开好局、起好步。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mallCaps/>
          <w:color w:val="000000" w:themeColor="text1"/>
          <w:sz w:val="32"/>
          <w:szCs w:val="32"/>
          <w14:textFill>
            <w14:solidFill>
              <w14:schemeClr w14:val="tx1"/>
            </w14:solidFill>
          </w14:textFill>
        </w:rPr>
      </w:pPr>
      <w:r>
        <w:rPr>
          <w:rFonts w:hint="default" w:ascii="Times New Roman" w:hAnsi="Times New Roman" w:eastAsia="仿宋_GB2312" w:cs="Times New Roman"/>
          <w:smallCaps/>
          <w:color w:val="000000" w:themeColor="text1"/>
          <w:sz w:val="32"/>
          <w:szCs w:val="32"/>
          <w14:textFill>
            <w14:solidFill>
              <w14:schemeClr w14:val="tx1"/>
            </w14:solidFill>
          </w14:textFill>
        </w:rPr>
        <w:t>“十四五”时期也是濉溪县加快发展、加速崛起、全力冲刺全国综合实力百强县的关键时期和重要黄金机遇期。全县正抢抓国家推动长三角一体化战略机遇，用活皖北承接产业转移集聚区建设政策，全面加快服务业发展，推动产业结构由“二三一”向“三二一”转变。</w:t>
      </w:r>
      <w:r>
        <w:rPr>
          <w:rFonts w:hint="default" w:ascii="Times New Roman" w:hAnsi="Times New Roman" w:eastAsia="仿宋_GB2312" w:cs="Times New Roman"/>
          <w:color w:val="000000" w:themeColor="text1"/>
          <w:sz w:val="32"/>
          <w:szCs w:val="32"/>
          <w14:textFill>
            <w14:solidFill>
              <w14:schemeClr w14:val="tx1"/>
            </w14:solidFill>
          </w14:textFill>
        </w:rPr>
        <w:t>为进一步贯彻落实国家、省、市加快服务业发展的部署要求，全面提升现代服务业规模、层次和竞争力，</w:t>
      </w:r>
      <w:r>
        <w:rPr>
          <w:rFonts w:hint="default" w:ascii="Times New Roman" w:hAnsi="Times New Roman" w:eastAsia="仿宋_GB2312" w:cs="Times New Roman"/>
          <w:smallCaps/>
          <w:color w:val="000000" w:themeColor="text1"/>
          <w:sz w:val="32"/>
          <w:szCs w:val="32"/>
          <w14:textFill>
            <w14:solidFill>
              <w14:schemeClr w14:val="tx1"/>
            </w14:solidFill>
          </w14:textFill>
        </w:rPr>
        <w:t>根据国家、安徽省和濉溪县</w:t>
      </w:r>
      <w:r>
        <w:rPr>
          <w:rFonts w:hint="eastAsia" w:ascii="Times New Roman" w:hAnsi="Times New Roman" w:eastAsia="仿宋_GB2312" w:cs="Times New Roman"/>
          <w:smallCaps/>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smallCaps/>
          <w:color w:val="000000" w:themeColor="text1"/>
          <w:sz w:val="32"/>
          <w:szCs w:val="32"/>
          <w14:textFill>
            <w14:solidFill>
              <w14:schemeClr w14:val="tx1"/>
            </w14:solidFill>
          </w14:textFill>
        </w:rPr>
        <w:t>十四五</w:t>
      </w:r>
      <w:r>
        <w:rPr>
          <w:rFonts w:hint="eastAsia" w:ascii="Times New Roman" w:hAnsi="Times New Roman" w:eastAsia="仿宋_GB2312" w:cs="Times New Roman"/>
          <w:smallCaps/>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smallCaps/>
          <w:color w:val="000000" w:themeColor="text1"/>
          <w:sz w:val="32"/>
          <w:szCs w:val="32"/>
          <w14:textFill>
            <w14:solidFill>
              <w14:schemeClr w14:val="tx1"/>
            </w14:solidFill>
          </w14:textFill>
        </w:rPr>
        <w:t>规划和2035年远景目标纲要”，组织编制《濉溪县“十四五”服务业发展规划》，旨在引领和指导全县“十四五”时期服务业快速健康发展，进而推动全县经济社会高质量发展，为开启社会主义现代化建设新征程开好新局、夯实基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mallCaps/>
          <w:color w:val="000000" w:themeColor="text1"/>
          <w:sz w:val="32"/>
          <w:szCs w:val="32"/>
          <w14:textFill>
            <w14:solidFill>
              <w14:schemeClr w14:val="tx1"/>
            </w14:solidFill>
          </w14:textFill>
        </w:rPr>
      </w:pPr>
      <w:r>
        <w:rPr>
          <w:rFonts w:hint="default" w:ascii="Times New Roman" w:hAnsi="Times New Roman" w:eastAsia="仿宋_GB2312" w:cs="Times New Roman"/>
          <w:smallCaps/>
          <w:color w:val="000000" w:themeColor="text1"/>
          <w:sz w:val="32"/>
          <w:szCs w:val="32"/>
          <w14:textFill>
            <w14:solidFill>
              <w14:schemeClr w14:val="tx1"/>
            </w14:solidFill>
          </w14:textFill>
        </w:rPr>
        <w:t>本次规划期2021-2025年，重大事项展望到2035年。</w:t>
      </w:r>
    </w:p>
    <w:p>
      <w:pPr>
        <w:pStyle w:val="3"/>
        <w:keepNext w:val="0"/>
        <w:keepLines w:val="0"/>
        <w:pageBreakBefore w:val="0"/>
        <w:widowControl w:val="0"/>
        <w:kinsoku/>
        <w:wordWrap/>
        <w:overflowPunct/>
        <w:topLinePunct w:val="0"/>
        <w:autoSpaceDE/>
        <w:autoSpaceDN/>
        <w:bidi w:val="0"/>
        <w:adjustRightInd/>
        <w:snapToGrid/>
        <w:spacing w:before="0" w:after="0" w:line="560" w:lineRule="exact"/>
        <w:ind w:firstLine="640" w:firstLineChars="200"/>
        <w:jc w:val="center"/>
        <w:textAlignment w:val="auto"/>
        <w:rPr>
          <w:rFonts w:hint="default" w:ascii="Times New Roman" w:hAnsi="Times New Roman" w:eastAsia="方正小标宋简体" w:cs="Times New Roman"/>
          <w:b w:val="0"/>
          <w:bCs w:val="0"/>
          <w:color w:val="000000" w:themeColor="text1"/>
          <w:sz w:val="32"/>
          <w:szCs w:val="32"/>
          <w14:textFill>
            <w14:solidFill>
              <w14:schemeClr w14:val="tx1"/>
            </w14:solidFill>
          </w14:textFill>
        </w:rPr>
      </w:pPr>
      <w:bookmarkStart w:id="3" w:name="_Toc30788"/>
      <w:bookmarkStart w:id="4" w:name="_Toc83296368"/>
    </w:p>
    <w:p>
      <w:pPr>
        <w:pStyle w:val="3"/>
        <w:keepNext w:val="0"/>
        <w:keepLines w:val="0"/>
        <w:pageBreakBefore w:val="0"/>
        <w:widowControl w:val="0"/>
        <w:kinsoku/>
        <w:wordWrap/>
        <w:overflowPunct/>
        <w:topLinePunct w:val="0"/>
        <w:autoSpaceDE/>
        <w:autoSpaceDN/>
        <w:bidi w:val="0"/>
        <w:adjustRightInd/>
        <w:snapToGrid/>
        <w:spacing w:before="0" w:after="0" w:line="560" w:lineRule="exact"/>
        <w:jc w:val="center"/>
        <w:textAlignment w:val="auto"/>
        <w:rPr>
          <w:rFonts w:hint="default" w:ascii="Times New Roman" w:hAnsi="Times New Roman" w:eastAsia="方正小标宋简体" w:cs="Times New Roman"/>
          <w:b w:val="0"/>
          <w:bCs w:val="0"/>
          <w:color w:val="000000" w:themeColor="text1"/>
          <w:sz w:val="44"/>
          <w:szCs w:val="44"/>
          <w14:textFill>
            <w14:solidFill>
              <w14:schemeClr w14:val="tx1"/>
            </w14:solidFill>
          </w14:textFill>
        </w:rPr>
      </w:pPr>
    </w:p>
    <w:p>
      <w:pPr>
        <w:pStyle w:val="3"/>
        <w:keepNext w:val="0"/>
        <w:keepLines w:val="0"/>
        <w:pageBreakBefore w:val="0"/>
        <w:widowControl w:val="0"/>
        <w:kinsoku/>
        <w:wordWrap/>
        <w:overflowPunct/>
        <w:topLinePunct w:val="0"/>
        <w:autoSpaceDE/>
        <w:autoSpaceDN/>
        <w:bidi w:val="0"/>
        <w:adjustRightInd/>
        <w:snapToGrid/>
        <w:spacing w:before="0" w:after="0" w:line="560" w:lineRule="exact"/>
        <w:jc w:val="center"/>
        <w:textAlignment w:val="auto"/>
        <w:rPr>
          <w:rFonts w:hint="default" w:ascii="Times New Roman" w:hAnsi="Times New Roman" w:cs="Times New Roman"/>
          <w:color w:val="000000" w:themeColor="text1"/>
          <w:sz w:val="44"/>
          <w:szCs w:val="44"/>
          <w14:textFill>
            <w14:solidFill>
              <w14:schemeClr w14:val="tx1"/>
            </w14:solidFill>
          </w14:textFill>
        </w:rPr>
      </w:pPr>
      <w:bookmarkStart w:id="5" w:name="_Toc5538"/>
      <w:r>
        <w:rPr>
          <w:rFonts w:hint="default" w:ascii="Times New Roman" w:hAnsi="Times New Roman" w:eastAsia="方正小标宋简体" w:cs="Times New Roman"/>
          <w:b w:val="0"/>
          <w:bCs w:val="0"/>
          <w:color w:val="000000" w:themeColor="text1"/>
          <w:sz w:val="44"/>
          <w:szCs w:val="44"/>
          <w14:textFill>
            <w14:solidFill>
              <w14:schemeClr w14:val="tx1"/>
            </w14:solidFill>
          </w14:textFill>
        </w:rPr>
        <w:t>第一章  发展基础及环境分析</w:t>
      </w:r>
      <w:bookmarkEnd w:id="3"/>
      <w:bookmarkEnd w:id="4"/>
      <w:bookmarkEnd w:id="5"/>
    </w:p>
    <w:p>
      <w:pPr>
        <w:spacing w:line="560" w:lineRule="exact"/>
        <w:ind w:firstLine="640" w:firstLineChars="200"/>
        <w:rPr>
          <w:rFonts w:hint="default" w:ascii="Times New Roman" w:hAnsi="Times New Roman" w:eastAsia="仿宋_GB2312" w:cs="Times New Roman"/>
          <w:smallCaps/>
          <w:color w:val="000000" w:themeColor="text1"/>
          <w:sz w:val="32"/>
          <w:szCs w:val="32"/>
          <w14:textFill>
            <w14:solidFill>
              <w14:schemeClr w14:val="tx1"/>
            </w14:solidFill>
          </w14:textFill>
        </w:rPr>
      </w:pPr>
    </w:p>
    <w:p>
      <w:pPr>
        <w:spacing w:line="56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smallCaps/>
          <w:color w:val="000000" w:themeColor="text1"/>
          <w:sz w:val="32"/>
          <w:szCs w:val="32"/>
          <w14:textFill>
            <w14:solidFill>
              <w14:schemeClr w14:val="tx1"/>
            </w14:solidFill>
          </w14:textFill>
        </w:rPr>
        <w:t>“十三五”期间，濉溪县面对错综复杂的宏观形势和艰巨繁重的改革发展稳定任务，又遭受新冠肺炎疫情严重冲击，但全县人民紧紧围绕全面建成小康社会目标，认真贯彻落实党的十九大和十九届二中、三中、四中、五中全会精神，坚决贯彻落实习近平总书记考察安徽重要讲话指示精神和省、市委决策部署，统筹推进疫情防控和经济社会发展，深入贯彻落实国家、省、市关于服务业发展的相关政策措施，大力深化改革，推进高质量发展，全县服务业规模不断扩大，质量和能级加速提升，内部结构和空间布局逐步优化，服务业发展呈现良好势头，</w:t>
      </w:r>
      <w:r>
        <w:rPr>
          <w:rFonts w:hint="default" w:ascii="Times New Roman" w:hAnsi="Times New Roman" w:eastAsia="仿宋_GB2312" w:cs="Times New Roman"/>
          <w:color w:val="000000" w:themeColor="text1"/>
          <w:sz w:val="32"/>
          <w:szCs w:val="32"/>
          <w14:textFill>
            <w14:solidFill>
              <w14:schemeClr w14:val="tx1"/>
            </w14:solidFill>
          </w14:textFill>
        </w:rPr>
        <w:t>对全县经济和社会发展起到重要推动作用。</w:t>
      </w:r>
    </w:p>
    <w:p>
      <w:pPr>
        <w:pStyle w:val="4"/>
        <w:keepNext w:val="0"/>
        <w:keepLines w:val="0"/>
        <w:spacing w:before="0" w:after="0" w:line="560" w:lineRule="exact"/>
        <w:ind w:firstLine="640" w:firstLineChars="200"/>
        <w:rPr>
          <w:rFonts w:hint="default" w:ascii="Times New Roman" w:hAnsi="Times New Roman" w:eastAsia="黑体" w:cs="Times New Roman"/>
          <w:b w:val="0"/>
          <w:bCs w:val="0"/>
          <w:color w:val="000000" w:themeColor="text1"/>
          <w14:textFill>
            <w14:solidFill>
              <w14:schemeClr w14:val="tx1"/>
            </w14:solidFill>
          </w14:textFill>
        </w:rPr>
      </w:pPr>
      <w:bookmarkStart w:id="6" w:name="_Toc19106"/>
      <w:bookmarkStart w:id="7" w:name="_Toc18960"/>
      <w:bookmarkStart w:id="8" w:name="_Toc83296369"/>
      <w:r>
        <w:rPr>
          <w:rFonts w:hint="default" w:ascii="Times New Roman" w:hAnsi="Times New Roman" w:eastAsia="黑体" w:cs="Times New Roman"/>
          <w:b w:val="0"/>
          <w:bCs w:val="0"/>
          <w:color w:val="000000" w:themeColor="text1"/>
          <w14:textFill>
            <w14:solidFill>
              <w14:schemeClr w14:val="tx1"/>
            </w14:solidFill>
          </w14:textFill>
        </w:rPr>
        <w:t>一、取得的成就</w:t>
      </w:r>
      <w:bookmarkEnd w:id="6"/>
      <w:bookmarkEnd w:id="7"/>
      <w:bookmarkEnd w:id="8"/>
    </w:p>
    <w:p>
      <w:pPr>
        <w:pStyle w:val="5"/>
        <w:keepNext w:val="0"/>
        <w:keepLines w:val="0"/>
        <w:spacing w:before="0" w:after="0" w:line="560" w:lineRule="exact"/>
        <w:ind w:firstLine="643" w:firstLineChars="200"/>
        <w:rPr>
          <w:rFonts w:hint="default" w:ascii="Times New Roman" w:hAnsi="Times New Roman" w:eastAsia="楷体_GB2312" w:cs="Times New Roman"/>
          <w:color w:val="000000" w:themeColor="text1"/>
          <w14:textFill>
            <w14:solidFill>
              <w14:schemeClr w14:val="tx1"/>
            </w14:solidFill>
          </w14:textFill>
        </w:rPr>
      </w:pPr>
      <w:bookmarkStart w:id="9" w:name="_Toc83296370"/>
      <w:bookmarkStart w:id="10" w:name="_Toc21518"/>
      <w:bookmarkStart w:id="11" w:name="_Toc8041"/>
      <w:r>
        <w:rPr>
          <w:rFonts w:hint="default" w:ascii="Times New Roman" w:hAnsi="Times New Roman" w:eastAsia="楷体_GB2312" w:cs="Times New Roman"/>
          <w:color w:val="000000" w:themeColor="text1"/>
          <w14:textFill>
            <w14:solidFill>
              <w14:schemeClr w14:val="tx1"/>
            </w14:solidFill>
          </w14:textFill>
        </w:rPr>
        <w:t>（一）服务业总体发展态势良好</w:t>
      </w:r>
      <w:bookmarkEnd w:id="9"/>
      <w:bookmarkEnd w:id="10"/>
      <w:bookmarkEnd w:id="11"/>
    </w:p>
    <w:p>
      <w:pPr>
        <w:spacing w:line="56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总量不断提升。服务业增加值由2015年的71.6亿元增加到2020年的194.2亿元，年均增长7.2%，比GDP增速快0.5个百分点。服务业增加值占GDP的比重由2015年的30.7%提升到2020年的39.6%。其中2020年信息与软件技术服务业突破行业空白，交通运输业与营利性服务业营业收入逆势增长，商务服务业由弱变强，全年服务业增加值增长3.9%，其占比较2019年提升0.8个百分点，拉动GDP增长1.8个百分点，服务业对全县经济的拉动作用不断增强。截止</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2020年底</w:t>
      </w:r>
      <w:r>
        <w:rPr>
          <w:rFonts w:hint="default" w:ascii="Times New Roman" w:hAnsi="Times New Roman" w:eastAsia="仿宋_GB2312" w:cs="Times New Roman"/>
          <w:color w:val="000000" w:themeColor="text1"/>
          <w:sz w:val="32"/>
          <w:szCs w:val="32"/>
          <w14:textFill>
            <w14:solidFill>
              <w14:schemeClr w14:val="tx1"/>
            </w14:solidFill>
          </w14:textFill>
        </w:rPr>
        <w:t>，全县共有25家规上服务业企业。产业结构进一步优化，三次产业比由2015年的17.5:51.8:30.7转化为2020年的11.0:49.5:39.5。濉溪县百善物流园</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中瑞新型农产品批发市场等</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2</w:t>
      </w:r>
      <w:r>
        <w:rPr>
          <w:rFonts w:hint="default" w:ascii="Times New Roman" w:hAnsi="Times New Roman" w:eastAsia="仿宋_GB2312" w:cs="Times New Roman"/>
          <w:color w:val="000000" w:themeColor="text1"/>
          <w:sz w:val="32"/>
          <w:szCs w:val="32"/>
          <w14:textFill>
            <w14:solidFill>
              <w14:schemeClr w14:val="tx1"/>
            </w14:solidFill>
          </w14:textFill>
        </w:rPr>
        <w:t>个园区获批省级服务业集聚区，</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濉溪县</w:t>
      </w:r>
      <w:r>
        <w:rPr>
          <w:rFonts w:hint="default" w:ascii="Times New Roman" w:hAnsi="Times New Roman" w:eastAsia="仿宋_GB2312" w:cs="Times New Roman"/>
          <w:color w:val="000000" w:themeColor="text1"/>
          <w:sz w:val="32"/>
          <w:szCs w:val="32"/>
          <w14:textFill>
            <w14:solidFill>
              <w14:schemeClr w14:val="tx1"/>
            </w14:solidFill>
          </w14:textFill>
        </w:rPr>
        <w:t>电子商务产业园获批省级服务业集聚示范区。</w:t>
      </w:r>
    </w:p>
    <w:p>
      <w:pPr>
        <w:pStyle w:val="5"/>
        <w:keepNext w:val="0"/>
        <w:keepLines w:val="0"/>
        <w:spacing w:before="0" w:after="0" w:line="560" w:lineRule="exact"/>
        <w:ind w:firstLine="643" w:firstLineChars="200"/>
        <w:rPr>
          <w:rFonts w:hint="default" w:ascii="Times New Roman" w:hAnsi="Times New Roman" w:eastAsia="楷体_GB2312" w:cs="Times New Roman"/>
          <w:color w:val="000000" w:themeColor="text1"/>
          <w14:textFill>
            <w14:solidFill>
              <w14:schemeClr w14:val="tx1"/>
            </w14:solidFill>
          </w14:textFill>
        </w:rPr>
      </w:pPr>
      <w:bookmarkStart w:id="12" w:name="_Toc9326"/>
      <w:bookmarkStart w:id="13" w:name="_Toc83296371"/>
      <w:bookmarkStart w:id="14" w:name="_Toc13023"/>
      <w:r>
        <w:rPr>
          <w:rFonts w:hint="default" w:ascii="Times New Roman" w:hAnsi="Times New Roman" w:eastAsia="楷体_GB2312" w:cs="Times New Roman"/>
          <w:color w:val="000000" w:themeColor="text1"/>
          <w14:textFill>
            <w14:solidFill>
              <w14:schemeClr w14:val="tx1"/>
            </w14:solidFill>
          </w14:textFill>
        </w:rPr>
        <w:t>（二）商贸流通业实现快速发展</w:t>
      </w:r>
      <w:bookmarkEnd w:id="12"/>
      <w:bookmarkEnd w:id="13"/>
      <w:bookmarkEnd w:id="14"/>
    </w:p>
    <w:p>
      <w:pPr>
        <w:spacing w:line="56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十三五”期间，濉溪县出台了《濉溪县加快发展现代服务业若干政策》《加快发展电子商务产业的实施意见》等一系列促消费、稳增长、调结构、惠民生政策。截止2020年底，濉溪县在统限额以上企业180家，社会消费品零售总额从2016年的86.6亿元提高到2020年的140.8亿元，年均增长11%。濉溪大市场、柳孜文化园等一批大型商业设施建成运营；翔宇物流、东风物流、中瑞农产品冷链物流、顺达物流配送等物流体系快速发展；社区商业快速发展，便利店、维修店、美容美发店、早餐店等各类社区便民服务商业逐步完善</w:t>
      </w:r>
      <w:r>
        <w:rPr>
          <w:rFonts w:hint="default" w:ascii="Times New Roman" w:hAnsi="Times New Roman" w:eastAsia="宋体" w:cs="Times New Roman"/>
          <w:color w:val="000000" w:themeColor="text1"/>
          <w:sz w:val="32"/>
          <w:szCs w:val="32"/>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仅2020年全县新增营业面积19.3万平方米，进一步夯实了商贸流通基础。</w:t>
      </w:r>
    </w:p>
    <w:p>
      <w:pPr>
        <w:pStyle w:val="5"/>
        <w:keepNext w:val="0"/>
        <w:keepLines w:val="0"/>
        <w:spacing w:before="0" w:after="0" w:line="560" w:lineRule="exact"/>
        <w:ind w:firstLine="643" w:firstLineChars="200"/>
        <w:rPr>
          <w:rFonts w:hint="default" w:ascii="Times New Roman" w:hAnsi="Times New Roman" w:eastAsia="楷体_GB2312" w:cs="Times New Roman"/>
          <w:color w:val="000000" w:themeColor="text1"/>
          <w14:textFill>
            <w14:solidFill>
              <w14:schemeClr w14:val="tx1"/>
            </w14:solidFill>
          </w14:textFill>
        </w:rPr>
      </w:pPr>
      <w:bookmarkStart w:id="15" w:name="_Toc83296372"/>
      <w:bookmarkStart w:id="16" w:name="_Toc28478"/>
      <w:bookmarkStart w:id="17" w:name="_Toc12100"/>
      <w:r>
        <w:rPr>
          <w:rFonts w:hint="default" w:ascii="Times New Roman" w:hAnsi="Times New Roman" w:eastAsia="楷体_GB2312" w:cs="Times New Roman"/>
          <w:color w:val="000000" w:themeColor="text1"/>
          <w14:textFill>
            <w14:solidFill>
              <w14:schemeClr w14:val="tx1"/>
            </w14:solidFill>
          </w14:textFill>
        </w:rPr>
        <w:t>（三）电子商务业保持高速发展</w:t>
      </w:r>
      <w:bookmarkEnd w:id="15"/>
      <w:bookmarkEnd w:id="16"/>
      <w:bookmarkEnd w:id="17"/>
    </w:p>
    <w:p>
      <w:pPr>
        <w:autoSpaceDE w:val="0"/>
        <w:spacing w:line="56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“十三五”以来，全县电子商务</w:t>
      </w:r>
      <w:r>
        <w:rPr>
          <w:rFonts w:hint="default" w:ascii="Times New Roman" w:hAnsi="Times New Roman" w:eastAsia="仿宋_GB2312" w:cs="Times New Roman"/>
          <w:color w:val="000000" w:themeColor="text1"/>
          <w:kern w:val="0"/>
          <w:sz w:val="32"/>
          <w:szCs w:val="32"/>
          <w14:textFill>
            <w14:solidFill>
              <w14:schemeClr w14:val="tx1"/>
            </w14:solidFill>
          </w14:textFill>
        </w:rPr>
        <w:t>市场规模不断扩大，市场主体成长迅速，各领域电子商务普及应用进一步深化，发展环境不断优化，服务支撑体系逐步完善，一二三产业、线上线下、内外贸深度融合，电子商务成为全县加快结构调整、促进产业转型升级的重要引擎，2016年获批全国电子商务进农村综合示范县。</w:t>
      </w:r>
      <w:r>
        <w:rPr>
          <w:rFonts w:hint="default" w:ascii="Times New Roman" w:hAnsi="Times New Roman" w:eastAsia="仿宋_GB2312" w:cs="Times New Roman"/>
          <w:color w:val="000000" w:themeColor="text1"/>
          <w:sz w:val="32"/>
          <w:szCs w:val="32"/>
          <w14:textFill>
            <w14:solidFill>
              <w14:schemeClr w14:val="tx1"/>
            </w14:solidFill>
          </w14:textFill>
        </w:rPr>
        <w:t>“十三五”</w:t>
      </w:r>
      <w:r>
        <w:rPr>
          <w:rFonts w:hint="default" w:ascii="Times New Roman" w:hAnsi="Times New Roman" w:eastAsia="仿宋_GB2312" w:cs="Times New Roman"/>
          <w:color w:val="000000" w:themeColor="text1"/>
          <w:kern w:val="0"/>
          <w:sz w:val="32"/>
          <w:szCs w:val="32"/>
          <w14:textFill>
            <w14:solidFill>
              <w14:schemeClr w14:val="tx1"/>
            </w14:solidFill>
          </w14:textFill>
        </w:rPr>
        <w:t>期间，全县累计实现电子商务交易额42亿元，年均增长40.4%；网销农村产品14.5亿元，年均增长60%。培育电商主体362家，</w:t>
      </w:r>
      <w:r>
        <w:rPr>
          <w:rFonts w:hint="default" w:ascii="Times New Roman" w:hAnsi="Times New Roman" w:eastAsia="仿宋_GB2312" w:cs="Times New Roman"/>
          <w:color w:val="000000" w:themeColor="text1"/>
          <w:sz w:val="32"/>
          <w:szCs w:val="32"/>
          <w14:textFill>
            <w14:solidFill>
              <w14:schemeClr w14:val="tx1"/>
            </w14:solidFill>
          </w14:textFill>
        </w:rPr>
        <w:t>培育县域电商公共品牌2个，打造全国电商品牌1个；全县京东、淘宝等知名电商平台活跃店铺和微商2.9万个，带动4万人就业</w:t>
      </w:r>
      <w:r>
        <w:rPr>
          <w:rFonts w:hint="default" w:ascii="Times New Roman" w:hAnsi="Times New Roman" w:eastAsia="仿宋_GB2312" w:cs="Times New Roman"/>
          <w:color w:val="000000" w:themeColor="text1"/>
          <w:kern w:val="0"/>
          <w:sz w:val="32"/>
          <w:szCs w:val="32"/>
          <w14:textFill>
            <w14:solidFill>
              <w14:schemeClr w14:val="tx1"/>
            </w14:solidFill>
          </w14:textFill>
        </w:rPr>
        <w:t>，仅</w:t>
      </w:r>
      <w:r>
        <w:rPr>
          <w:rFonts w:hint="default" w:ascii="Times New Roman" w:hAnsi="Times New Roman" w:eastAsia="仿宋_GB2312" w:cs="Times New Roman"/>
          <w:color w:val="000000" w:themeColor="text1"/>
          <w:sz w:val="32"/>
          <w:szCs w:val="32"/>
          <w14:textFill>
            <w14:solidFill>
              <w14:schemeClr w14:val="tx1"/>
            </w14:solidFill>
          </w14:textFill>
        </w:rPr>
        <w:t>2020年</w:t>
      </w:r>
      <w:r>
        <w:rPr>
          <w:rFonts w:hint="default" w:ascii="Times New Roman" w:hAnsi="Times New Roman" w:eastAsia="仿宋_GB2312" w:cs="Times New Roman"/>
          <w:color w:val="000000" w:themeColor="text1"/>
          <w:kern w:val="0"/>
          <w:sz w:val="32"/>
          <w:szCs w:val="32"/>
          <w14:textFill>
            <w14:solidFill>
              <w14:schemeClr w14:val="tx1"/>
            </w14:solidFill>
          </w14:textFill>
        </w:rPr>
        <w:t>就创成4个省级电商示范村，培育3个年网销额超1000万元省级重点企业、3个年网销额超100万元省级农村电商品牌</w:t>
      </w:r>
      <w:r>
        <w:rPr>
          <w:rFonts w:hint="default" w:ascii="Times New Roman" w:hAnsi="Times New Roman" w:eastAsia="仿宋_GB2312" w:cs="Times New Roman"/>
          <w:color w:val="000000" w:themeColor="text1"/>
          <w:sz w:val="32"/>
          <w:szCs w:val="32"/>
          <w14:textFill>
            <w14:solidFill>
              <w14:schemeClr w14:val="tx1"/>
            </w14:solidFill>
          </w14:textFill>
        </w:rPr>
        <w:t>。</w:t>
      </w:r>
    </w:p>
    <w:p>
      <w:pPr>
        <w:pStyle w:val="5"/>
        <w:keepNext w:val="0"/>
        <w:keepLines w:val="0"/>
        <w:spacing w:before="0" w:after="0" w:line="560" w:lineRule="exact"/>
        <w:ind w:firstLine="643" w:firstLineChars="200"/>
        <w:rPr>
          <w:rFonts w:hint="default" w:ascii="Times New Roman" w:hAnsi="Times New Roman" w:eastAsia="楷体_GB2312" w:cs="Times New Roman"/>
          <w:color w:val="000000" w:themeColor="text1"/>
          <w14:textFill>
            <w14:solidFill>
              <w14:schemeClr w14:val="tx1"/>
            </w14:solidFill>
          </w14:textFill>
        </w:rPr>
      </w:pPr>
      <w:bookmarkStart w:id="18" w:name="_Toc5437"/>
      <w:bookmarkStart w:id="19" w:name="_Toc83296373"/>
      <w:bookmarkStart w:id="20" w:name="_Toc539"/>
      <w:r>
        <w:rPr>
          <w:rFonts w:hint="default" w:ascii="Times New Roman" w:hAnsi="Times New Roman" w:eastAsia="楷体_GB2312" w:cs="Times New Roman"/>
          <w:color w:val="000000" w:themeColor="text1"/>
          <w14:textFill>
            <w14:solidFill>
              <w14:schemeClr w14:val="tx1"/>
            </w14:solidFill>
          </w14:textFill>
        </w:rPr>
        <w:t>（四）金融服务业功能持续强化</w:t>
      </w:r>
      <w:bookmarkEnd w:id="18"/>
      <w:bookmarkEnd w:id="19"/>
      <w:bookmarkEnd w:id="20"/>
    </w:p>
    <w:p>
      <w:pPr>
        <w:spacing w:line="56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“十三五”以来，</w:t>
      </w:r>
      <w:r>
        <w:rPr>
          <w:rFonts w:hint="default" w:ascii="Times New Roman" w:hAnsi="Times New Roman" w:eastAsia="仿宋_GB2312" w:cs="Times New Roman"/>
          <w:color w:val="000000" w:themeColor="text1"/>
          <w:kern w:val="0"/>
          <w:sz w:val="32"/>
          <w:szCs w:val="32"/>
          <w14:textFill>
            <w14:solidFill>
              <w14:schemeClr w14:val="tx1"/>
            </w14:solidFill>
          </w14:textFill>
        </w:rPr>
        <w:t>全县下发了《关于发挥财政引导作用支持中小企业和“三农”发展的实施意见》《关于进一步促进金融业发展的意见》等一系列文件。同时依托皖北融资中心，加强中小企业融资服务，拓宽融资渠道，提高直接融资比重。到2020年末，全县在“新三板”和区域四板挂牌企业总数已达57家，仅2020年当年就有12家企业挂牌</w:t>
      </w:r>
      <w:r>
        <w:rPr>
          <w:rFonts w:hint="default" w:ascii="Times New Roman" w:hAnsi="Times New Roman" w:eastAsia="宋体" w:cs="Times New Roman"/>
          <w:color w:val="000000" w:themeColor="text1"/>
          <w:kern w:val="0"/>
          <w:sz w:val="32"/>
          <w:szCs w:val="32"/>
          <w14:textFill>
            <w14:solidFill>
              <w14:schemeClr w14:val="tx1"/>
            </w14:solidFill>
          </w14:textFill>
        </w:rPr>
        <w:t>，</w:t>
      </w:r>
      <w:r>
        <w:rPr>
          <w:rFonts w:hint="default" w:ascii="Times New Roman" w:hAnsi="Times New Roman" w:eastAsia="仿宋_GB2312" w:cs="Times New Roman"/>
          <w:color w:val="000000" w:themeColor="text1"/>
          <w:kern w:val="0"/>
          <w:sz w:val="32"/>
          <w:szCs w:val="32"/>
          <w14:textFill>
            <w14:solidFill>
              <w14:schemeClr w14:val="tx1"/>
            </w14:solidFill>
          </w14:textFill>
        </w:rPr>
        <w:t>全县共有银行业金融机构12家，政策性融资担保公司2家。2020年末全县银行业存款余额540.03亿元，比年初增加44.6亿元，增长9%；全县贷款余额374.08亿元</w:t>
      </w:r>
      <w:r>
        <w:rPr>
          <w:rFonts w:hint="default" w:ascii="Times New Roman" w:hAnsi="Times New Roman" w:eastAsia="宋体" w:cs="Times New Roman"/>
          <w:color w:val="000000" w:themeColor="text1"/>
          <w:kern w:val="0"/>
          <w:sz w:val="32"/>
          <w:szCs w:val="32"/>
          <w14:textFill>
            <w14:solidFill>
              <w14:schemeClr w14:val="tx1"/>
            </w14:solidFill>
          </w14:textFill>
        </w:rPr>
        <w:t>，</w:t>
      </w:r>
      <w:r>
        <w:rPr>
          <w:rFonts w:hint="default" w:ascii="Times New Roman" w:hAnsi="Times New Roman" w:eastAsia="仿宋_GB2312" w:cs="Times New Roman"/>
          <w:color w:val="000000" w:themeColor="text1"/>
          <w:kern w:val="0"/>
          <w:sz w:val="32"/>
          <w:szCs w:val="32"/>
          <w14:textFill>
            <w14:solidFill>
              <w14:schemeClr w14:val="tx1"/>
            </w14:solidFill>
          </w14:textFill>
        </w:rPr>
        <w:t>增加70.14亿元，增长23.08%；实现税收1.7715亿元。</w:t>
      </w:r>
    </w:p>
    <w:p>
      <w:pPr>
        <w:pStyle w:val="5"/>
        <w:keepNext w:val="0"/>
        <w:keepLines w:val="0"/>
        <w:spacing w:before="0" w:after="0" w:line="560" w:lineRule="exact"/>
        <w:ind w:firstLine="643" w:firstLineChars="200"/>
        <w:rPr>
          <w:rFonts w:hint="default" w:ascii="Times New Roman" w:hAnsi="Times New Roman" w:eastAsia="楷体_GB2312" w:cs="Times New Roman"/>
          <w:color w:val="000000" w:themeColor="text1"/>
          <w14:textFill>
            <w14:solidFill>
              <w14:schemeClr w14:val="tx1"/>
            </w14:solidFill>
          </w14:textFill>
        </w:rPr>
      </w:pPr>
      <w:bookmarkStart w:id="21" w:name="_Toc4948"/>
      <w:bookmarkStart w:id="22" w:name="_Toc83296374"/>
      <w:bookmarkStart w:id="23" w:name="_Toc14916"/>
      <w:r>
        <w:rPr>
          <w:rFonts w:hint="default" w:ascii="Times New Roman" w:hAnsi="Times New Roman" w:eastAsia="楷体_GB2312" w:cs="Times New Roman"/>
          <w:color w:val="000000" w:themeColor="text1"/>
          <w14:textFill>
            <w14:solidFill>
              <w14:schemeClr w14:val="tx1"/>
            </w14:solidFill>
          </w14:textFill>
        </w:rPr>
        <w:t>（五）科技服务业发展势头强劲</w:t>
      </w:r>
      <w:bookmarkEnd w:id="21"/>
      <w:bookmarkEnd w:id="22"/>
      <w:bookmarkEnd w:id="23"/>
    </w:p>
    <w:p>
      <w:pPr>
        <w:pStyle w:val="7"/>
        <w:spacing w:after="0" w:line="560" w:lineRule="exact"/>
        <w:ind w:firstLine="640" w:firstLineChars="200"/>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“十三五”期间，</w:t>
      </w:r>
      <w:r>
        <w:rPr>
          <w:rFonts w:hint="default" w:ascii="Times New Roman" w:hAnsi="Times New Roman" w:eastAsia="仿宋_GB2312" w:cs="Times New Roman"/>
          <w:color w:val="000000" w:themeColor="text1"/>
          <w:kern w:val="0"/>
          <w:sz w:val="32"/>
          <w:szCs w:val="32"/>
          <w14:textFill>
            <w14:solidFill>
              <w14:schemeClr w14:val="tx1"/>
            </w14:solidFill>
          </w14:textFill>
        </w:rPr>
        <w:t>创新型园区建设取得较大进展。濉溪经济开发区铝基复合材料特色产业基地获批2018年第一批国家火炬特色基地。濉溪百善现代农业综合开发示范区获批省级农业科技园区；孵化器、众创空间建设取得新突破，濉溪经济开发区创业服务中心入选省科技企业孵化器名单，淮海壹号众创空间跻身省级众创空间，全县创新创业环境进一步优化；研发机构建设取得新成果，2017以来备案市级工程技术研究中心17家。“十三五”期间全县发明专利申请量为2083件，拥有有效发明专利273件，每万人口有效发明专利拥有量2.44件。</w:t>
      </w:r>
    </w:p>
    <w:p>
      <w:pPr>
        <w:pStyle w:val="5"/>
        <w:keepNext w:val="0"/>
        <w:keepLines w:val="0"/>
        <w:spacing w:before="0" w:after="0" w:line="560" w:lineRule="exact"/>
        <w:ind w:firstLine="643" w:firstLineChars="200"/>
        <w:rPr>
          <w:rFonts w:hint="default" w:ascii="Times New Roman" w:hAnsi="Times New Roman" w:eastAsia="楷体_GB2312" w:cs="Times New Roman"/>
          <w:color w:val="000000" w:themeColor="text1"/>
          <w14:textFill>
            <w14:solidFill>
              <w14:schemeClr w14:val="tx1"/>
            </w14:solidFill>
          </w14:textFill>
        </w:rPr>
      </w:pPr>
      <w:bookmarkStart w:id="24" w:name="_Toc32442"/>
      <w:bookmarkStart w:id="25" w:name="_Toc83296375"/>
      <w:bookmarkStart w:id="26" w:name="_Toc9592"/>
      <w:r>
        <w:rPr>
          <w:rFonts w:hint="default" w:ascii="Times New Roman" w:hAnsi="Times New Roman" w:eastAsia="楷体_GB2312" w:cs="Times New Roman"/>
          <w:color w:val="000000" w:themeColor="text1"/>
          <w14:textFill>
            <w14:solidFill>
              <w14:schemeClr w14:val="tx1"/>
            </w14:solidFill>
          </w14:textFill>
        </w:rPr>
        <w:t>（六）文化和旅游业协调发展</w:t>
      </w:r>
      <w:bookmarkEnd w:id="24"/>
      <w:bookmarkEnd w:id="25"/>
      <w:bookmarkEnd w:id="26"/>
    </w:p>
    <w:p>
      <w:pPr>
        <w:pStyle w:val="7"/>
        <w:spacing w:after="0" w:line="560" w:lineRule="exact"/>
        <w:ind w:firstLine="640" w:firstLineChars="200"/>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“十三五”期间，坚持</w:t>
      </w:r>
      <w:r>
        <w:rPr>
          <w:rFonts w:hint="default" w:ascii="Times New Roman" w:hAnsi="Times New Roman" w:eastAsia="仿宋_GB2312" w:cs="Times New Roman"/>
          <w:color w:val="000000" w:themeColor="text1"/>
          <w:kern w:val="0"/>
          <w:sz w:val="32"/>
          <w:szCs w:val="32"/>
          <w14:textFill>
            <w14:solidFill>
              <w14:schemeClr w14:val="tx1"/>
            </w14:solidFill>
          </w14:textFill>
        </w:rPr>
        <w:t>强化规划编制，引导旅游消费需求，培育旅游消费热点。编制了《大运河柳孜运河遗址保护管理规划》《古城汉墓保护规划》《濉溪老城石板街历史街区保护与更新项目》等规划方案。成功举办首届柳孜大运河文化艺术节，首届运河流域鼓书曲艺展演等系列文化宣传活动，被授予“安徽省曲艺之乡”。大力整合全县乡村旅游资源，以农业休闲旅游和爱国主义教育为特色，开发建设大运河文化带和红色文化旅游线路项目，争创柳江口4A旅游景区，培育特色旅游品牌。柳孜文化园、隋堤景区先后被评为国家3A级旅游景区。韩村镇淮海村、百善镇柳孜村被评为省级乡村旅游示范村；在安徽乡村旅游“百村”营销行动上，淮海村、柳孜村入选皖美乡村旅游线路；百善镇柳孜村入选第五批“安徽省千年古村落地名文化遗产”名录等。</w:t>
      </w:r>
    </w:p>
    <w:p>
      <w:pPr>
        <w:pStyle w:val="5"/>
        <w:keepNext w:val="0"/>
        <w:keepLines w:val="0"/>
        <w:spacing w:before="0" w:after="0" w:line="560" w:lineRule="exact"/>
        <w:ind w:firstLine="643" w:firstLineChars="200"/>
        <w:rPr>
          <w:rFonts w:hint="default" w:ascii="Times New Roman" w:hAnsi="Times New Roman" w:eastAsia="楷体_GB2312" w:cs="Times New Roman"/>
          <w:color w:val="000000" w:themeColor="text1"/>
          <w14:textFill>
            <w14:solidFill>
              <w14:schemeClr w14:val="tx1"/>
            </w14:solidFill>
          </w14:textFill>
        </w:rPr>
      </w:pPr>
      <w:bookmarkStart w:id="27" w:name="_Toc27256"/>
      <w:bookmarkStart w:id="28" w:name="_Toc83296376"/>
      <w:bookmarkStart w:id="29" w:name="_Toc14083"/>
      <w:r>
        <w:rPr>
          <w:rFonts w:hint="default" w:ascii="Times New Roman" w:hAnsi="Times New Roman" w:eastAsia="楷体_GB2312" w:cs="Times New Roman"/>
          <w:color w:val="000000" w:themeColor="text1"/>
          <w14:textFill>
            <w14:solidFill>
              <w14:schemeClr w14:val="tx1"/>
            </w14:solidFill>
          </w14:textFill>
        </w:rPr>
        <w:t>（七）重点项目建设推进顺利</w:t>
      </w:r>
      <w:bookmarkEnd w:id="27"/>
      <w:bookmarkEnd w:id="28"/>
      <w:bookmarkEnd w:id="29"/>
    </w:p>
    <w:p>
      <w:pPr>
        <w:spacing w:line="560" w:lineRule="exact"/>
        <w:ind w:firstLine="640" w:firstLineChars="200"/>
        <w:rPr>
          <w:rFonts w:hint="default" w:ascii="Times New Roman" w:hAnsi="Times New Roman" w:eastAsia="仿宋_GB2312" w:cs="Times New Roman"/>
          <w:smallCaps/>
          <w:color w:val="000000" w:themeColor="text1"/>
          <w:sz w:val="32"/>
          <w:szCs w:val="32"/>
          <w14:textFill>
            <w14:solidFill>
              <w14:schemeClr w14:val="tx1"/>
            </w14:solidFill>
          </w14:textFill>
        </w:rPr>
      </w:pPr>
      <w:r>
        <w:rPr>
          <w:rFonts w:hint="default" w:ascii="Times New Roman" w:hAnsi="Times New Roman" w:eastAsia="仿宋_GB2312" w:cs="Times New Roman"/>
          <w:smallCaps/>
          <w:color w:val="000000" w:themeColor="text1"/>
          <w:sz w:val="32"/>
          <w:szCs w:val="32"/>
          <w14:textFill>
            <w14:solidFill>
              <w14:schemeClr w14:val="tx1"/>
            </w14:solidFill>
          </w14:textFill>
        </w:rPr>
        <w:t>“十三五”时期，加快推进现代物流、金融服务、电子商务、现代商贸、文化旅游</w:t>
      </w:r>
      <w:r>
        <w:rPr>
          <w:rFonts w:hint="default" w:ascii="Times New Roman" w:hAnsi="Times New Roman" w:eastAsia="仿宋_GB2312" w:cs="Times New Roman"/>
          <w:smallCaps/>
          <w:color w:val="000000" w:themeColor="text1"/>
          <w:sz w:val="32"/>
          <w:szCs w:val="32"/>
          <w:highlight w:val="none"/>
          <w14:textFill>
            <w14:solidFill>
              <w14:schemeClr w14:val="tx1"/>
            </w14:solidFill>
          </w14:textFill>
        </w:rPr>
        <w:t>、房地产等领域重点项目建设。濉溪县电子商务公共服务平台已建成运营；现代商贸中瑞农产品批发市场迁址改造升级工程顺利推进</w:t>
      </w:r>
      <w:r>
        <w:rPr>
          <w:rFonts w:hint="default" w:ascii="Times New Roman" w:hAnsi="Times New Roman" w:eastAsia="仿宋_GB2312" w:cs="Times New Roman"/>
          <w:smallCaps/>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smallCaps/>
          <w:color w:val="000000" w:themeColor="text1"/>
          <w:sz w:val="32"/>
          <w:szCs w:val="32"/>
          <w:highlight w:val="none"/>
          <w14:textFill>
            <w14:solidFill>
              <w14:schemeClr w14:val="tx1"/>
            </w14:solidFill>
          </w14:textFill>
        </w:rPr>
        <w:t>文化</w:t>
      </w:r>
      <w:r>
        <w:rPr>
          <w:rFonts w:hint="default" w:ascii="Times New Roman" w:hAnsi="Times New Roman" w:eastAsia="仿宋_GB2312" w:cs="Times New Roman"/>
          <w:smallCaps/>
          <w:color w:val="000000" w:themeColor="text1"/>
          <w:sz w:val="32"/>
          <w:szCs w:val="32"/>
          <w14:textFill>
            <w14:solidFill>
              <w14:schemeClr w14:val="tx1"/>
            </w14:solidFill>
          </w14:textFill>
        </w:rPr>
        <w:t>旅游中柳孜运河遗址柳江口文化园一期二期已建成开园迎客、濉溪县老城石板街历史街区保护与更新项目文物改造及更新完成90%、临涣古城和临涣文昌宫修建正进行招标、韩村小李庄项目正在建设百荣园，博物馆提升工程正在进行前期工作、口子文化博览园已建成运营；房地产项目中</w:t>
      </w:r>
      <w:r>
        <w:rPr>
          <w:rFonts w:hint="default" w:ascii="Times New Roman" w:hAnsi="Times New Roman" w:eastAsia="仿宋_GB2312" w:cs="Times New Roman"/>
          <w:smallCaps/>
          <w:color w:val="000000" w:themeColor="text1"/>
          <w:sz w:val="32"/>
          <w:szCs w:val="32"/>
          <w:highlight w:val="none"/>
          <w:lang w:eastAsia="zh-CN"/>
          <w14:textFill>
            <w14:solidFill>
              <w14:schemeClr w14:val="tx1"/>
            </w14:solidFill>
          </w14:textFill>
        </w:rPr>
        <w:t>南湖水岸</w:t>
      </w:r>
      <w:r>
        <w:rPr>
          <w:rFonts w:hint="default" w:ascii="Times New Roman" w:hAnsi="Times New Roman" w:eastAsia="仿宋_GB2312" w:cs="Times New Roman"/>
          <w:smallCaps/>
          <w:color w:val="000000" w:themeColor="text1"/>
          <w:sz w:val="32"/>
          <w:szCs w:val="32"/>
          <w14:textFill>
            <w14:solidFill>
              <w14:schemeClr w14:val="tx1"/>
            </w14:solidFill>
          </w14:textFill>
        </w:rPr>
        <w:t>、御溪荣境等项目已竣工；金融服务项目等推进顺利。</w:t>
      </w:r>
    </w:p>
    <w:p>
      <w:pPr>
        <w:pStyle w:val="5"/>
        <w:keepNext w:val="0"/>
        <w:keepLines w:val="0"/>
        <w:spacing w:before="0" w:after="0" w:line="560" w:lineRule="exact"/>
        <w:ind w:firstLine="643" w:firstLineChars="200"/>
        <w:rPr>
          <w:rFonts w:hint="default" w:ascii="Times New Roman" w:hAnsi="Times New Roman" w:eastAsia="楷体_GB2312" w:cs="Times New Roman"/>
          <w:color w:val="000000" w:themeColor="text1"/>
          <w14:textFill>
            <w14:solidFill>
              <w14:schemeClr w14:val="tx1"/>
            </w14:solidFill>
          </w14:textFill>
        </w:rPr>
      </w:pPr>
      <w:bookmarkStart w:id="30" w:name="_Toc7775"/>
      <w:bookmarkStart w:id="31" w:name="_Toc16545"/>
      <w:bookmarkStart w:id="32" w:name="_Toc83296377"/>
      <w:r>
        <w:rPr>
          <w:rFonts w:hint="default" w:ascii="Times New Roman" w:hAnsi="Times New Roman" w:eastAsia="楷体_GB2312" w:cs="Times New Roman"/>
          <w:color w:val="000000" w:themeColor="text1"/>
          <w14:textFill>
            <w14:solidFill>
              <w14:schemeClr w14:val="tx1"/>
            </w14:solidFill>
          </w14:textFill>
        </w:rPr>
        <w:t>（八）存在的不足</w:t>
      </w:r>
      <w:bookmarkEnd w:id="30"/>
      <w:bookmarkEnd w:id="31"/>
      <w:bookmarkEnd w:id="32"/>
    </w:p>
    <w:p>
      <w:pPr>
        <w:pStyle w:val="7"/>
        <w:spacing w:after="0" w:line="560" w:lineRule="exact"/>
        <w:ind w:firstLine="640" w:firstLineChars="200"/>
        <w:rPr>
          <w:rFonts w:hint="default" w:ascii="Times New Roman" w:hAnsi="Times New Roman" w:eastAsia="仿宋_GB2312" w:cs="Times New Roman"/>
          <w:smallCaps/>
          <w:color w:val="000000" w:themeColor="text1"/>
          <w:sz w:val="32"/>
          <w:szCs w:val="32"/>
          <w14:textFill>
            <w14:solidFill>
              <w14:schemeClr w14:val="tx1"/>
            </w14:solidFill>
          </w14:textFill>
        </w:rPr>
      </w:pPr>
      <w:r>
        <w:rPr>
          <w:rFonts w:hint="default" w:ascii="Times New Roman" w:hAnsi="Times New Roman" w:eastAsia="仿宋_GB2312" w:cs="Times New Roman"/>
          <w:smallCaps/>
          <w:color w:val="000000" w:themeColor="text1"/>
          <w:sz w:val="32"/>
          <w:szCs w:val="32"/>
          <w14:textFill>
            <w14:solidFill>
              <w14:schemeClr w14:val="tx1"/>
            </w14:solidFill>
          </w14:textFill>
        </w:rPr>
        <w:t>“十三五”期间，濉溪县服务业虽然取得了较快发展，但</w:t>
      </w:r>
      <w:r>
        <w:rPr>
          <w:rFonts w:hint="default" w:ascii="Times New Roman" w:hAnsi="Times New Roman" w:eastAsia="仿宋_GB2312" w:cs="Times New Roman"/>
          <w:smallCaps/>
          <w:color w:val="000000" w:themeColor="text1"/>
          <w:sz w:val="32"/>
          <w:szCs w:val="32"/>
          <w:lang w:val="en-US" w:eastAsia="zh-CN"/>
          <w14:textFill>
            <w14:solidFill>
              <w14:schemeClr w14:val="tx1"/>
            </w14:solidFill>
          </w14:textFill>
        </w:rPr>
        <w:t>存在</w:t>
      </w:r>
      <w:r>
        <w:rPr>
          <w:rFonts w:hint="default" w:ascii="Times New Roman" w:hAnsi="Times New Roman" w:eastAsia="仿宋_GB2312" w:cs="Times New Roman"/>
          <w:smallCaps/>
          <w:color w:val="000000" w:themeColor="text1"/>
          <w:sz w:val="32"/>
          <w:szCs w:val="32"/>
          <w14:textFill>
            <w14:solidFill>
              <w14:schemeClr w14:val="tx1"/>
            </w14:solidFill>
          </w14:textFill>
        </w:rPr>
        <w:t>在规模体量上和在三次产业占比上仍然偏小等一些问题。2020年全县服务业增加值占GDP比重39.6%，较同期全国（54.5%）、全省（51.3%）、全市（51.1%）的差距比较明显，较全省十强县中排名相临近的巢湖市（54.0%）也明显偏低。服务业同时存在企业数量少、规模小的问题，截至2020年底，全县在统参与GDP核算服务业企业17家（淮北市共88家），其中营业收入超千万的仅3家（淮北市共29家），而且服务业企业主要集中在租赁商务等传统服务业，信息传输软件技术、咨询、科学技术、金融等现代服务业较少，研发、设计、电子商务、文化创意等领域多数依然空白。从分布看，服务业企业主要集中在濉溪镇，其他大部分镇（园区）依然没有符合入统条件的企业。从商贸发展上看，2020年销售额过亿元的商贸企业仅3家，由于长期以来县城与淮北市市区同城发展，致使目前全县尚无大型特色街区商业综合体和五星级酒店。2020年全县限上单位零售额20.5亿元，占社会消费品零售总额比重14.6%，低于全省县（市）平均1.6个百分点，低于全市9.8个百分点。基础设施正加快完善，但</w:t>
      </w:r>
      <w:r>
        <w:rPr>
          <w:rFonts w:hint="default" w:ascii="Times New Roman" w:hAnsi="Times New Roman" w:eastAsia="仿宋_GB2312" w:cs="Times New Roman"/>
          <w:color w:val="000000" w:themeColor="text1"/>
          <w:sz w:val="32"/>
          <w:szCs w:val="32"/>
          <w14:textFill>
            <w14:solidFill>
              <w14:schemeClr w14:val="tx1"/>
            </w14:solidFill>
          </w14:textFill>
        </w:rPr>
        <w:t>商贸物流企业过于分散，</w:t>
      </w:r>
      <w:r>
        <w:rPr>
          <w:rFonts w:hint="default" w:ascii="Times New Roman" w:hAnsi="Times New Roman" w:eastAsia="仿宋_GB2312" w:cs="Times New Roman"/>
          <w:smallCaps/>
          <w:color w:val="000000" w:themeColor="text1"/>
          <w:sz w:val="32"/>
          <w:szCs w:val="32"/>
          <w14:textFill>
            <w14:solidFill>
              <w14:schemeClr w14:val="tx1"/>
            </w14:solidFill>
          </w14:textFill>
        </w:rPr>
        <w:t>综合配套有待完善，</w:t>
      </w:r>
      <w:r>
        <w:rPr>
          <w:rFonts w:hint="default" w:ascii="Times New Roman" w:hAnsi="Times New Roman" w:eastAsia="仿宋_GB2312" w:cs="Times New Roman"/>
          <w:color w:val="000000" w:themeColor="text1"/>
          <w:sz w:val="32"/>
          <w:szCs w:val="32"/>
          <w14:textFill>
            <w14:solidFill>
              <w14:schemeClr w14:val="tx1"/>
            </w14:solidFill>
          </w14:textFill>
        </w:rPr>
        <w:t>运输成本仍然较高。</w:t>
      </w:r>
    </w:p>
    <w:p>
      <w:pPr>
        <w:pStyle w:val="4"/>
        <w:keepNext w:val="0"/>
        <w:keepLines w:val="0"/>
        <w:spacing w:before="0" w:after="0" w:line="560" w:lineRule="exact"/>
        <w:ind w:firstLine="640" w:firstLineChars="200"/>
        <w:rPr>
          <w:rFonts w:hint="default" w:ascii="Times New Roman" w:hAnsi="Times New Roman" w:eastAsia="黑体" w:cs="Times New Roman"/>
          <w:b w:val="0"/>
          <w:bCs w:val="0"/>
          <w:color w:val="000000" w:themeColor="text1"/>
          <w14:textFill>
            <w14:solidFill>
              <w14:schemeClr w14:val="tx1"/>
            </w14:solidFill>
          </w14:textFill>
        </w:rPr>
      </w:pPr>
      <w:bookmarkStart w:id="33" w:name="_Toc18541"/>
      <w:bookmarkStart w:id="34" w:name="_Toc5125"/>
      <w:bookmarkStart w:id="35" w:name="_Toc83296378"/>
      <w:r>
        <w:rPr>
          <w:rFonts w:hint="default" w:ascii="Times New Roman" w:hAnsi="Times New Roman" w:eastAsia="黑体" w:cs="Times New Roman"/>
          <w:b w:val="0"/>
          <w:bCs w:val="0"/>
          <w:color w:val="000000" w:themeColor="text1"/>
          <w14:textFill>
            <w14:solidFill>
              <w14:schemeClr w14:val="tx1"/>
            </w14:solidFill>
          </w14:textFill>
        </w:rPr>
        <w:t>二、面临的环境</w:t>
      </w:r>
      <w:bookmarkEnd w:id="33"/>
      <w:bookmarkEnd w:id="34"/>
      <w:bookmarkEnd w:id="35"/>
    </w:p>
    <w:p>
      <w:pPr>
        <w:spacing w:line="560" w:lineRule="exact"/>
        <w:ind w:firstLine="640" w:firstLineChars="200"/>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仿宋_GB2312" w:cs="Times New Roman"/>
          <w:color w:val="000000" w:themeColor="text1"/>
          <w:kern w:val="0"/>
          <w:sz w:val="32"/>
          <w:szCs w:val="32"/>
          <w14:textFill>
            <w14:solidFill>
              <w14:schemeClr w14:val="tx1"/>
            </w14:solidFill>
          </w14:textFill>
        </w:rPr>
        <w:t>“十四五”时期，全球经济格局深度调整，我国开启全面建设</w:t>
      </w:r>
      <w:r>
        <w:rPr>
          <w:rFonts w:hint="eastAsia" w:ascii="Times New Roman" w:hAnsi="Times New Roman" w:eastAsia="仿宋_GB2312" w:cs="Times New Roman"/>
          <w:color w:val="000000" w:themeColor="text1"/>
          <w:kern w:val="0"/>
          <w:sz w:val="32"/>
          <w:szCs w:val="32"/>
          <w:lang w:eastAsia="zh-CN"/>
          <w14:textFill>
            <w14:solidFill>
              <w14:schemeClr w14:val="tx1"/>
            </w14:solidFill>
          </w14:textFill>
        </w:rPr>
        <w:t>社会主义</w:t>
      </w:r>
      <w:bookmarkStart w:id="268" w:name="_GoBack"/>
      <w:bookmarkEnd w:id="268"/>
      <w:r>
        <w:rPr>
          <w:rFonts w:hint="default" w:ascii="Times New Roman" w:hAnsi="Times New Roman" w:eastAsia="仿宋_GB2312" w:cs="Times New Roman"/>
          <w:color w:val="000000" w:themeColor="text1"/>
          <w:kern w:val="0"/>
          <w:sz w:val="32"/>
          <w:szCs w:val="32"/>
          <w14:textFill>
            <w14:solidFill>
              <w14:schemeClr w14:val="tx1"/>
            </w14:solidFill>
          </w14:textFill>
        </w:rPr>
        <w:t>现代化国家新征程，服务业发展面临诸多新机遇，同时存在不少新挑战。</w:t>
      </w:r>
    </w:p>
    <w:p>
      <w:pPr>
        <w:pStyle w:val="5"/>
        <w:keepNext w:val="0"/>
        <w:keepLines w:val="0"/>
        <w:spacing w:before="0" w:after="0" w:line="560" w:lineRule="exact"/>
        <w:ind w:firstLine="643" w:firstLineChars="200"/>
        <w:rPr>
          <w:rFonts w:hint="default" w:ascii="Times New Roman" w:hAnsi="Times New Roman" w:eastAsia="楷体_GB2312" w:cs="Times New Roman"/>
          <w:color w:val="000000" w:themeColor="text1"/>
          <w14:textFill>
            <w14:solidFill>
              <w14:schemeClr w14:val="tx1"/>
            </w14:solidFill>
          </w14:textFill>
        </w:rPr>
      </w:pPr>
      <w:bookmarkStart w:id="36" w:name="_Toc83296379"/>
      <w:bookmarkStart w:id="37" w:name="_Toc28880"/>
      <w:bookmarkStart w:id="38" w:name="_Toc20195"/>
      <w:r>
        <w:rPr>
          <w:rFonts w:hint="default" w:ascii="Times New Roman" w:hAnsi="Times New Roman" w:eastAsia="楷体_GB2312" w:cs="Times New Roman"/>
          <w:color w:val="000000" w:themeColor="text1"/>
          <w14:textFill>
            <w14:solidFill>
              <w14:schemeClr w14:val="tx1"/>
            </w14:solidFill>
          </w14:textFill>
        </w:rPr>
        <w:t>（一）人民对美好生活不断增长的需要为服务业发展注入了新动力</w:t>
      </w:r>
      <w:bookmarkEnd w:id="36"/>
      <w:bookmarkEnd w:id="37"/>
      <w:bookmarkEnd w:id="38"/>
    </w:p>
    <w:p>
      <w:pPr>
        <w:spacing w:line="560" w:lineRule="exact"/>
        <w:ind w:firstLine="640" w:firstLineChars="200"/>
        <w:rPr>
          <w:rFonts w:hint="default" w:ascii="Times New Roman" w:hAnsi="Times New Roman" w:eastAsia="仿宋_GB2312" w:cs="Times New Roman"/>
          <w:smallCaps/>
          <w:color w:val="000000" w:themeColor="text1"/>
          <w:sz w:val="32"/>
          <w:szCs w:val="32"/>
          <w14:textFill>
            <w14:solidFill>
              <w14:schemeClr w14:val="tx1"/>
            </w14:solidFill>
          </w14:textFill>
        </w:rPr>
      </w:pPr>
      <w:bookmarkStart w:id="39" w:name="_Toc83296229"/>
      <w:r>
        <w:rPr>
          <w:rFonts w:hint="default" w:ascii="Times New Roman" w:hAnsi="Times New Roman" w:eastAsia="仿宋_GB2312" w:cs="Times New Roman"/>
          <w:smallCaps/>
          <w:color w:val="000000" w:themeColor="text1"/>
          <w:sz w:val="32"/>
          <w:szCs w:val="32"/>
          <w14:textFill>
            <w14:solidFill>
              <w14:schemeClr w14:val="tx1"/>
            </w14:solidFill>
          </w14:textFill>
        </w:rPr>
        <w:t>不断满足人民对美好生活的需要和向往，是我们党治国理政的出发点和落脚点。随着我国居民收入水平和消费能力日益提升，绿色环保、讲求质量品质、注重文化内涵的生活消费理念快速发展，消费结构不断升级，同时随着碳达峰碳中和约束不断加紧，加快构建服务业为主体的接续替代产业势在必须，这为濉溪县发展文化旅游、体育、健康养老、居民服务、娱乐和其他服务业等迎来了新需求、注入了新动力。</w:t>
      </w:r>
      <w:bookmarkEnd w:id="39"/>
    </w:p>
    <w:p>
      <w:pPr>
        <w:pStyle w:val="5"/>
        <w:keepNext w:val="0"/>
        <w:keepLines w:val="0"/>
        <w:spacing w:before="0" w:after="0" w:line="560" w:lineRule="exact"/>
        <w:ind w:firstLine="643" w:firstLineChars="200"/>
        <w:rPr>
          <w:rFonts w:hint="default" w:ascii="Times New Roman" w:hAnsi="Times New Roman" w:eastAsia="楷体_GB2312" w:cs="Times New Roman"/>
          <w:color w:val="000000" w:themeColor="text1"/>
          <w14:textFill>
            <w14:solidFill>
              <w14:schemeClr w14:val="tx1"/>
            </w14:solidFill>
          </w14:textFill>
        </w:rPr>
      </w:pPr>
      <w:bookmarkStart w:id="40" w:name="_Toc27619"/>
      <w:bookmarkStart w:id="41" w:name="_Toc7784"/>
      <w:bookmarkStart w:id="42" w:name="_Toc83296380"/>
      <w:r>
        <w:rPr>
          <w:rFonts w:hint="default" w:ascii="Times New Roman" w:hAnsi="Times New Roman" w:eastAsia="楷体_GB2312" w:cs="Times New Roman"/>
          <w:color w:val="000000" w:themeColor="text1"/>
          <w14:textFill>
            <w14:solidFill>
              <w14:schemeClr w14:val="tx1"/>
            </w14:solidFill>
          </w14:textFill>
        </w:rPr>
        <w:t>（二）国家战略叠加为服务业发展提供了新契机</w:t>
      </w:r>
      <w:bookmarkEnd w:id="40"/>
      <w:bookmarkEnd w:id="41"/>
      <w:bookmarkEnd w:id="42"/>
    </w:p>
    <w:p>
      <w:pPr>
        <w:spacing w:line="560" w:lineRule="exact"/>
        <w:ind w:firstLine="640" w:firstLineChars="200"/>
        <w:rPr>
          <w:rFonts w:hint="default" w:ascii="Times New Roman" w:hAnsi="Times New Roman" w:eastAsia="仿宋_GB2312" w:cs="Times New Roman"/>
          <w:smallCaps/>
          <w:color w:val="000000" w:themeColor="text1"/>
          <w:sz w:val="32"/>
          <w:szCs w:val="32"/>
          <w14:textFill>
            <w14:solidFill>
              <w14:schemeClr w14:val="tx1"/>
            </w14:solidFill>
          </w14:textFill>
        </w:rPr>
      </w:pPr>
      <w:r>
        <w:rPr>
          <w:rFonts w:hint="default" w:ascii="Times New Roman" w:hAnsi="Times New Roman" w:eastAsia="仿宋_GB2312" w:cs="Times New Roman"/>
          <w:smallCaps/>
          <w:color w:val="000000" w:themeColor="text1"/>
          <w:sz w:val="32"/>
          <w:szCs w:val="32"/>
          <w14:textFill>
            <w14:solidFill>
              <w14:schemeClr w14:val="tx1"/>
            </w14:solidFill>
          </w14:textFill>
        </w:rPr>
        <w:t>国家正在实施“一带一路”、长三角一体化、淮河生态经济带、中原经济区、淮海经济圈等区域发展战略，同时国家加快推进大运河国家文化公园建设，安徽省正在实施皖北振兴发展战略、加快建设皖北承接产业转移集聚区、全力打造皖北“6+2+N”产业承接平台，因此，濉溪县处于国家和省众多重大发展战略的叠加区域，接受各项政策和发展战略辐射，为濉溪县“十四五”时期发挥资源优势、区位优势、城镇化后发优势，培育壮大现代服务业提供了新契机，对濉溪县构建在以国内大循环为主体、国内国际双循环相互促进的新发展格局中展现较大作为具有重要意义。</w:t>
      </w:r>
    </w:p>
    <w:p>
      <w:pPr>
        <w:pStyle w:val="5"/>
        <w:keepNext w:val="0"/>
        <w:keepLines w:val="0"/>
        <w:spacing w:before="0" w:after="0" w:line="560" w:lineRule="exact"/>
        <w:ind w:firstLine="643" w:firstLineChars="200"/>
        <w:rPr>
          <w:rFonts w:hint="default" w:ascii="Times New Roman" w:hAnsi="Times New Roman" w:eastAsia="楷体_GB2312" w:cs="Times New Roman"/>
          <w:color w:val="000000" w:themeColor="text1"/>
          <w14:textFill>
            <w14:solidFill>
              <w14:schemeClr w14:val="tx1"/>
            </w14:solidFill>
          </w14:textFill>
        </w:rPr>
      </w:pPr>
      <w:bookmarkStart w:id="43" w:name="_Toc4650"/>
      <w:bookmarkStart w:id="44" w:name="_Toc83296381"/>
      <w:bookmarkStart w:id="45" w:name="_Toc9707"/>
      <w:r>
        <w:rPr>
          <w:rFonts w:hint="default" w:ascii="Times New Roman" w:hAnsi="Times New Roman" w:eastAsia="楷体_GB2312" w:cs="Times New Roman"/>
          <w:color w:val="000000" w:themeColor="text1"/>
          <w14:textFill>
            <w14:solidFill>
              <w14:schemeClr w14:val="tx1"/>
            </w14:solidFill>
          </w14:textFill>
        </w:rPr>
        <w:t>（三）立体交通网为服务业发展打造了新通道</w:t>
      </w:r>
      <w:bookmarkEnd w:id="43"/>
      <w:bookmarkEnd w:id="44"/>
      <w:bookmarkEnd w:id="45"/>
    </w:p>
    <w:p>
      <w:pPr>
        <w:spacing w:line="560" w:lineRule="exact"/>
        <w:ind w:firstLine="616" w:firstLineChars="200"/>
        <w:rPr>
          <w:rFonts w:ascii="Times New Roman" w:hAnsi="Times New Roman" w:eastAsia="仿宋_GB2312" w:cs="Times New Roman"/>
          <w:smallCaps/>
          <w:color w:val="000000" w:themeColor="text1"/>
          <w:spacing w:val="-6"/>
          <w:sz w:val="32"/>
          <w:szCs w:val="32"/>
          <w14:textFill>
            <w14:solidFill>
              <w14:schemeClr w14:val="tx1"/>
            </w14:solidFill>
          </w14:textFill>
        </w:rPr>
      </w:pPr>
      <w:r>
        <w:rPr>
          <w:rFonts w:hint="default" w:ascii="Times New Roman" w:hAnsi="Times New Roman" w:eastAsia="仿宋_GB2312" w:cs="Times New Roman"/>
          <w:smallCaps/>
          <w:color w:val="000000" w:themeColor="text1"/>
          <w:spacing w:val="-6"/>
          <w:sz w:val="32"/>
          <w:szCs w:val="32"/>
          <w14:textFill>
            <w14:solidFill>
              <w14:schemeClr w14:val="tx1"/>
            </w14:solidFill>
          </w14:textFill>
        </w:rPr>
        <w:t>淮宿蚌城际铁路、淮阜城际铁路、三洋铁路、徐淮阜高速、宿蒙高速、淮永高速等重要区域交通工程项目正加快建设，高铁淮北西站、高铁双堆集站及濉溪通用机场等重大枢纽工程正在建设或加快布局，浍河、沱河等水运航道提升，濉溪将实现等高对接长三角及合肥、徐州都市圈交通网，无缝对接宿州、蚌埠、亳州等周边地区，立体交通网逐渐完善，人流、物流、信息流大通道不断畅通，区位交通优势愈加显现。</w:t>
      </w:r>
    </w:p>
    <w:p>
      <w:pPr>
        <w:pStyle w:val="5"/>
        <w:keepNext w:val="0"/>
        <w:keepLines w:val="0"/>
        <w:spacing w:before="0" w:after="0" w:line="560" w:lineRule="exact"/>
        <w:ind w:firstLine="643" w:firstLineChars="200"/>
        <w:rPr>
          <w:rFonts w:hint="default" w:ascii="Times New Roman" w:hAnsi="Times New Roman" w:eastAsia="楷体_GB2312" w:cs="Times New Roman"/>
          <w:color w:val="000000" w:themeColor="text1"/>
          <w14:textFill>
            <w14:solidFill>
              <w14:schemeClr w14:val="tx1"/>
            </w14:solidFill>
          </w14:textFill>
        </w:rPr>
      </w:pPr>
      <w:bookmarkStart w:id="46" w:name="_Toc10229"/>
      <w:bookmarkStart w:id="47" w:name="_Toc7725"/>
      <w:bookmarkStart w:id="48" w:name="_Toc83296382"/>
      <w:r>
        <w:rPr>
          <w:rFonts w:hint="default" w:ascii="Times New Roman" w:hAnsi="Times New Roman" w:eastAsia="楷体_GB2312" w:cs="Times New Roman"/>
          <w:color w:val="000000" w:themeColor="text1"/>
          <w14:textFill>
            <w14:solidFill>
              <w14:schemeClr w14:val="tx1"/>
            </w14:solidFill>
          </w14:textFill>
        </w:rPr>
        <w:t>（四）新型城镇化为服务业发展开辟了新空间</w:t>
      </w:r>
      <w:bookmarkEnd w:id="46"/>
      <w:bookmarkEnd w:id="47"/>
      <w:bookmarkEnd w:id="48"/>
    </w:p>
    <w:p>
      <w:pPr>
        <w:spacing w:line="560" w:lineRule="exact"/>
        <w:ind w:firstLine="640" w:firstLineChars="200"/>
        <w:rPr>
          <w:rFonts w:hint="default" w:ascii="Times New Roman" w:hAnsi="Times New Roman" w:eastAsia="仿宋_GB2312" w:cs="Times New Roman"/>
          <w:smallCaps/>
          <w:color w:val="000000" w:themeColor="text1"/>
          <w:sz w:val="32"/>
          <w:szCs w:val="32"/>
          <w14:textFill>
            <w14:solidFill>
              <w14:schemeClr w14:val="tx1"/>
            </w14:solidFill>
          </w14:textFill>
        </w:rPr>
      </w:pPr>
      <w:r>
        <w:rPr>
          <w:rFonts w:hint="default" w:ascii="Times New Roman" w:hAnsi="Times New Roman" w:eastAsia="仿宋_GB2312" w:cs="Times New Roman"/>
          <w:smallCaps/>
          <w:color w:val="000000" w:themeColor="text1"/>
          <w:sz w:val="32"/>
          <w:szCs w:val="32"/>
          <w14:textFill>
            <w14:solidFill>
              <w14:schemeClr w14:val="tx1"/>
            </w14:solidFill>
          </w14:textFill>
        </w:rPr>
        <w:t>服务业发展水平与城镇化程度密切相关，2020年濉溪县常住人口城镇化率为45%，与全省和全市的平均值差距较大。按照《濉溪县城市总体规划（2013-2030》提出城市规划区构筑“一城两区、三轴三心、一湖五廊”的一体化空间发展格局，城市发展 “南进西扩”。随着河西商务区、濉溪经开区和濉芜现代产业园区、南部次中心等片区的建设以及濉溪城际铁路站等一批重大基础设施建设，进一步扩大城市商圈辐射范围，各镇</w:t>
      </w:r>
      <w:r>
        <w:rPr>
          <w:rFonts w:hint="default" w:ascii="Times New Roman" w:hAnsi="Times New Roman" w:eastAsia="仿宋_GB2312" w:cs="Times New Roman"/>
          <w:smallCaps/>
          <w:color w:val="000000" w:themeColor="text1"/>
          <w:sz w:val="32"/>
          <w:szCs w:val="32"/>
          <w:highlight w:val="none"/>
          <w14:textFill>
            <w14:solidFill>
              <w14:schemeClr w14:val="tx1"/>
            </w14:solidFill>
          </w14:textFill>
        </w:rPr>
        <w:t>聚焦自身特色优势，大力吸纳多方资源，实施多元发展，逐步形成临涣古镇、百善运河</w:t>
      </w:r>
      <w:r>
        <w:rPr>
          <w:rFonts w:hint="default" w:ascii="Times New Roman" w:hAnsi="Times New Roman" w:eastAsia="仿宋_GB2312" w:cs="Times New Roman"/>
          <w:smallCaps/>
          <w:color w:val="000000" w:themeColor="text1"/>
          <w:sz w:val="32"/>
          <w:szCs w:val="32"/>
          <w:highlight w:val="none"/>
          <w:lang w:eastAsia="zh-CN"/>
          <w14:textFill>
            <w14:solidFill>
              <w14:schemeClr w14:val="tx1"/>
            </w14:solidFill>
          </w14:textFill>
        </w:rPr>
        <w:t>文化</w:t>
      </w:r>
      <w:r>
        <w:rPr>
          <w:rFonts w:hint="default" w:ascii="Times New Roman" w:hAnsi="Times New Roman" w:eastAsia="仿宋_GB2312" w:cs="Times New Roman"/>
          <w:smallCaps/>
          <w:color w:val="000000" w:themeColor="text1"/>
          <w:sz w:val="32"/>
          <w:szCs w:val="32"/>
          <w:highlight w:val="none"/>
          <w14:textFill>
            <w14:solidFill>
              <w14:schemeClr w14:val="tx1"/>
            </w14:solidFill>
          </w14:textFill>
        </w:rPr>
        <w:t>微型产业集聚区、韩村三彩</w:t>
      </w:r>
      <w:r>
        <w:rPr>
          <w:rFonts w:hint="default" w:ascii="Times New Roman" w:hAnsi="Times New Roman" w:eastAsia="仿宋_GB2312" w:cs="Times New Roman"/>
          <w:smallCaps/>
          <w:color w:val="000000" w:themeColor="text1"/>
          <w:sz w:val="32"/>
          <w:szCs w:val="32"/>
          <w:highlight w:val="none"/>
          <w:lang w:eastAsia="zh-CN"/>
          <w14:textFill>
            <w14:solidFill>
              <w14:schemeClr w14:val="tx1"/>
            </w14:solidFill>
          </w14:textFill>
        </w:rPr>
        <w:t>文旅</w:t>
      </w:r>
      <w:r>
        <w:rPr>
          <w:rFonts w:hint="default" w:ascii="Times New Roman" w:hAnsi="Times New Roman" w:eastAsia="仿宋_GB2312" w:cs="Times New Roman"/>
          <w:smallCaps/>
          <w:color w:val="000000" w:themeColor="text1"/>
          <w:sz w:val="32"/>
          <w:szCs w:val="32"/>
          <w:highlight w:val="none"/>
          <w14:textFill>
            <w14:solidFill>
              <w14:schemeClr w14:val="tx1"/>
            </w14:solidFill>
          </w14:textFill>
        </w:rPr>
        <w:t>微型产业集聚区、四铺菊花微型产业集聚区等特色镇区发展趋势。濉溪县新型城镇化空间很大，城镇化后发机遇和</w:t>
      </w:r>
      <w:r>
        <w:rPr>
          <w:rFonts w:hint="default" w:ascii="Times New Roman" w:hAnsi="Times New Roman" w:eastAsia="仿宋_GB2312" w:cs="Times New Roman"/>
          <w:smallCaps/>
          <w:color w:val="000000" w:themeColor="text1"/>
          <w:sz w:val="32"/>
          <w:szCs w:val="32"/>
          <w:highlight w:val="none"/>
          <w:lang w:eastAsia="zh-CN"/>
          <w14:textFill>
            <w14:solidFill>
              <w14:schemeClr w14:val="tx1"/>
            </w14:solidFill>
          </w14:textFill>
        </w:rPr>
        <w:t>挑战</w:t>
      </w:r>
      <w:r>
        <w:rPr>
          <w:rFonts w:hint="default" w:ascii="Times New Roman" w:hAnsi="Times New Roman" w:eastAsia="仿宋_GB2312" w:cs="Times New Roman"/>
          <w:smallCaps/>
          <w:color w:val="000000" w:themeColor="text1"/>
          <w:sz w:val="32"/>
          <w:szCs w:val="32"/>
          <w:highlight w:val="none"/>
          <w14:textFill>
            <w14:solidFill>
              <w14:schemeClr w14:val="tx1"/>
            </w14:solidFill>
          </w14:textFill>
        </w:rPr>
        <w:t>，为服务业发展开辟了</w:t>
      </w:r>
      <w:r>
        <w:rPr>
          <w:rFonts w:hint="default" w:ascii="Times New Roman" w:hAnsi="Times New Roman" w:eastAsia="仿宋_GB2312" w:cs="Times New Roman"/>
          <w:smallCaps/>
          <w:color w:val="000000" w:themeColor="text1"/>
          <w:sz w:val="32"/>
          <w:szCs w:val="32"/>
          <w14:textFill>
            <w14:solidFill>
              <w14:schemeClr w14:val="tx1"/>
            </w14:solidFill>
          </w14:textFill>
        </w:rPr>
        <w:t>新空间。</w:t>
      </w:r>
    </w:p>
    <w:p>
      <w:pPr>
        <w:pStyle w:val="5"/>
        <w:keepNext w:val="0"/>
        <w:keepLines w:val="0"/>
        <w:spacing w:before="0" w:after="0" w:line="560" w:lineRule="exact"/>
        <w:ind w:firstLine="643" w:firstLineChars="200"/>
        <w:rPr>
          <w:rFonts w:hint="default" w:ascii="Times New Roman" w:hAnsi="Times New Roman" w:eastAsia="楷体_GB2312" w:cs="Times New Roman"/>
          <w:color w:val="000000" w:themeColor="text1"/>
          <w14:textFill>
            <w14:solidFill>
              <w14:schemeClr w14:val="tx1"/>
            </w14:solidFill>
          </w14:textFill>
        </w:rPr>
      </w:pPr>
      <w:bookmarkStart w:id="49" w:name="_Toc30218"/>
      <w:bookmarkStart w:id="50" w:name="_Toc83296383"/>
      <w:bookmarkStart w:id="51" w:name="_Toc8013"/>
      <w:r>
        <w:rPr>
          <w:rFonts w:hint="default" w:ascii="Times New Roman" w:hAnsi="Times New Roman" w:eastAsia="楷体_GB2312" w:cs="Times New Roman"/>
          <w:color w:val="000000" w:themeColor="text1"/>
          <w14:textFill>
            <w14:solidFill>
              <w14:schemeClr w14:val="tx1"/>
            </w14:solidFill>
          </w14:textFill>
        </w:rPr>
        <w:t>（五）数字化为服务业发展激发了新活力</w:t>
      </w:r>
      <w:bookmarkEnd w:id="49"/>
      <w:bookmarkEnd w:id="50"/>
      <w:bookmarkEnd w:id="51"/>
    </w:p>
    <w:p>
      <w:pPr>
        <w:spacing w:line="560" w:lineRule="exact"/>
        <w:ind w:firstLine="640" w:firstLineChars="200"/>
        <w:rPr>
          <w:rFonts w:hint="default" w:ascii="Times New Roman" w:hAnsi="Times New Roman" w:eastAsia="仿宋_GB2312" w:cs="Times New Roman"/>
          <w:smallCaps/>
          <w:color w:val="000000" w:themeColor="text1"/>
          <w:sz w:val="32"/>
          <w:szCs w:val="32"/>
          <w14:textFill>
            <w14:solidFill>
              <w14:schemeClr w14:val="tx1"/>
            </w14:solidFill>
          </w14:textFill>
        </w:rPr>
      </w:pPr>
      <w:r>
        <w:rPr>
          <w:rFonts w:hint="default" w:ascii="Times New Roman" w:hAnsi="Times New Roman" w:eastAsia="仿宋_GB2312" w:cs="Times New Roman"/>
          <w:smallCaps/>
          <w:color w:val="000000" w:themeColor="text1"/>
          <w:sz w:val="32"/>
          <w:szCs w:val="32"/>
          <w14:textFill>
            <w14:solidFill>
              <w14:schemeClr w14:val="tx1"/>
            </w14:solidFill>
          </w14:textFill>
        </w:rPr>
        <w:t>大力推进数字产业化和产业数字化，让数字为实体经济赋能，使数字经济成为全县经济新的增长点。实施“皖企登云”提质扩面行动，支持建设数字车间、智能工厂、创新应用试验场、场景实验室，实现产业数字化。推进政务数据和经济数据、社会数据资源归集整合、开放共享，加强数字社会、数字政府建设，推动安康码更多场景应用，提升公共服务、社会治理等数字化、智能化水平，为濉溪县服务业发展激发了新活力。</w:t>
      </w:r>
    </w:p>
    <w:p>
      <w:pPr>
        <w:spacing w:line="560" w:lineRule="exact"/>
        <w:ind w:firstLine="640" w:firstLineChars="200"/>
        <w:rPr>
          <w:rFonts w:hint="default" w:ascii="Times New Roman" w:hAnsi="Times New Roman" w:eastAsia="仿宋_GB2312" w:cs="Times New Roman"/>
          <w:smallCaps/>
          <w:color w:val="000000" w:themeColor="text1"/>
          <w:sz w:val="32"/>
          <w:szCs w:val="32"/>
          <w14:textFill>
            <w14:solidFill>
              <w14:schemeClr w14:val="tx1"/>
            </w14:solidFill>
          </w14:textFill>
        </w:rPr>
      </w:pPr>
      <w:r>
        <w:rPr>
          <w:rFonts w:hint="default" w:ascii="Times New Roman" w:hAnsi="Times New Roman" w:eastAsia="仿宋_GB2312" w:cs="Times New Roman"/>
          <w:smallCaps/>
          <w:color w:val="000000" w:themeColor="text1"/>
          <w:sz w:val="32"/>
          <w:szCs w:val="32"/>
          <w14:textFill>
            <w14:solidFill>
              <w14:schemeClr w14:val="tx1"/>
            </w14:solidFill>
          </w14:textFill>
        </w:rPr>
        <w:t>濉溪县在“十四五”时期，面对外部环境和自身条件的变化，服务业发展机遇大于挑战，处于“跨越发展、弯道超车”的关键时期,发展潜力巨大。迫切需要抓住机遇，主动迎接挑战，巩固发挥服务经济在国民经济和社会发展中的主体作用，全面提升服务业的整体质量和能级水平。</w:t>
      </w:r>
    </w:p>
    <w:p>
      <w:pPr>
        <w:spacing w:line="560" w:lineRule="exact"/>
        <w:ind w:firstLine="640" w:firstLineChars="200"/>
        <w:rPr>
          <w:rFonts w:hint="default" w:ascii="Times New Roman" w:hAnsi="Times New Roman" w:eastAsia="仿宋_GB2312" w:cs="Times New Roman"/>
          <w:smallCaps/>
          <w:color w:val="000000" w:themeColor="text1"/>
          <w:sz w:val="32"/>
          <w:szCs w:val="32"/>
          <w14:textFill>
            <w14:solidFill>
              <w14:schemeClr w14:val="tx1"/>
            </w14:solidFill>
          </w14:textFill>
        </w:rPr>
      </w:pPr>
    </w:p>
    <w:p>
      <w:pPr>
        <w:spacing w:line="560" w:lineRule="exact"/>
        <w:ind w:firstLine="640" w:firstLineChars="200"/>
        <w:rPr>
          <w:rFonts w:hint="default" w:ascii="Times New Roman" w:hAnsi="Times New Roman" w:eastAsia="仿宋_GB2312" w:cs="Times New Roman"/>
          <w:smallCaps/>
          <w:color w:val="000000" w:themeColor="text1"/>
          <w:sz w:val="32"/>
          <w:szCs w:val="32"/>
          <w14:textFill>
            <w14:solidFill>
              <w14:schemeClr w14:val="tx1"/>
            </w14:solidFill>
          </w14:textFill>
        </w:rPr>
      </w:pPr>
    </w:p>
    <w:p>
      <w:pPr>
        <w:spacing w:line="560" w:lineRule="exact"/>
        <w:ind w:firstLine="640" w:firstLineChars="200"/>
        <w:rPr>
          <w:rFonts w:hint="default" w:ascii="Times New Roman" w:hAnsi="Times New Roman" w:eastAsia="仿宋_GB2312" w:cs="Times New Roman"/>
          <w:smallCaps/>
          <w:color w:val="000000" w:themeColor="text1"/>
          <w:sz w:val="32"/>
          <w:szCs w:val="32"/>
          <w14:textFill>
            <w14:solidFill>
              <w14:schemeClr w14:val="tx1"/>
            </w14:solidFill>
          </w14:textFill>
        </w:rPr>
      </w:pPr>
    </w:p>
    <w:p>
      <w:pPr>
        <w:spacing w:line="560" w:lineRule="exact"/>
        <w:ind w:firstLine="640" w:firstLineChars="200"/>
        <w:rPr>
          <w:rFonts w:hint="default" w:ascii="Times New Roman" w:hAnsi="Times New Roman" w:eastAsia="仿宋_GB2312" w:cs="Times New Roman"/>
          <w:smallCaps/>
          <w:color w:val="000000" w:themeColor="text1"/>
          <w:sz w:val="32"/>
          <w:szCs w:val="32"/>
          <w14:textFill>
            <w14:solidFill>
              <w14:schemeClr w14:val="tx1"/>
            </w14:solidFill>
          </w14:textFill>
        </w:rPr>
      </w:pPr>
    </w:p>
    <w:p>
      <w:pPr>
        <w:spacing w:line="560" w:lineRule="exact"/>
        <w:ind w:firstLine="640" w:firstLineChars="200"/>
        <w:rPr>
          <w:rFonts w:hint="default" w:ascii="Times New Roman" w:hAnsi="Times New Roman" w:eastAsia="仿宋_GB2312" w:cs="Times New Roman"/>
          <w:smallCaps/>
          <w:color w:val="000000" w:themeColor="text1"/>
          <w:sz w:val="32"/>
          <w:szCs w:val="32"/>
          <w14:textFill>
            <w14:solidFill>
              <w14:schemeClr w14:val="tx1"/>
            </w14:solidFill>
          </w14:textFill>
        </w:rPr>
      </w:pPr>
    </w:p>
    <w:p>
      <w:pPr>
        <w:spacing w:line="560" w:lineRule="exact"/>
        <w:ind w:firstLine="640" w:firstLineChars="200"/>
        <w:rPr>
          <w:rFonts w:hint="default" w:ascii="Times New Roman" w:hAnsi="Times New Roman" w:eastAsia="仿宋_GB2312" w:cs="Times New Roman"/>
          <w:smallCaps/>
          <w:color w:val="000000" w:themeColor="text1"/>
          <w:sz w:val="32"/>
          <w:szCs w:val="32"/>
          <w14:textFill>
            <w14:solidFill>
              <w14:schemeClr w14:val="tx1"/>
            </w14:solidFill>
          </w14:textFill>
        </w:rPr>
      </w:pPr>
    </w:p>
    <w:p>
      <w:pPr>
        <w:spacing w:line="560" w:lineRule="exact"/>
        <w:ind w:firstLine="640" w:firstLineChars="200"/>
        <w:rPr>
          <w:rFonts w:hint="default" w:ascii="Times New Roman" w:hAnsi="Times New Roman" w:eastAsia="仿宋_GB2312" w:cs="Times New Roman"/>
          <w:smallCaps/>
          <w:color w:val="000000" w:themeColor="text1"/>
          <w:sz w:val="32"/>
          <w:szCs w:val="32"/>
          <w14:textFill>
            <w14:solidFill>
              <w14:schemeClr w14:val="tx1"/>
            </w14:solidFill>
          </w14:textFill>
        </w:rPr>
      </w:pPr>
    </w:p>
    <w:p>
      <w:pPr>
        <w:spacing w:line="560" w:lineRule="exact"/>
        <w:ind w:firstLine="640" w:firstLineChars="200"/>
        <w:rPr>
          <w:rFonts w:hint="default" w:ascii="Times New Roman" w:hAnsi="Times New Roman" w:eastAsia="仿宋_GB2312" w:cs="Times New Roman"/>
          <w:smallCaps/>
          <w:color w:val="000000" w:themeColor="text1"/>
          <w:sz w:val="32"/>
          <w:szCs w:val="32"/>
          <w14:textFill>
            <w14:solidFill>
              <w14:schemeClr w14:val="tx1"/>
            </w14:solidFill>
          </w14:textFill>
        </w:rPr>
      </w:pPr>
    </w:p>
    <w:p>
      <w:pPr>
        <w:pStyle w:val="3"/>
        <w:keepNext w:val="0"/>
        <w:keepLines w:val="0"/>
        <w:pageBreakBefore w:val="0"/>
        <w:widowControl w:val="0"/>
        <w:kinsoku/>
        <w:wordWrap/>
        <w:overflowPunct/>
        <w:topLinePunct w:val="0"/>
        <w:autoSpaceDE/>
        <w:autoSpaceDN/>
        <w:bidi w:val="0"/>
        <w:adjustRightInd/>
        <w:snapToGrid/>
        <w:spacing w:before="0" w:after="0" w:line="560" w:lineRule="exact"/>
        <w:jc w:val="center"/>
        <w:textAlignment w:val="auto"/>
        <w:rPr>
          <w:rFonts w:hint="default" w:ascii="Times New Roman" w:hAnsi="Times New Roman" w:eastAsia="方正小标宋简体" w:cs="Times New Roman"/>
          <w:b w:val="0"/>
          <w:bCs w:val="0"/>
          <w:color w:val="000000" w:themeColor="text1"/>
          <w:sz w:val="44"/>
          <w:szCs w:val="44"/>
          <w14:textFill>
            <w14:solidFill>
              <w14:schemeClr w14:val="tx1"/>
            </w14:solidFill>
          </w14:textFill>
        </w:rPr>
      </w:pPr>
      <w:bookmarkStart w:id="52" w:name="_Toc83296384"/>
      <w:bookmarkStart w:id="53" w:name="_Toc20854"/>
      <w:bookmarkStart w:id="54" w:name="_Toc11083"/>
      <w:r>
        <w:rPr>
          <w:rFonts w:hint="default" w:ascii="Times New Roman" w:hAnsi="Times New Roman" w:eastAsia="方正小标宋简体" w:cs="Times New Roman"/>
          <w:b w:val="0"/>
          <w:bCs w:val="0"/>
          <w:color w:val="000000" w:themeColor="text1"/>
          <w:sz w:val="44"/>
          <w:szCs w:val="44"/>
          <w14:textFill>
            <w14:solidFill>
              <w14:schemeClr w14:val="tx1"/>
            </w14:solidFill>
          </w14:textFill>
        </w:rPr>
        <w:t>第二章  指导思想和发展目标</w:t>
      </w:r>
      <w:bookmarkEnd w:id="52"/>
      <w:bookmarkEnd w:id="53"/>
      <w:bookmarkEnd w:id="54"/>
    </w:p>
    <w:p>
      <w:pPr>
        <w:pStyle w:val="4"/>
        <w:keepNext w:val="0"/>
        <w:keepLines w:val="0"/>
        <w:spacing w:before="0" w:after="0" w:line="560" w:lineRule="exact"/>
        <w:ind w:firstLine="640" w:firstLineChars="200"/>
        <w:rPr>
          <w:rFonts w:hint="default" w:ascii="Times New Roman" w:hAnsi="Times New Roman" w:eastAsia="黑体" w:cs="Times New Roman"/>
          <w:b w:val="0"/>
          <w:bCs w:val="0"/>
          <w:color w:val="000000" w:themeColor="text1"/>
          <w:sz w:val="32"/>
          <w:szCs w:val="32"/>
          <w14:textFill>
            <w14:solidFill>
              <w14:schemeClr w14:val="tx1"/>
            </w14:solidFill>
          </w14:textFill>
        </w:rPr>
      </w:pPr>
      <w:bookmarkStart w:id="55" w:name="_Toc83296385"/>
      <w:bookmarkStart w:id="56" w:name="_Toc7347"/>
    </w:p>
    <w:p>
      <w:pPr>
        <w:pStyle w:val="4"/>
        <w:keepNext w:val="0"/>
        <w:keepLines w:val="0"/>
        <w:spacing w:before="0" w:after="0" w:line="560" w:lineRule="exact"/>
        <w:ind w:firstLine="640" w:firstLineChars="200"/>
        <w:rPr>
          <w:rFonts w:hint="default" w:ascii="Times New Roman" w:hAnsi="Times New Roman" w:eastAsia="黑体" w:cs="Times New Roman"/>
          <w:b w:val="0"/>
          <w:bCs w:val="0"/>
          <w:color w:val="000000" w:themeColor="text1"/>
          <w14:textFill>
            <w14:solidFill>
              <w14:schemeClr w14:val="tx1"/>
            </w14:solidFill>
          </w14:textFill>
        </w:rPr>
      </w:pPr>
      <w:bookmarkStart w:id="57" w:name="_Toc26459"/>
      <w:r>
        <w:rPr>
          <w:rFonts w:hint="default" w:ascii="Times New Roman" w:hAnsi="Times New Roman" w:eastAsia="黑体" w:cs="Times New Roman"/>
          <w:b w:val="0"/>
          <w:bCs w:val="0"/>
          <w:color w:val="000000" w:themeColor="text1"/>
          <w14:textFill>
            <w14:solidFill>
              <w14:schemeClr w14:val="tx1"/>
            </w14:solidFill>
          </w14:textFill>
        </w:rPr>
        <w:t>一、指导思想</w:t>
      </w:r>
      <w:bookmarkEnd w:id="55"/>
      <w:bookmarkEnd w:id="56"/>
      <w:bookmarkEnd w:id="57"/>
    </w:p>
    <w:p>
      <w:pPr>
        <w:widowControl w:val="0"/>
        <w:shd w:val="clear" w:color="auto" w:fill="FFFFFF"/>
        <w:spacing w:line="560" w:lineRule="exact"/>
        <w:ind w:firstLine="640" w:firstLineChars="200"/>
        <w:rPr>
          <w:rFonts w:hint="default" w:ascii="Times New Roman" w:hAnsi="Times New Roman" w:eastAsia="仿宋_GB2312" w:cs="Times New Roman"/>
          <w:smallCaps/>
          <w:color w:val="000000" w:themeColor="text1"/>
          <w:sz w:val="32"/>
          <w:szCs w:val="32"/>
          <w14:textFill>
            <w14:solidFill>
              <w14:schemeClr w14:val="tx1"/>
            </w14:solidFill>
          </w14:textFill>
        </w:rPr>
      </w:pPr>
      <w:r>
        <w:rPr>
          <w:rFonts w:hint="default" w:ascii="Times New Roman" w:hAnsi="Times New Roman" w:eastAsia="仿宋_GB2312" w:cs="Times New Roman"/>
          <w:smallCaps/>
          <w:color w:val="000000" w:themeColor="text1"/>
          <w:sz w:val="32"/>
          <w:szCs w:val="32"/>
          <w14:textFill>
            <w14:solidFill>
              <w14:schemeClr w14:val="tx1"/>
            </w14:solidFill>
          </w14:textFill>
        </w:rPr>
        <w:t>以习近平新时代中国特色社会主义思想为指导，全面贯彻落实党的十九大、十九届历次全会精神和习近平总书记考察安徽重要讲话指示精神，立足新发展阶段、贯彻新发展理念、构建新发展格局，营造服务业发展的良好环境，着力发展服务业的新模式、新业态、新技术，坚持扩大规模和提升质量并重，坚持培育发展新兴服务业和改造升级传统服务业并行，推动生产性服务业向专业化和价值链高端延伸，推动生活性服务业向高品质和多样化升级，补齐</w:t>
      </w:r>
      <w:r>
        <w:rPr>
          <w:rFonts w:hint="default" w:ascii="Times New Roman" w:hAnsi="Times New Roman" w:eastAsia="仿宋_GB2312" w:cs="Times New Roman"/>
          <w:color w:val="000000" w:themeColor="text1"/>
          <w:spacing w:val="6"/>
          <w:sz w:val="32"/>
          <w:szCs w:val="32"/>
          <w14:textFill>
            <w14:solidFill>
              <w14:schemeClr w14:val="tx1"/>
            </w14:solidFill>
          </w14:textFill>
        </w:rPr>
        <w:t>服务业发展短板，</w:t>
      </w:r>
      <w:r>
        <w:rPr>
          <w:rFonts w:hint="default" w:ascii="Times New Roman" w:hAnsi="Times New Roman" w:eastAsia="仿宋_GB2312" w:cs="Times New Roman"/>
          <w:smallCaps/>
          <w:color w:val="000000" w:themeColor="text1"/>
          <w:sz w:val="32"/>
          <w:szCs w:val="32"/>
          <w14:textFill>
            <w14:solidFill>
              <w14:schemeClr w14:val="tx1"/>
            </w14:solidFill>
          </w14:textFill>
        </w:rPr>
        <w:t>推进全县经济结构由“二三一”向“三二一”转变，奋力走在皖北振兴前列，冲刺全国百强县方阵，成为带动皖北、辐射鲁苏豫的区域性综合性服务中心。</w:t>
      </w:r>
    </w:p>
    <w:p>
      <w:pPr>
        <w:pStyle w:val="4"/>
        <w:keepNext w:val="0"/>
        <w:keepLines w:val="0"/>
        <w:spacing w:before="0" w:after="0" w:line="560" w:lineRule="exact"/>
        <w:ind w:firstLine="640" w:firstLineChars="200"/>
        <w:rPr>
          <w:rFonts w:hint="default" w:ascii="Times New Roman" w:hAnsi="Times New Roman" w:eastAsia="黑体" w:cs="Times New Roman"/>
          <w:b w:val="0"/>
          <w:bCs w:val="0"/>
          <w:color w:val="000000" w:themeColor="text1"/>
          <w14:textFill>
            <w14:solidFill>
              <w14:schemeClr w14:val="tx1"/>
            </w14:solidFill>
          </w14:textFill>
        </w:rPr>
      </w:pPr>
      <w:bookmarkStart w:id="58" w:name="_Toc1538"/>
      <w:bookmarkStart w:id="59" w:name="_Toc31139"/>
      <w:bookmarkStart w:id="60" w:name="_Toc83296386"/>
      <w:r>
        <w:rPr>
          <w:rFonts w:hint="default" w:ascii="Times New Roman" w:hAnsi="Times New Roman" w:eastAsia="黑体" w:cs="Times New Roman"/>
          <w:b w:val="0"/>
          <w:bCs w:val="0"/>
          <w:color w:val="000000" w:themeColor="text1"/>
          <w14:textFill>
            <w14:solidFill>
              <w14:schemeClr w14:val="tx1"/>
            </w14:solidFill>
          </w14:textFill>
        </w:rPr>
        <w:t>二、发展原则</w:t>
      </w:r>
      <w:bookmarkEnd w:id="58"/>
      <w:bookmarkEnd w:id="59"/>
      <w:bookmarkEnd w:id="60"/>
    </w:p>
    <w:p>
      <w:pPr>
        <w:spacing w:line="560" w:lineRule="exact"/>
        <w:ind w:firstLine="643" w:firstLineChars="200"/>
        <w:rPr>
          <w:rFonts w:hint="default" w:ascii="Times New Roman" w:hAnsi="Times New Roman" w:eastAsia="仿宋_GB2312" w:cs="Times New Roman"/>
          <w:smallCaps/>
          <w:color w:val="000000" w:themeColor="text1"/>
          <w:sz w:val="32"/>
          <w:szCs w:val="32"/>
          <w14:textFill>
            <w14:solidFill>
              <w14:schemeClr w14:val="tx1"/>
            </w14:solidFill>
          </w14:textFill>
        </w:rPr>
      </w:pPr>
      <w:r>
        <w:rPr>
          <w:rFonts w:hint="default" w:ascii="Times New Roman" w:hAnsi="Times New Roman" w:eastAsia="楷体_GB2312" w:cs="Times New Roman"/>
          <w:b/>
          <w:smallCaps/>
          <w:color w:val="000000" w:themeColor="text1"/>
          <w:sz w:val="32"/>
          <w:szCs w:val="32"/>
          <w14:textFill>
            <w14:solidFill>
              <w14:schemeClr w14:val="tx1"/>
            </w14:solidFill>
          </w14:textFill>
        </w:rPr>
        <w:t>1.坚持以人为本。</w:t>
      </w:r>
      <w:r>
        <w:rPr>
          <w:rFonts w:hint="default" w:ascii="Times New Roman" w:hAnsi="Times New Roman" w:eastAsia="仿宋_GB2312" w:cs="Times New Roman"/>
          <w:smallCaps/>
          <w:color w:val="000000" w:themeColor="text1"/>
          <w:sz w:val="32"/>
          <w:szCs w:val="32"/>
          <w14:textFill>
            <w14:solidFill>
              <w14:schemeClr w14:val="tx1"/>
            </w14:solidFill>
          </w14:textFill>
        </w:rPr>
        <w:t>以更多更好满足人民多层次多样化服务需求为导向，优先补足基本公共服务短板，着力增强非基本公共服务市场化供给能力，积极推进消费扩容升级，全面增强城乡人文品质、公共服务品质、生态环境品质。</w:t>
      </w:r>
    </w:p>
    <w:p>
      <w:pPr>
        <w:spacing w:line="560" w:lineRule="exact"/>
        <w:ind w:firstLine="643" w:firstLineChars="200"/>
        <w:rPr>
          <w:rFonts w:hint="default" w:ascii="Times New Roman" w:hAnsi="Times New Roman" w:eastAsia="仿宋_GB2312" w:cs="Times New Roman"/>
          <w:smallCaps/>
          <w:color w:val="000000" w:themeColor="text1"/>
          <w:sz w:val="32"/>
          <w:szCs w:val="32"/>
          <w14:textFill>
            <w14:solidFill>
              <w14:schemeClr w14:val="tx1"/>
            </w14:solidFill>
          </w14:textFill>
        </w:rPr>
      </w:pPr>
      <w:r>
        <w:rPr>
          <w:rFonts w:hint="default" w:ascii="Times New Roman" w:hAnsi="Times New Roman" w:eastAsia="楷体_GB2312" w:cs="Times New Roman"/>
          <w:b/>
          <w:smallCaps/>
          <w:color w:val="000000" w:themeColor="text1"/>
          <w:sz w:val="32"/>
          <w:szCs w:val="32"/>
          <w14:textFill>
            <w14:solidFill>
              <w14:schemeClr w14:val="tx1"/>
            </w14:solidFill>
          </w14:textFill>
        </w:rPr>
        <w:t>2.坚持改革创新。</w:t>
      </w:r>
      <w:r>
        <w:rPr>
          <w:rFonts w:hint="default" w:ascii="Times New Roman" w:hAnsi="Times New Roman" w:eastAsia="仿宋_GB2312" w:cs="Times New Roman"/>
          <w:smallCaps/>
          <w:color w:val="000000" w:themeColor="text1"/>
          <w:sz w:val="32"/>
          <w:szCs w:val="32"/>
          <w14:textFill>
            <w14:solidFill>
              <w14:schemeClr w14:val="tx1"/>
            </w14:solidFill>
          </w14:textFill>
        </w:rPr>
        <w:t>推动服务业重点领域改革，分类放宽服务业准入限制，扩大服务业对外开放，创新服务业监督管理，着力破除制约服务业发展的体制机制障碍，最大限度激发市场活力。</w:t>
      </w:r>
    </w:p>
    <w:p>
      <w:pPr>
        <w:spacing w:line="560" w:lineRule="exact"/>
        <w:ind w:firstLine="643" w:firstLineChars="200"/>
        <w:rPr>
          <w:rFonts w:hint="default" w:ascii="Times New Roman" w:hAnsi="Times New Roman" w:eastAsia="仿宋_GB2312" w:cs="Times New Roman"/>
          <w:smallCaps/>
          <w:color w:val="000000" w:themeColor="text1"/>
          <w:sz w:val="32"/>
          <w:szCs w:val="32"/>
          <w14:textFill>
            <w14:solidFill>
              <w14:schemeClr w14:val="tx1"/>
            </w14:solidFill>
          </w14:textFill>
        </w:rPr>
      </w:pPr>
      <w:r>
        <w:rPr>
          <w:rFonts w:hint="default" w:ascii="Times New Roman" w:hAnsi="Times New Roman" w:eastAsia="楷体_GB2312" w:cs="Times New Roman"/>
          <w:b/>
          <w:smallCaps/>
          <w:color w:val="000000" w:themeColor="text1"/>
          <w:sz w:val="32"/>
          <w:szCs w:val="32"/>
          <w14:textFill>
            <w14:solidFill>
              <w14:schemeClr w14:val="tx1"/>
            </w14:solidFill>
          </w14:textFill>
        </w:rPr>
        <w:t>3.坚持协调发展。</w:t>
      </w:r>
      <w:r>
        <w:rPr>
          <w:rFonts w:hint="default" w:ascii="Times New Roman" w:hAnsi="Times New Roman" w:eastAsia="仿宋_GB2312" w:cs="Times New Roman"/>
          <w:smallCaps/>
          <w:color w:val="000000" w:themeColor="text1"/>
          <w:sz w:val="32"/>
          <w:szCs w:val="32"/>
          <w14:textFill>
            <w14:solidFill>
              <w14:schemeClr w14:val="tx1"/>
            </w14:solidFill>
          </w14:textFill>
        </w:rPr>
        <w:t>坚持发展新兴服务业和强化传统服务业相结合协调发展，抓住服务经济转型创新发展的新机遇，运用5G、人工智能、大数据、云计算等新一代信息技术，积极培育服务业新业态、新模式，大力发展新兴服务业；同时运用现代服务技术和经营方式改造提升传统服务业，促进传统服务业转型升级。</w:t>
      </w:r>
    </w:p>
    <w:p>
      <w:pPr>
        <w:spacing w:line="560" w:lineRule="exact"/>
        <w:ind w:firstLine="643" w:firstLineChars="200"/>
        <w:rPr>
          <w:rFonts w:hint="default" w:ascii="Times New Roman" w:hAnsi="Times New Roman" w:eastAsia="仿宋_GB2312" w:cs="Times New Roman"/>
          <w:smallCaps/>
          <w:color w:val="000000" w:themeColor="text1"/>
          <w:sz w:val="32"/>
          <w:szCs w:val="32"/>
          <w14:textFill>
            <w14:solidFill>
              <w14:schemeClr w14:val="tx1"/>
            </w14:solidFill>
          </w14:textFill>
        </w:rPr>
      </w:pPr>
      <w:r>
        <w:rPr>
          <w:rFonts w:hint="default" w:ascii="Times New Roman" w:hAnsi="Times New Roman" w:eastAsia="楷体_GB2312" w:cs="Times New Roman"/>
          <w:b/>
          <w:smallCaps/>
          <w:color w:val="000000" w:themeColor="text1"/>
          <w:sz w:val="32"/>
          <w:szCs w:val="32"/>
          <w14:textFill>
            <w14:solidFill>
              <w14:schemeClr w14:val="tx1"/>
            </w14:solidFill>
          </w14:textFill>
        </w:rPr>
        <w:t>4.坚持系统集成。</w:t>
      </w:r>
      <w:r>
        <w:rPr>
          <w:rFonts w:hint="default" w:ascii="Times New Roman" w:hAnsi="Times New Roman" w:eastAsia="仿宋_GB2312" w:cs="Times New Roman"/>
          <w:smallCaps/>
          <w:color w:val="000000" w:themeColor="text1"/>
          <w:sz w:val="32"/>
          <w:szCs w:val="32"/>
          <w14:textFill>
            <w14:solidFill>
              <w14:schemeClr w14:val="tx1"/>
            </w14:solidFill>
          </w14:textFill>
        </w:rPr>
        <w:t>全局性谋划服务业发展，深化现代服务业同先进制造业、现代农业等深度融合，突出服务业对全县产业链供应链的基础配套和提升带动作用，实现跨行业资源要素的优化配置、系统集成和高效发展。坚持数字赋能，立足数字技术推进服务业态模式创新，拓展服务业数字化场景应用，突破服务业数字化发展重点行业、创新平台、关键领域，构建新时代服务业数字创新发展新体系。推进服务业标准化和品牌化建设。</w:t>
      </w:r>
    </w:p>
    <w:p>
      <w:pPr>
        <w:spacing w:line="560" w:lineRule="exact"/>
        <w:ind w:firstLine="643" w:firstLineChars="200"/>
        <w:rPr>
          <w:rFonts w:hint="default" w:ascii="Times New Roman" w:hAnsi="Times New Roman" w:eastAsia="仿宋_GB2312" w:cs="Times New Roman"/>
          <w:smallCaps/>
          <w:color w:val="000000" w:themeColor="text1"/>
          <w:sz w:val="32"/>
          <w:szCs w:val="32"/>
          <w14:textFill>
            <w14:solidFill>
              <w14:schemeClr w14:val="tx1"/>
            </w14:solidFill>
          </w14:textFill>
        </w:rPr>
      </w:pPr>
      <w:r>
        <w:rPr>
          <w:rFonts w:hint="default" w:ascii="Times New Roman" w:hAnsi="Times New Roman" w:eastAsia="楷体_GB2312" w:cs="Times New Roman"/>
          <w:b/>
          <w:smallCaps/>
          <w:color w:val="000000" w:themeColor="text1"/>
          <w:sz w:val="32"/>
          <w:szCs w:val="32"/>
          <w14:textFill>
            <w14:solidFill>
              <w14:schemeClr w14:val="tx1"/>
            </w14:solidFill>
          </w14:textFill>
        </w:rPr>
        <w:t>5.坚持市场主导。</w:t>
      </w:r>
      <w:r>
        <w:rPr>
          <w:rFonts w:hint="default" w:ascii="Times New Roman" w:hAnsi="Times New Roman" w:eastAsia="仿宋_GB2312" w:cs="Times New Roman"/>
          <w:smallCaps/>
          <w:color w:val="000000" w:themeColor="text1"/>
          <w:sz w:val="32"/>
          <w:szCs w:val="32"/>
          <w14:textFill>
            <w14:solidFill>
              <w14:schemeClr w14:val="tx1"/>
            </w14:solidFill>
          </w14:textFill>
        </w:rPr>
        <w:t>坚持市场机制主导与政府政策引导相结合，发挥市场配置资源决定性作用，同时注重发挥政府在规划、产业政策等方面的引导作用，实现区域联动，促进服务业拓宽领域、增强功能、优化结构。充分发挥服务业企业的主体作用，注重发挥龙头企业带动作用。</w:t>
      </w:r>
    </w:p>
    <w:p>
      <w:pPr>
        <w:pStyle w:val="4"/>
        <w:keepNext w:val="0"/>
        <w:keepLines w:val="0"/>
        <w:spacing w:before="0" w:after="0" w:line="560" w:lineRule="exact"/>
        <w:ind w:firstLine="640" w:firstLineChars="200"/>
        <w:rPr>
          <w:rFonts w:hint="default" w:ascii="Times New Roman" w:hAnsi="Times New Roman" w:eastAsia="黑体" w:cs="Times New Roman"/>
          <w:b w:val="0"/>
          <w:bCs w:val="0"/>
          <w:color w:val="000000" w:themeColor="text1"/>
          <w14:textFill>
            <w14:solidFill>
              <w14:schemeClr w14:val="tx1"/>
            </w14:solidFill>
          </w14:textFill>
        </w:rPr>
      </w:pPr>
      <w:bookmarkStart w:id="61" w:name="_Toc8597"/>
      <w:bookmarkStart w:id="62" w:name="_Toc83296387"/>
      <w:bookmarkStart w:id="63" w:name="_Toc22645"/>
      <w:r>
        <w:rPr>
          <w:rFonts w:hint="default" w:ascii="Times New Roman" w:hAnsi="Times New Roman" w:eastAsia="黑体" w:cs="Times New Roman"/>
          <w:b w:val="0"/>
          <w:bCs w:val="0"/>
          <w:color w:val="000000" w:themeColor="text1"/>
          <w14:textFill>
            <w14:solidFill>
              <w14:schemeClr w14:val="tx1"/>
            </w14:solidFill>
          </w14:textFill>
        </w:rPr>
        <w:t>三、发展定位</w:t>
      </w:r>
      <w:bookmarkEnd w:id="61"/>
      <w:bookmarkEnd w:id="62"/>
      <w:bookmarkEnd w:id="63"/>
    </w:p>
    <w:p>
      <w:pPr>
        <w:widowControl w:val="0"/>
        <w:shd w:val="clear" w:color="auto" w:fill="FFFFFF"/>
        <w:spacing w:line="560" w:lineRule="exact"/>
        <w:ind w:firstLine="640" w:firstLineChars="200"/>
        <w:rPr>
          <w:rFonts w:hint="default" w:ascii="Times New Roman" w:hAnsi="Times New Roman" w:eastAsia="仿宋_GB2312" w:cs="Times New Roman"/>
          <w:smallCaps/>
          <w:color w:val="000000" w:themeColor="text1"/>
          <w:sz w:val="32"/>
          <w:szCs w:val="32"/>
          <w14:textFill>
            <w14:solidFill>
              <w14:schemeClr w14:val="tx1"/>
            </w14:solidFill>
          </w14:textFill>
        </w:rPr>
      </w:pPr>
      <w:r>
        <w:rPr>
          <w:rFonts w:hint="default" w:ascii="Times New Roman" w:hAnsi="Times New Roman" w:eastAsia="仿宋_GB2312" w:cs="Times New Roman"/>
          <w:smallCaps/>
          <w:color w:val="000000" w:themeColor="text1"/>
          <w:sz w:val="32"/>
          <w:szCs w:val="32"/>
          <w14:textFill>
            <w14:solidFill>
              <w14:schemeClr w14:val="tx1"/>
            </w14:solidFill>
          </w14:textFill>
        </w:rPr>
        <w:t>立足“十三五”期间服务业发展基础，紧紧围绕《濉溪县国民经济和社会发展第十四个五年规划和2035年远景目标纲要》目标要求，全力推动服务业发展，在构建新的发展格局中展现较大作为，在调整优化全县经济结构中发挥生力军作用。</w:t>
      </w:r>
    </w:p>
    <w:p>
      <w:pPr>
        <w:widowControl w:val="0"/>
        <w:shd w:val="clear" w:color="auto" w:fill="FFFFFF"/>
        <w:spacing w:line="560" w:lineRule="exact"/>
        <w:ind w:firstLine="643"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楷体_GB2312" w:cs="Times New Roman"/>
          <w:b/>
          <w:bCs/>
          <w:color w:val="000000" w:themeColor="text1"/>
          <w:sz w:val="32"/>
          <w:szCs w:val="32"/>
          <w14:textFill>
            <w14:solidFill>
              <w14:schemeClr w14:val="tx1"/>
            </w14:solidFill>
          </w14:textFill>
        </w:rPr>
        <w:t>1.建设带动皖北发展的区域综合性服务中心。</w:t>
      </w:r>
      <w:r>
        <w:rPr>
          <w:rFonts w:hint="default" w:ascii="Times New Roman" w:hAnsi="Times New Roman" w:eastAsia="仿宋_GB2312" w:cs="Times New Roman"/>
          <w:color w:val="000000" w:themeColor="text1"/>
          <w:sz w:val="32"/>
          <w:szCs w:val="32"/>
          <w14:textFill>
            <w14:solidFill>
              <w14:schemeClr w14:val="tx1"/>
            </w14:solidFill>
          </w14:textFill>
        </w:rPr>
        <w:t>濉溪县是中原经济区、淮海经济区和徐州经济圈重要县域，区位优势明显，覆盖人数众多，但是全县服务业短板明显。生产性服务业主要集中于传统性的</w:t>
      </w:r>
      <w:r>
        <w:rPr>
          <w:rFonts w:hint="default" w:ascii="Times New Roman" w:hAnsi="Times New Roman" w:eastAsia="仿宋_GB2312" w:cs="Times New Roman"/>
          <w:smallCaps/>
          <w:color w:val="000000" w:themeColor="text1"/>
          <w:sz w:val="32"/>
          <w:szCs w:val="32"/>
          <w14:textFill>
            <w14:solidFill>
              <w14:schemeClr w14:val="tx1"/>
            </w14:solidFill>
          </w14:textFill>
        </w:rPr>
        <w:t>租赁商务服务业，而信息传输软件技术、咨询、科学技术、金融等现代服务业较少，研发、设计、电子商务、文化创意等领域多数依然空白</w:t>
      </w:r>
      <w:r>
        <w:rPr>
          <w:rFonts w:hint="default" w:ascii="Times New Roman" w:hAnsi="Times New Roman" w:eastAsia="仿宋_GB2312" w:cs="Times New Roman"/>
          <w:color w:val="000000" w:themeColor="text1"/>
          <w:sz w:val="32"/>
          <w:szCs w:val="32"/>
          <w14:textFill>
            <w14:solidFill>
              <w14:schemeClr w14:val="tx1"/>
            </w14:solidFill>
          </w14:textFill>
        </w:rPr>
        <w:t>。生活服务业缺少综合体、大型酒店等支撑。“十四五”时期，着力瞄准主导产业发展生产性服务业，促进现代服务业与先进制造业、现代农业等融合发展；积极推进相濉一体化，加大濉溪老城改造力度，发展生活性服务业，形成一批产业集聚、特色鲜明、功能完善的现代服务业发展集聚区，打造成带动皖北发展的区域性综合性服务中心。</w:t>
      </w:r>
    </w:p>
    <w:p>
      <w:pPr>
        <w:widowControl w:val="0"/>
        <w:shd w:val="clear" w:color="auto" w:fill="FFFFFF"/>
        <w:spacing w:line="560" w:lineRule="exact"/>
        <w:ind w:firstLine="643"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楷体_GB2312" w:cs="Times New Roman"/>
          <w:b/>
          <w:bCs/>
          <w:color w:val="000000" w:themeColor="text1"/>
          <w:sz w:val="32"/>
          <w:szCs w:val="32"/>
          <w14:textFill>
            <w14:solidFill>
              <w14:schemeClr w14:val="tx1"/>
            </w14:solidFill>
          </w14:textFill>
        </w:rPr>
        <w:t>2.打造长三角绿色农产品供应平台。</w:t>
      </w:r>
      <w:r>
        <w:rPr>
          <w:rFonts w:hint="default" w:ascii="Times New Roman" w:hAnsi="Times New Roman" w:eastAsia="仿宋_GB2312" w:cs="Times New Roman"/>
          <w:color w:val="000000" w:themeColor="text1"/>
          <w:sz w:val="32"/>
          <w:szCs w:val="32"/>
          <w14:textFill>
            <w14:solidFill>
              <w14:schemeClr w14:val="tx1"/>
            </w14:solidFill>
          </w14:textFill>
        </w:rPr>
        <w:t>深入落实《长江三角洲区域一体化发展规划纲要》和《安徽省实施长江三角洲区域一体化发展规划纲要行动计划》，依托濉溪县蔬菜、富硒黑花生、阳光玫瑰葡萄、红心火龙果、高品质桃种等绿色农产品优势资源、产业优势和便捷的交通体系，及冷链仓储、冷链物流和直销配送等物流体系，对接沪苏浙电商企业、连锁超市等，高起点建设长三角绿色农产品生产、加工、供应基地，着力打造长三角绿色农产品物流供应平台，共建长三角三小时鲜活农产品物流圈。</w:t>
      </w:r>
    </w:p>
    <w:p>
      <w:pPr>
        <w:widowControl w:val="0"/>
        <w:shd w:val="clear" w:color="auto" w:fill="FFFFFF"/>
        <w:spacing w:line="560" w:lineRule="exact"/>
        <w:ind w:firstLine="643" w:firstLineChars="200"/>
        <w:rPr>
          <w:rFonts w:hint="default" w:ascii="Times New Roman" w:hAnsi="Times New Roman" w:cs="Times New Roman"/>
          <w:color w:val="000000" w:themeColor="text1"/>
          <w:sz w:val="32"/>
          <w:szCs w:val="32"/>
          <w14:textFill>
            <w14:solidFill>
              <w14:schemeClr w14:val="tx1"/>
            </w14:solidFill>
          </w14:textFill>
        </w:rPr>
      </w:pPr>
      <w:r>
        <w:rPr>
          <w:rFonts w:hint="default" w:ascii="Times New Roman" w:hAnsi="Times New Roman" w:eastAsia="楷体_GB2312" w:cs="Times New Roman"/>
          <w:b/>
          <w:bCs/>
          <w:color w:val="000000" w:themeColor="text1"/>
          <w:sz w:val="32"/>
          <w:szCs w:val="32"/>
          <w14:textFill>
            <w14:solidFill>
              <w14:schemeClr w14:val="tx1"/>
            </w14:solidFill>
          </w14:textFill>
        </w:rPr>
        <w:t>3.建成皖北乃至中原经济区和淮海经济区具有较高知名度的休闲旅游目的地。</w:t>
      </w:r>
      <w:r>
        <w:rPr>
          <w:rFonts w:hint="default" w:ascii="Times New Roman" w:hAnsi="Times New Roman" w:eastAsia="仿宋_GB2312" w:cs="Times New Roman"/>
          <w:color w:val="000000" w:themeColor="text1"/>
          <w:sz w:val="32"/>
          <w:szCs w:val="32"/>
          <w14:textFill>
            <w14:solidFill>
              <w14:schemeClr w14:val="tx1"/>
            </w14:solidFill>
          </w14:textFill>
        </w:rPr>
        <w:t>深挖资源优势，</w:t>
      </w:r>
      <w:r>
        <w:rPr>
          <w:rFonts w:hint="default" w:ascii="Times New Roman" w:hAnsi="Times New Roman" w:eastAsia="仿宋_GB2312" w:cs="Times New Roman"/>
          <w:smallCaps/>
          <w:color w:val="000000" w:themeColor="text1"/>
          <w:sz w:val="32"/>
          <w:szCs w:val="32"/>
          <w14:textFill>
            <w14:solidFill>
              <w14:schemeClr w14:val="tx1"/>
            </w14:solidFill>
          </w14:textFill>
        </w:rPr>
        <w:t>做靓濉溪旅游品牌，大力发展红色旅游、乡村旅游、文化旅游、休闲度假、工业旅游等特色旅游，打造多条贯通全域主题旅游线路，着力打造“运河文化、古镇文化、红色文化、酿酒文化”，</w:t>
      </w:r>
      <w:r>
        <w:rPr>
          <w:rFonts w:hint="default" w:ascii="Times New Roman" w:hAnsi="Times New Roman" w:eastAsia="仿宋_GB2312" w:cs="Times New Roman"/>
          <w:color w:val="000000" w:themeColor="text1"/>
          <w:sz w:val="32"/>
          <w:szCs w:val="32"/>
          <w14:textFill>
            <w14:solidFill>
              <w14:schemeClr w14:val="tx1"/>
            </w14:solidFill>
          </w14:textFill>
        </w:rPr>
        <w:t>大力发展特色餐饮和旅游，加快老城改造、新城完善、新区建设</w:t>
      </w:r>
      <w:r>
        <w:rPr>
          <w:rFonts w:hint="default" w:ascii="Times New Roman" w:hAnsi="Times New Roman" w:eastAsia="仿宋_GB2312" w:cs="Times New Roman"/>
          <w:smallCaps/>
          <w:color w:val="000000" w:themeColor="text1"/>
          <w:sz w:val="32"/>
          <w:szCs w:val="32"/>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绘就</w:t>
      </w:r>
      <w:r>
        <w:rPr>
          <w:rFonts w:hint="default" w:ascii="Times New Roman" w:hAnsi="Times New Roman" w:eastAsia="仿宋_GB2312" w:cs="Times New Roman"/>
          <w:smallCaps/>
          <w:color w:val="000000" w:themeColor="text1"/>
          <w:sz w:val="32"/>
          <w:szCs w:val="32"/>
          <w14:textFill>
            <w14:solidFill>
              <w14:schemeClr w14:val="tx1"/>
            </w14:solidFill>
          </w14:textFill>
        </w:rPr>
        <w:t>濉溪</w:t>
      </w:r>
      <w:r>
        <w:rPr>
          <w:rFonts w:hint="default" w:ascii="Times New Roman" w:hAnsi="Times New Roman" w:eastAsia="仿宋_GB2312" w:cs="Times New Roman"/>
          <w:color w:val="000000" w:themeColor="text1"/>
          <w:sz w:val="32"/>
          <w:szCs w:val="32"/>
          <w14:textFill>
            <w14:solidFill>
              <w14:schemeClr w14:val="tx1"/>
            </w14:solidFill>
          </w14:textFill>
        </w:rPr>
        <w:t>全域旅游发展美丽新画卷。</w:t>
      </w:r>
    </w:p>
    <w:p>
      <w:pPr>
        <w:pStyle w:val="4"/>
        <w:keepNext w:val="0"/>
        <w:keepLines w:val="0"/>
        <w:spacing w:before="0" w:after="0" w:line="560" w:lineRule="exact"/>
        <w:ind w:firstLine="640" w:firstLineChars="200"/>
        <w:rPr>
          <w:rFonts w:hint="default" w:ascii="Times New Roman" w:hAnsi="Times New Roman" w:eastAsia="黑体" w:cs="Times New Roman"/>
          <w:b w:val="0"/>
          <w:bCs w:val="0"/>
          <w:color w:val="000000" w:themeColor="text1"/>
          <w14:textFill>
            <w14:solidFill>
              <w14:schemeClr w14:val="tx1"/>
            </w14:solidFill>
          </w14:textFill>
        </w:rPr>
      </w:pPr>
      <w:bookmarkStart w:id="64" w:name="_Toc15693"/>
      <w:bookmarkStart w:id="65" w:name="_Toc8488"/>
      <w:bookmarkStart w:id="66" w:name="_Toc83296388"/>
      <w:r>
        <w:rPr>
          <w:rFonts w:hint="default" w:ascii="Times New Roman" w:hAnsi="Times New Roman" w:eastAsia="黑体" w:cs="Times New Roman"/>
          <w:b w:val="0"/>
          <w:bCs w:val="0"/>
          <w:color w:val="000000" w:themeColor="text1"/>
          <w14:textFill>
            <w14:solidFill>
              <w14:schemeClr w14:val="tx1"/>
            </w14:solidFill>
          </w14:textFill>
        </w:rPr>
        <w:t>四、发展目标</w:t>
      </w:r>
      <w:bookmarkEnd w:id="64"/>
      <w:bookmarkEnd w:id="65"/>
      <w:bookmarkEnd w:id="66"/>
    </w:p>
    <w:p>
      <w:pPr>
        <w:spacing w:line="56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bookmarkStart w:id="67" w:name="_Toc71708619"/>
      <w:bookmarkStart w:id="68" w:name="_Toc21162"/>
      <w:r>
        <w:rPr>
          <w:rFonts w:hint="default" w:ascii="Times New Roman" w:hAnsi="Times New Roman" w:eastAsia="仿宋_GB2312" w:cs="Times New Roman"/>
          <w:color w:val="000000" w:themeColor="text1"/>
          <w:sz w:val="32"/>
          <w:szCs w:val="32"/>
          <w14:textFill>
            <w14:solidFill>
              <w14:schemeClr w14:val="tx1"/>
            </w14:solidFill>
          </w14:textFill>
        </w:rPr>
        <w:t>围绕濉溪县“十四五”规划纲要确定的总体发展目标，瞄准补齐服务业发展短板，到“十四五”末，濉溪县形成一批优势服务产业，传统服务业加快转型，新兴服务业加快培育，现代服务业与现代农业、先进制造业深度融合，产业结构明显优化，空间布局显著优化，市场主体竞争力明显增强，产业结构趋向合理化和高级化，服务业整体水准进一步提高，总量规模显著增大，实现</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产业结构</w:t>
      </w:r>
      <w:r>
        <w:rPr>
          <w:rFonts w:hint="default" w:ascii="Times New Roman" w:hAnsi="Times New Roman" w:eastAsia="仿宋_GB2312" w:cs="Times New Roman"/>
          <w:color w:val="000000" w:themeColor="text1"/>
          <w:sz w:val="32"/>
          <w:szCs w:val="32"/>
          <w14:textFill>
            <w14:solidFill>
              <w14:schemeClr w14:val="tx1"/>
            </w14:solidFill>
          </w14:textFill>
        </w:rPr>
        <w:t>由“二三一”向“三二一”的转变，逐步建立起能满足社会需求升级要求、体现资源型城市特征的特色明显、结构合理、功能完善的现代服务业体系，服务长三角一体化能力显著增强，成为全县新的经济增长点，濉溪县成为带动皖北发展的区域性综合性服务中心。</w:t>
      </w:r>
      <w:bookmarkEnd w:id="67"/>
      <w:bookmarkEnd w:id="68"/>
    </w:p>
    <w:p>
      <w:pPr>
        <w:keepNext w:val="0"/>
        <w:keepLines w:val="0"/>
        <w:pageBreakBefore w:val="0"/>
        <w:widowControl w:val="0"/>
        <w:kinsoku/>
        <w:wordWrap/>
        <w:overflowPunct/>
        <w:topLinePunct w:val="0"/>
        <w:autoSpaceDN/>
        <w:bidi w:val="0"/>
        <w:spacing w:line="560" w:lineRule="exact"/>
        <w:ind w:firstLine="643"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bookmarkStart w:id="69" w:name="_Toc60995777"/>
      <w:r>
        <w:rPr>
          <w:rFonts w:hint="default" w:ascii="Times New Roman" w:hAnsi="Times New Roman" w:eastAsia="楷体_GB2312" w:cs="Times New Roman"/>
          <w:b/>
          <w:color w:val="000000" w:themeColor="text1"/>
          <w:sz w:val="32"/>
          <w:szCs w:val="32"/>
          <w14:textFill>
            <w14:solidFill>
              <w14:schemeClr w14:val="tx1"/>
            </w14:solidFill>
          </w14:textFill>
        </w:rPr>
        <w:t>服务业发展贡献</w:t>
      </w:r>
      <w:bookmarkEnd w:id="69"/>
      <w:r>
        <w:rPr>
          <w:rFonts w:hint="default" w:ascii="Times New Roman" w:hAnsi="Times New Roman" w:eastAsia="楷体_GB2312" w:cs="Times New Roman"/>
          <w:b/>
          <w:color w:val="000000" w:themeColor="text1"/>
          <w:sz w:val="32"/>
          <w:szCs w:val="32"/>
          <w14:textFill>
            <w14:solidFill>
              <w14:schemeClr w14:val="tx1"/>
            </w14:solidFill>
          </w14:textFill>
        </w:rPr>
        <w:t>不断增强。</w:t>
      </w:r>
      <w:r>
        <w:rPr>
          <w:rFonts w:hint="default" w:ascii="Times New Roman" w:hAnsi="Times New Roman" w:eastAsia="仿宋_GB2312" w:cs="Times New Roman"/>
          <w:color w:val="000000" w:themeColor="text1"/>
          <w:sz w:val="32"/>
          <w:szCs w:val="32"/>
          <w14:textFill>
            <w14:solidFill>
              <w14:schemeClr w14:val="tx1"/>
            </w14:solidFill>
          </w14:textFill>
        </w:rPr>
        <w:t>服务业对经济发展、民生改善、社会进步的贡献进一步增强。到2025年，第三产服务业增加值超过400亿元，占比稳步提高到5</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0</w:t>
      </w:r>
      <w:r>
        <w:rPr>
          <w:rFonts w:hint="default" w:ascii="Times New Roman" w:hAnsi="Times New Roman" w:eastAsia="仿宋_GB2312" w:cs="Times New Roman"/>
          <w:color w:val="000000" w:themeColor="text1"/>
          <w:sz w:val="32"/>
          <w:szCs w:val="32"/>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左右</w:t>
      </w:r>
      <w:r>
        <w:rPr>
          <w:rFonts w:hint="default" w:ascii="Times New Roman" w:hAnsi="Times New Roman" w:eastAsia="仿宋_GB2312" w:cs="Times New Roman"/>
          <w:color w:val="000000" w:themeColor="text1"/>
          <w:sz w:val="32"/>
          <w:szCs w:val="32"/>
          <w14:textFill>
            <w14:solidFill>
              <w14:schemeClr w14:val="tx1"/>
            </w14:solidFill>
          </w14:textFill>
        </w:rPr>
        <w:t>，就业人口占全社会就业人口比重提高到5</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0</w:t>
      </w:r>
      <w:r>
        <w:rPr>
          <w:rFonts w:hint="default" w:ascii="Times New Roman" w:hAnsi="Times New Roman" w:eastAsia="仿宋_GB2312" w:cs="Times New Roman"/>
          <w:color w:val="000000" w:themeColor="text1"/>
          <w:sz w:val="32"/>
          <w:szCs w:val="32"/>
          <w14:textFill>
            <w14:solidFill>
              <w14:schemeClr w14:val="tx1"/>
            </w14:solidFill>
          </w14:textFill>
        </w:rPr>
        <w:t>%以上。</w:t>
      </w:r>
    </w:p>
    <w:p>
      <w:pPr>
        <w:keepNext w:val="0"/>
        <w:keepLines w:val="0"/>
        <w:pageBreakBefore w:val="0"/>
        <w:widowControl w:val="0"/>
        <w:kinsoku/>
        <w:wordWrap/>
        <w:overflowPunct/>
        <w:topLinePunct w:val="0"/>
        <w:autoSpaceDN/>
        <w:bidi w:val="0"/>
        <w:spacing w:line="560" w:lineRule="exact"/>
        <w:ind w:firstLine="643"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楷体_GB2312" w:cs="Times New Roman"/>
          <w:b/>
          <w:color w:val="000000" w:themeColor="text1"/>
          <w:sz w:val="32"/>
          <w:szCs w:val="32"/>
          <w14:textFill>
            <w14:solidFill>
              <w14:schemeClr w14:val="tx1"/>
            </w14:solidFill>
          </w14:textFill>
        </w:rPr>
        <w:t>服务业内部结构更趋优化。</w:t>
      </w:r>
      <w:r>
        <w:rPr>
          <w:rFonts w:hint="default" w:ascii="Times New Roman" w:hAnsi="Times New Roman" w:eastAsia="仿宋_GB2312" w:cs="Times New Roman"/>
          <w:color w:val="000000" w:themeColor="text1"/>
          <w:sz w:val="32"/>
          <w:szCs w:val="32"/>
          <w14:textFill>
            <w14:solidFill>
              <w14:schemeClr w14:val="tx1"/>
            </w14:solidFill>
          </w14:textFill>
        </w:rPr>
        <w:t>服务业内部结构进一步优化，形成以现代物流、商贸流通、文化、旅游、商务、金融、信息与科技创新等现代服务业为龙头，传统服务业快速提升的产业发展格局，</w:t>
      </w:r>
      <w:r>
        <w:rPr>
          <w:rFonts w:hint="default" w:ascii="Times New Roman" w:hAnsi="Times New Roman" w:eastAsia="仿宋_GB2312" w:cs="Times New Roman"/>
          <w:bCs/>
          <w:color w:val="000000" w:themeColor="text1"/>
          <w:sz w:val="32"/>
          <w:szCs w:val="32"/>
          <w14:textFill>
            <w14:solidFill>
              <w14:schemeClr w14:val="tx1"/>
            </w14:solidFill>
          </w14:textFill>
        </w:rPr>
        <w:t>生产性服务业和生活性服务业均衡发展，形成比较完善的现代服务业产业体系。</w:t>
      </w:r>
    </w:p>
    <w:p>
      <w:pPr>
        <w:widowControl w:val="0"/>
        <w:shd w:val="clear" w:color="auto" w:fill="FFFFFF"/>
        <w:spacing w:line="560" w:lineRule="exact"/>
        <w:ind w:firstLine="643"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楷体_GB2312" w:cs="Times New Roman"/>
          <w:b/>
          <w:color w:val="000000" w:themeColor="text1"/>
          <w:sz w:val="32"/>
          <w:szCs w:val="32"/>
          <w14:textFill>
            <w14:solidFill>
              <w14:schemeClr w14:val="tx1"/>
            </w14:solidFill>
          </w14:textFill>
        </w:rPr>
        <w:t>服务业发展特色更加明显。</w:t>
      </w:r>
      <w:r>
        <w:rPr>
          <w:rFonts w:hint="default" w:ascii="Times New Roman" w:hAnsi="Times New Roman" w:eastAsia="仿宋_GB2312" w:cs="Times New Roman"/>
          <w:color w:val="000000" w:themeColor="text1"/>
          <w:sz w:val="32"/>
          <w:szCs w:val="32"/>
          <w14:textFill>
            <w14:solidFill>
              <w14:schemeClr w14:val="tx1"/>
            </w14:solidFill>
          </w14:textFill>
        </w:rPr>
        <w:t>进一步发挥濉溪特有的红色、运河、古镇、工矿遗址等地方特色资源和产业基础的优势，完善和提升服务业产业链，做大做强濉溪特色服务业。</w:t>
      </w:r>
    </w:p>
    <w:p>
      <w:pPr>
        <w:widowControl w:val="0"/>
        <w:shd w:val="clear" w:color="auto" w:fill="FFFFFF"/>
        <w:spacing w:line="560" w:lineRule="exact"/>
        <w:ind w:firstLine="643"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楷体_GB2312" w:cs="Times New Roman"/>
          <w:b/>
          <w:color w:val="000000" w:themeColor="text1"/>
          <w:sz w:val="32"/>
          <w:szCs w:val="32"/>
          <w14:textFill>
            <w14:solidFill>
              <w14:schemeClr w14:val="tx1"/>
            </w14:solidFill>
          </w14:textFill>
        </w:rPr>
        <w:t>服务业发展更加集聚。</w:t>
      </w:r>
      <w:r>
        <w:rPr>
          <w:rFonts w:hint="default" w:ascii="Times New Roman" w:hAnsi="Times New Roman" w:eastAsia="仿宋_GB2312" w:cs="Times New Roman"/>
          <w:color w:val="000000" w:themeColor="text1"/>
          <w:sz w:val="32"/>
          <w:szCs w:val="32"/>
          <w14:textFill>
            <w14:solidFill>
              <w14:schemeClr w14:val="tx1"/>
            </w14:solidFill>
          </w14:textFill>
        </w:rPr>
        <w:t>依托濉溪老城升级、南部次中心建设，以及现有服务业集聚区提升，培育引进一批具有引领作用的服务业企业，形成一批产业集聚、特色鲜明、功能完善的服务业发展集聚区，到2025年省级服务业集聚区达到</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5</w:t>
      </w:r>
      <w:r>
        <w:rPr>
          <w:rFonts w:hint="default" w:ascii="Times New Roman" w:hAnsi="Times New Roman" w:eastAsia="仿宋_GB2312" w:cs="Times New Roman"/>
          <w:color w:val="000000" w:themeColor="text1"/>
          <w:sz w:val="32"/>
          <w:szCs w:val="32"/>
          <w14:textFill>
            <w14:solidFill>
              <w14:schemeClr w14:val="tx1"/>
            </w14:solidFill>
          </w14:textFill>
        </w:rPr>
        <w:t>家左右。</w:t>
      </w:r>
    </w:p>
    <w:p>
      <w:pPr>
        <w:widowControl w:val="0"/>
        <w:shd w:val="clear" w:color="auto" w:fill="FFFFFF"/>
        <w:spacing w:line="560" w:lineRule="exact"/>
        <w:ind w:firstLine="643"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楷体_GB2312" w:cs="Times New Roman"/>
          <w:b/>
          <w:color w:val="000000" w:themeColor="text1"/>
          <w:sz w:val="32"/>
          <w:szCs w:val="32"/>
          <w14:textFill>
            <w14:solidFill>
              <w14:schemeClr w14:val="tx1"/>
            </w14:solidFill>
          </w14:textFill>
        </w:rPr>
        <w:t>服务业创新水平更上台阶。</w:t>
      </w:r>
      <w:r>
        <w:rPr>
          <w:rFonts w:hint="default" w:ascii="Times New Roman" w:hAnsi="Times New Roman" w:eastAsia="仿宋_GB2312" w:cs="Times New Roman"/>
          <w:color w:val="000000" w:themeColor="text1"/>
          <w:sz w:val="32"/>
          <w:szCs w:val="32"/>
          <w14:textFill>
            <w14:solidFill>
              <w14:schemeClr w14:val="tx1"/>
            </w14:solidFill>
          </w14:textFill>
        </w:rPr>
        <w:t>进一步增强技术创新对服务业发展的引领作用，将5G、互联网、大数据等新一代信息技术和服务业深度融合，推动科技研发等重点领域创新取得明显成效。</w:t>
      </w:r>
    </w:p>
    <w:p>
      <w:pPr>
        <w:spacing w:line="560" w:lineRule="exact"/>
        <w:ind w:firstLine="643" w:firstLineChars="200"/>
        <w:jc w:val="both"/>
        <w:rPr>
          <w:rFonts w:hint="default" w:ascii="Times New Roman" w:hAnsi="Times New Roman" w:eastAsia="仿宋_GB2312" w:cs="Times New Roman"/>
          <w:color w:val="000000" w:themeColor="text1"/>
          <w:sz w:val="32"/>
          <w:szCs w:val="32"/>
          <w14:textFill>
            <w14:solidFill>
              <w14:schemeClr w14:val="tx1"/>
            </w14:solidFill>
          </w14:textFill>
        </w:rPr>
      </w:pPr>
      <w:bookmarkStart w:id="70" w:name="_Toc122253150"/>
      <w:bookmarkStart w:id="71" w:name="_Toc158395226"/>
      <w:bookmarkStart w:id="72" w:name="_Toc120870593"/>
      <w:bookmarkStart w:id="73" w:name="_Toc136980324"/>
      <w:r>
        <w:rPr>
          <w:rFonts w:hint="default" w:ascii="Times New Roman" w:hAnsi="Times New Roman" w:eastAsia="楷体_GB2312" w:cs="Times New Roman"/>
          <w:b/>
          <w:color w:val="000000" w:themeColor="text1"/>
          <w:sz w:val="32"/>
          <w:szCs w:val="32"/>
          <w14:textFill>
            <w14:solidFill>
              <w14:schemeClr w14:val="tx1"/>
            </w14:solidFill>
          </w14:textFill>
        </w:rPr>
        <w:t>服务业市场建设更加成熟</w:t>
      </w:r>
      <w:bookmarkEnd w:id="70"/>
      <w:bookmarkEnd w:id="71"/>
      <w:bookmarkEnd w:id="72"/>
      <w:bookmarkEnd w:id="73"/>
      <w:r>
        <w:rPr>
          <w:rFonts w:hint="default" w:ascii="Times New Roman" w:hAnsi="Times New Roman" w:eastAsia="楷体_GB2312" w:cs="Times New Roman"/>
          <w:b/>
          <w:color w:val="000000" w:themeColor="text1"/>
          <w:sz w:val="32"/>
          <w:szCs w:val="32"/>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实现专业商品市场和资本、物流、商贸、电子商务、文化旅游、房地产等服务市场健康快速发展，形成多功能、开放式、社会化的市场服务体系。</w:t>
      </w:r>
    </w:p>
    <w:p>
      <w:pPr>
        <w:spacing w:line="600" w:lineRule="exact"/>
        <w:jc w:val="center"/>
        <w:rPr>
          <w:rFonts w:hint="default" w:ascii="Times New Roman" w:hAnsi="Times New Roman" w:eastAsia="黑体" w:cs="Times New Roman"/>
          <w:b w:val="0"/>
          <w:bCs w:val="0"/>
          <w:color w:val="000000" w:themeColor="text1"/>
          <w:kern w:val="0"/>
          <w:sz w:val="32"/>
          <w:szCs w:val="32"/>
          <w14:textFill>
            <w14:solidFill>
              <w14:schemeClr w14:val="tx1"/>
            </w14:solidFill>
          </w14:textFill>
        </w:rPr>
      </w:pPr>
      <w:r>
        <w:rPr>
          <w:rFonts w:hint="default" w:ascii="Times New Roman" w:hAnsi="Times New Roman" w:eastAsia="黑体" w:cs="Times New Roman"/>
          <w:b w:val="0"/>
          <w:bCs w:val="0"/>
          <w:color w:val="000000" w:themeColor="text1"/>
          <w:kern w:val="0"/>
          <w:sz w:val="32"/>
          <w:szCs w:val="32"/>
          <w14:textFill>
            <w14:solidFill>
              <w14:schemeClr w14:val="tx1"/>
            </w14:solidFill>
          </w14:textFill>
        </w:rPr>
        <w:t>表1  濉溪县“十四五”服务业发展主要目标</w:t>
      </w:r>
    </w:p>
    <w:tbl>
      <w:tblPr>
        <w:tblStyle w:val="23"/>
        <w:tblW w:w="907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1" w:type="dxa"/>
          <w:bottom w:w="0" w:type="dxa"/>
          <w:right w:w="51" w:type="dxa"/>
        </w:tblCellMar>
      </w:tblPr>
      <w:tblGrid>
        <w:gridCol w:w="694"/>
        <w:gridCol w:w="3109"/>
        <w:gridCol w:w="1528"/>
        <w:gridCol w:w="1239"/>
        <w:gridCol w:w="1454"/>
        <w:gridCol w:w="10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1" w:type="dxa"/>
            <w:bottom w:w="0" w:type="dxa"/>
            <w:right w:w="51" w:type="dxa"/>
          </w:tblCellMar>
        </w:tblPrEx>
        <w:trPr>
          <w:trHeight w:val="764" w:hRule="atLeast"/>
          <w:jc w:val="center"/>
        </w:trPr>
        <w:tc>
          <w:tcPr>
            <w:tcW w:w="694"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序号</w:t>
            </w:r>
          </w:p>
        </w:tc>
        <w:tc>
          <w:tcPr>
            <w:tcW w:w="3109"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指标名称</w:t>
            </w:r>
          </w:p>
        </w:tc>
        <w:tc>
          <w:tcPr>
            <w:tcW w:w="1528"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2020年</w:t>
            </w:r>
          </w:p>
        </w:tc>
        <w:tc>
          <w:tcPr>
            <w:tcW w:w="1239"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2025年</w:t>
            </w:r>
          </w:p>
        </w:tc>
        <w:tc>
          <w:tcPr>
            <w:tcW w:w="1454"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年均增幅</w:t>
            </w:r>
          </w:p>
        </w:tc>
        <w:tc>
          <w:tcPr>
            <w:tcW w:w="1048"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属性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1" w:type="dxa"/>
            <w:bottom w:w="0" w:type="dxa"/>
            <w:right w:w="51" w:type="dxa"/>
          </w:tblCellMar>
        </w:tblPrEx>
        <w:trPr>
          <w:trHeight w:val="1121" w:hRule="exact"/>
          <w:jc w:val="center"/>
        </w:trPr>
        <w:tc>
          <w:tcPr>
            <w:tcW w:w="694"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w:t>
            </w:r>
          </w:p>
        </w:tc>
        <w:tc>
          <w:tcPr>
            <w:tcW w:w="3109" w:type="dxa"/>
            <w:vAlign w:val="center"/>
          </w:tcPr>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第三产</w:t>
            </w:r>
            <w:r>
              <w:rPr>
                <w:rFonts w:hint="default" w:ascii="Times New Roman" w:hAnsi="Times New Roman" w:eastAsia="仿宋_GB2312" w:cs="Times New Roman"/>
                <w:sz w:val="28"/>
                <w:szCs w:val="28"/>
                <w:lang w:eastAsia="zh-CN"/>
              </w:rPr>
              <w:t>业</w:t>
            </w:r>
            <w:r>
              <w:rPr>
                <w:rFonts w:hint="default" w:ascii="Times New Roman" w:hAnsi="Times New Roman" w:eastAsia="仿宋_GB2312" w:cs="Times New Roman"/>
                <w:sz w:val="28"/>
                <w:szCs w:val="28"/>
              </w:rPr>
              <w:t>增加值（亿元）</w:t>
            </w:r>
          </w:p>
        </w:tc>
        <w:tc>
          <w:tcPr>
            <w:tcW w:w="1528"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194.2</w:t>
            </w:r>
          </w:p>
        </w:tc>
        <w:tc>
          <w:tcPr>
            <w:tcW w:w="1239"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400</w:t>
            </w:r>
          </w:p>
        </w:tc>
        <w:tc>
          <w:tcPr>
            <w:tcW w:w="1454"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年均增速15.55%</w:t>
            </w:r>
          </w:p>
        </w:tc>
        <w:tc>
          <w:tcPr>
            <w:tcW w:w="1048"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1" w:type="dxa"/>
            <w:bottom w:w="0" w:type="dxa"/>
            <w:right w:w="51" w:type="dxa"/>
          </w:tblCellMar>
        </w:tblPrEx>
        <w:trPr>
          <w:trHeight w:val="1039" w:hRule="exact"/>
          <w:jc w:val="center"/>
        </w:trPr>
        <w:tc>
          <w:tcPr>
            <w:tcW w:w="694"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w:t>
            </w:r>
          </w:p>
        </w:tc>
        <w:tc>
          <w:tcPr>
            <w:tcW w:w="3109" w:type="dxa"/>
            <w:vAlign w:val="center"/>
          </w:tcPr>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服务业增加值占GDP比重（%）</w:t>
            </w:r>
          </w:p>
        </w:tc>
        <w:tc>
          <w:tcPr>
            <w:tcW w:w="1528"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41.5</w:t>
            </w:r>
          </w:p>
        </w:tc>
        <w:tc>
          <w:tcPr>
            <w:tcW w:w="1239"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50</w:t>
            </w:r>
          </w:p>
        </w:tc>
        <w:tc>
          <w:tcPr>
            <w:tcW w:w="1454"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w:t>
            </w:r>
          </w:p>
        </w:tc>
        <w:tc>
          <w:tcPr>
            <w:tcW w:w="1048"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1" w:type="dxa"/>
            <w:bottom w:w="0" w:type="dxa"/>
            <w:right w:w="51" w:type="dxa"/>
          </w:tblCellMar>
        </w:tblPrEx>
        <w:trPr>
          <w:trHeight w:val="1018" w:hRule="exact"/>
          <w:jc w:val="center"/>
        </w:trPr>
        <w:tc>
          <w:tcPr>
            <w:tcW w:w="694"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3</w:t>
            </w:r>
          </w:p>
        </w:tc>
        <w:tc>
          <w:tcPr>
            <w:tcW w:w="3109" w:type="dxa"/>
            <w:vAlign w:val="center"/>
          </w:tcPr>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全员劳动生产率（万元/人）</w:t>
            </w:r>
          </w:p>
        </w:tc>
        <w:tc>
          <w:tcPr>
            <w:tcW w:w="1528"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w:t>
            </w:r>
          </w:p>
        </w:tc>
        <w:tc>
          <w:tcPr>
            <w:tcW w:w="1239"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达全省平均</w:t>
            </w:r>
          </w:p>
        </w:tc>
        <w:tc>
          <w:tcPr>
            <w:tcW w:w="1454"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w:t>
            </w:r>
          </w:p>
        </w:tc>
        <w:tc>
          <w:tcPr>
            <w:tcW w:w="1048"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1" w:type="dxa"/>
            <w:bottom w:w="0" w:type="dxa"/>
            <w:right w:w="51" w:type="dxa"/>
          </w:tblCellMar>
        </w:tblPrEx>
        <w:trPr>
          <w:trHeight w:val="953" w:hRule="exact"/>
          <w:jc w:val="center"/>
        </w:trPr>
        <w:tc>
          <w:tcPr>
            <w:tcW w:w="694"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4</w:t>
            </w:r>
          </w:p>
        </w:tc>
        <w:tc>
          <w:tcPr>
            <w:tcW w:w="3109" w:type="dxa"/>
            <w:vAlign w:val="center"/>
          </w:tcPr>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服务业从业人数占全社会从业人数比重（%）</w:t>
            </w:r>
          </w:p>
        </w:tc>
        <w:tc>
          <w:tcPr>
            <w:tcW w:w="1528"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47.7</w:t>
            </w:r>
          </w:p>
        </w:tc>
        <w:tc>
          <w:tcPr>
            <w:tcW w:w="1239"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50</w:t>
            </w:r>
          </w:p>
        </w:tc>
        <w:tc>
          <w:tcPr>
            <w:tcW w:w="1454"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w:t>
            </w:r>
          </w:p>
        </w:tc>
        <w:tc>
          <w:tcPr>
            <w:tcW w:w="1048"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1" w:type="dxa"/>
            <w:bottom w:w="0" w:type="dxa"/>
            <w:right w:w="51" w:type="dxa"/>
          </w:tblCellMar>
        </w:tblPrEx>
        <w:trPr>
          <w:trHeight w:val="953" w:hRule="exact"/>
          <w:jc w:val="center"/>
        </w:trPr>
        <w:tc>
          <w:tcPr>
            <w:tcW w:w="694"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5</w:t>
            </w:r>
          </w:p>
        </w:tc>
        <w:tc>
          <w:tcPr>
            <w:tcW w:w="3109" w:type="dxa"/>
            <w:vAlign w:val="center"/>
          </w:tcPr>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 xml:space="preserve">规模以上服务业企业（家） </w:t>
            </w:r>
          </w:p>
        </w:tc>
        <w:tc>
          <w:tcPr>
            <w:tcW w:w="1528"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仿宋_GB2312" w:cs="Times New Roman"/>
                <w:sz w:val="28"/>
                <w:szCs w:val="28"/>
                <w:highlight w:val="none"/>
                <w:lang w:val="en-US" w:eastAsia="zh-CN"/>
              </w:rPr>
            </w:pPr>
            <w:r>
              <w:rPr>
                <w:rFonts w:hint="default" w:ascii="Times New Roman" w:hAnsi="Times New Roman" w:eastAsia="仿宋_GB2312" w:cs="Times New Roman"/>
                <w:sz w:val="28"/>
                <w:szCs w:val="28"/>
                <w:highlight w:val="none"/>
                <w:lang w:val="en-US" w:eastAsia="zh-CN"/>
              </w:rPr>
              <w:t>25</w:t>
            </w:r>
          </w:p>
        </w:tc>
        <w:tc>
          <w:tcPr>
            <w:tcW w:w="1239"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32</w:t>
            </w:r>
          </w:p>
        </w:tc>
        <w:tc>
          <w:tcPr>
            <w:tcW w:w="1454"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仿宋_GB2312" w:cs="Times New Roman"/>
                <w:sz w:val="28"/>
                <w:szCs w:val="28"/>
                <w:highlight w:val="none"/>
                <w:lang w:eastAsia="zh-CN"/>
              </w:rPr>
            </w:pPr>
            <w:r>
              <w:rPr>
                <w:rFonts w:hint="default" w:ascii="Times New Roman" w:hAnsi="Times New Roman" w:eastAsia="仿宋_GB2312" w:cs="Times New Roman"/>
                <w:sz w:val="28"/>
                <w:szCs w:val="28"/>
                <w:highlight w:val="none"/>
                <w:lang w:eastAsia="zh-CN"/>
              </w:rPr>
              <w:t>—</w:t>
            </w:r>
          </w:p>
        </w:tc>
        <w:tc>
          <w:tcPr>
            <w:tcW w:w="1048"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1" w:type="dxa"/>
            <w:bottom w:w="0" w:type="dxa"/>
            <w:right w:w="51" w:type="dxa"/>
          </w:tblCellMar>
        </w:tblPrEx>
        <w:trPr>
          <w:trHeight w:val="1019" w:hRule="exact"/>
          <w:jc w:val="center"/>
        </w:trPr>
        <w:tc>
          <w:tcPr>
            <w:tcW w:w="694"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6</w:t>
            </w:r>
          </w:p>
        </w:tc>
        <w:tc>
          <w:tcPr>
            <w:tcW w:w="3109" w:type="dxa"/>
            <w:vAlign w:val="center"/>
          </w:tcPr>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社会消费品零售总额（亿元）</w:t>
            </w:r>
          </w:p>
        </w:tc>
        <w:tc>
          <w:tcPr>
            <w:tcW w:w="1528"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140.8</w:t>
            </w:r>
          </w:p>
        </w:tc>
        <w:tc>
          <w:tcPr>
            <w:tcW w:w="1239"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218</w:t>
            </w:r>
          </w:p>
        </w:tc>
        <w:tc>
          <w:tcPr>
            <w:tcW w:w="1454"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年均增速9.14%</w:t>
            </w:r>
          </w:p>
        </w:tc>
        <w:tc>
          <w:tcPr>
            <w:tcW w:w="1048"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1" w:type="dxa"/>
            <w:bottom w:w="0" w:type="dxa"/>
            <w:right w:w="51" w:type="dxa"/>
          </w:tblCellMar>
        </w:tblPrEx>
        <w:trPr>
          <w:trHeight w:val="932" w:hRule="exact"/>
          <w:jc w:val="center"/>
        </w:trPr>
        <w:tc>
          <w:tcPr>
            <w:tcW w:w="694"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7</w:t>
            </w:r>
          </w:p>
        </w:tc>
        <w:tc>
          <w:tcPr>
            <w:tcW w:w="3109" w:type="dxa"/>
            <w:vAlign w:val="center"/>
          </w:tcPr>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培育电商主体（家）</w:t>
            </w:r>
          </w:p>
        </w:tc>
        <w:tc>
          <w:tcPr>
            <w:tcW w:w="1528"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362</w:t>
            </w:r>
          </w:p>
        </w:tc>
        <w:tc>
          <w:tcPr>
            <w:tcW w:w="1239"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500</w:t>
            </w:r>
          </w:p>
        </w:tc>
        <w:tc>
          <w:tcPr>
            <w:tcW w:w="1454"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年增约28家</w:t>
            </w:r>
          </w:p>
        </w:tc>
        <w:tc>
          <w:tcPr>
            <w:tcW w:w="1048"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1" w:type="dxa"/>
            <w:bottom w:w="0" w:type="dxa"/>
            <w:right w:w="51" w:type="dxa"/>
          </w:tblCellMar>
        </w:tblPrEx>
        <w:trPr>
          <w:trHeight w:val="995" w:hRule="exact"/>
          <w:jc w:val="center"/>
        </w:trPr>
        <w:tc>
          <w:tcPr>
            <w:tcW w:w="694"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8</w:t>
            </w:r>
          </w:p>
        </w:tc>
        <w:tc>
          <w:tcPr>
            <w:tcW w:w="3109" w:type="dxa"/>
            <w:vAlign w:val="center"/>
          </w:tcPr>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电子商务交易额（亿元）</w:t>
            </w:r>
          </w:p>
        </w:tc>
        <w:tc>
          <w:tcPr>
            <w:tcW w:w="1528"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42</w:t>
            </w:r>
          </w:p>
        </w:tc>
        <w:tc>
          <w:tcPr>
            <w:tcW w:w="1239"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269.2</w:t>
            </w:r>
          </w:p>
        </w:tc>
        <w:tc>
          <w:tcPr>
            <w:tcW w:w="1454"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年均增速45%</w:t>
            </w:r>
          </w:p>
        </w:tc>
        <w:tc>
          <w:tcPr>
            <w:tcW w:w="1048"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1" w:type="dxa"/>
            <w:bottom w:w="0" w:type="dxa"/>
            <w:right w:w="51" w:type="dxa"/>
          </w:tblCellMar>
        </w:tblPrEx>
        <w:trPr>
          <w:trHeight w:val="673" w:hRule="exact"/>
          <w:jc w:val="center"/>
        </w:trPr>
        <w:tc>
          <w:tcPr>
            <w:tcW w:w="694"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9</w:t>
            </w:r>
          </w:p>
        </w:tc>
        <w:tc>
          <w:tcPr>
            <w:tcW w:w="3109" w:type="dxa"/>
            <w:vAlign w:val="center"/>
          </w:tcPr>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旅游业总收入（亿元）</w:t>
            </w:r>
          </w:p>
        </w:tc>
        <w:tc>
          <w:tcPr>
            <w:tcW w:w="1528"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w:t>
            </w:r>
          </w:p>
        </w:tc>
        <w:tc>
          <w:tcPr>
            <w:tcW w:w="1239"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100</w:t>
            </w:r>
          </w:p>
        </w:tc>
        <w:tc>
          <w:tcPr>
            <w:tcW w:w="1454"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w:t>
            </w:r>
          </w:p>
        </w:tc>
        <w:tc>
          <w:tcPr>
            <w:tcW w:w="1048"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1" w:type="dxa"/>
            <w:bottom w:w="0" w:type="dxa"/>
            <w:right w:w="51" w:type="dxa"/>
          </w:tblCellMar>
        </w:tblPrEx>
        <w:trPr>
          <w:trHeight w:val="673" w:hRule="exact"/>
          <w:jc w:val="center"/>
        </w:trPr>
        <w:tc>
          <w:tcPr>
            <w:tcW w:w="694"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10</w:t>
            </w:r>
          </w:p>
        </w:tc>
        <w:tc>
          <w:tcPr>
            <w:tcW w:w="3109" w:type="dxa"/>
            <w:vAlign w:val="center"/>
          </w:tcPr>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省级服务业集聚区</w:t>
            </w:r>
          </w:p>
        </w:tc>
        <w:tc>
          <w:tcPr>
            <w:tcW w:w="1528"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w:t>
            </w:r>
            <w:r>
              <w:rPr>
                <w:rFonts w:hint="default" w:ascii="Times New Roman" w:hAnsi="Times New Roman" w:eastAsia="仿宋_GB2312" w:cs="Times New Roman"/>
                <w:sz w:val="28"/>
                <w:szCs w:val="28"/>
                <w:lang w:val="en-US" w:eastAsia="zh-CN"/>
              </w:rPr>
              <w:t>3</w:t>
            </w:r>
            <w:r>
              <w:rPr>
                <w:rFonts w:hint="default" w:ascii="Times New Roman" w:hAnsi="Times New Roman" w:eastAsia="仿宋_GB2312" w:cs="Times New Roman"/>
                <w:sz w:val="28"/>
                <w:szCs w:val="28"/>
              </w:rPr>
              <w:t>]</w:t>
            </w:r>
          </w:p>
        </w:tc>
        <w:tc>
          <w:tcPr>
            <w:tcW w:w="1239"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w:t>
            </w:r>
            <w:r>
              <w:rPr>
                <w:rFonts w:hint="default" w:ascii="Times New Roman" w:hAnsi="Times New Roman" w:eastAsia="仿宋_GB2312" w:cs="Times New Roman"/>
                <w:sz w:val="28"/>
                <w:szCs w:val="28"/>
                <w:lang w:val="en-US" w:eastAsia="zh-CN"/>
              </w:rPr>
              <w:t>5</w:t>
            </w:r>
            <w:r>
              <w:rPr>
                <w:rFonts w:hint="default" w:ascii="Times New Roman" w:hAnsi="Times New Roman" w:eastAsia="仿宋_GB2312" w:cs="Times New Roman"/>
                <w:sz w:val="28"/>
                <w:szCs w:val="28"/>
              </w:rPr>
              <w:t>]</w:t>
            </w:r>
          </w:p>
        </w:tc>
        <w:tc>
          <w:tcPr>
            <w:tcW w:w="1454"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w:t>
            </w:r>
          </w:p>
        </w:tc>
        <w:tc>
          <w:tcPr>
            <w:tcW w:w="1048"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1" w:type="dxa"/>
            <w:bottom w:w="0" w:type="dxa"/>
            <w:right w:w="51" w:type="dxa"/>
          </w:tblCellMar>
        </w:tblPrEx>
        <w:trPr>
          <w:trHeight w:val="953" w:hRule="exact"/>
          <w:jc w:val="center"/>
        </w:trPr>
        <w:tc>
          <w:tcPr>
            <w:tcW w:w="694"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11</w:t>
            </w:r>
          </w:p>
        </w:tc>
        <w:tc>
          <w:tcPr>
            <w:tcW w:w="3109" w:type="dxa"/>
            <w:vAlign w:val="center"/>
          </w:tcPr>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三次产业结构</w:t>
            </w:r>
          </w:p>
        </w:tc>
        <w:tc>
          <w:tcPr>
            <w:tcW w:w="1528"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11:49.5:39.5</w:t>
            </w:r>
          </w:p>
        </w:tc>
        <w:tc>
          <w:tcPr>
            <w:tcW w:w="1239"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5:45:50</w:t>
            </w:r>
          </w:p>
        </w:tc>
        <w:tc>
          <w:tcPr>
            <w:tcW w:w="1454"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w:t>
            </w:r>
          </w:p>
        </w:tc>
        <w:tc>
          <w:tcPr>
            <w:tcW w:w="1048"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1" w:type="dxa"/>
            <w:bottom w:w="0" w:type="dxa"/>
            <w:right w:w="51" w:type="dxa"/>
          </w:tblCellMar>
        </w:tblPrEx>
        <w:trPr>
          <w:trHeight w:val="683" w:hRule="exact"/>
          <w:jc w:val="center"/>
        </w:trPr>
        <w:tc>
          <w:tcPr>
            <w:tcW w:w="694"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12</w:t>
            </w:r>
          </w:p>
        </w:tc>
        <w:tc>
          <w:tcPr>
            <w:tcW w:w="3109" w:type="dxa"/>
            <w:vAlign w:val="center"/>
          </w:tcPr>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常住人口城镇化率（%）</w:t>
            </w:r>
          </w:p>
        </w:tc>
        <w:tc>
          <w:tcPr>
            <w:tcW w:w="1528"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45</w:t>
            </w:r>
          </w:p>
        </w:tc>
        <w:tc>
          <w:tcPr>
            <w:tcW w:w="1239"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62</w:t>
            </w:r>
          </w:p>
        </w:tc>
        <w:tc>
          <w:tcPr>
            <w:tcW w:w="1454"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w:t>
            </w:r>
          </w:p>
        </w:tc>
        <w:tc>
          <w:tcPr>
            <w:tcW w:w="1048"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预期性</w:t>
            </w:r>
          </w:p>
        </w:tc>
      </w:tr>
    </w:tbl>
    <w:p>
      <w:pPr>
        <w:rPr>
          <w:rFonts w:hint="default" w:ascii="Times New Roman" w:hAnsi="Times New Roman" w:cs="Times New Roman"/>
          <w:sz w:val="21"/>
          <w:szCs w:val="21"/>
        </w:rPr>
      </w:pPr>
      <w:r>
        <w:rPr>
          <w:rFonts w:hint="default" w:ascii="Times New Roman" w:hAnsi="Times New Roman" w:cs="Times New Roman"/>
          <w:sz w:val="21"/>
          <w:szCs w:val="21"/>
        </w:rPr>
        <w:t>注：[ ]内为五年累计数。</w:t>
      </w:r>
    </w:p>
    <w:p>
      <w:pPr>
        <w:ind w:firstLine="420"/>
        <w:rPr>
          <w:rFonts w:hint="default" w:ascii="Times New Roman" w:hAnsi="Times New Roman" w:cs="Times New Roman"/>
        </w:rPr>
      </w:pPr>
    </w:p>
    <w:p>
      <w:pPr>
        <w:pStyle w:val="3"/>
        <w:keepNext w:val="0"/>
        <w:keepLines w:val="0"/>
        <w:spacing w:before="0" w:after="0" w:line="560" w:lineRule="exact"/>
        <w:jc w:val="center"/>
        <w:rPr>
          <w:rFonts w:hint="default" w:ascii="Times New Roman" w:hAnsi="Times New Roman" w:cs="Times New Roman"/>
          <w:color w:val="000000" w:themeColor="text1"/>
          <w:sz w:val="32"/>
          <w:szCs w:val="32"/>
          <w14:textFill>
            <w14:solidFill>
              <w14:schemeClr w14:val="tx1"/>
            </w14:solidFill>
          </w14:textFill>
        </w:rPr>
      </w:pPr>
      <w:bookmarkStart w:id="74" w:name="_Toc83296389"/>
    </w:p>
    <w:p>
      <w:pPr>
        <w:pStyle w:val="3"/>
        <w:keepNext w:val="0"/>
        <w:keepLines w:val="0"/>
        <w:spacing w:before="0" w:after="0" w:line="560" w:lineRule="exact"/>
        <w:jc w:val="center"/>
        <w:rPr>
          <w:rFonts w:hint="default" w:ascii="Times New Roman" w:hAnsi="Times New Roman" w:cs="Times New Roman"/>
          <w:color w:val="000000" w:themeColor="text1"/>
          <w:sz w:val="32"/>
          <w:szCs w:val="32"/>
          <w14:textFill>
            <w14:solidFill>
              <w14:schemeClr w14:val="tx1"/>
            </w14:solidFill>
          </w14:textFill>
        </w:rPr>
      </w:pPr>
    </w:p>
    <w:p>
      <w:pPr>
        <w:pStyle w:val="3"/>
        <w:keepNext w:val="0"/>
        <w:keepLines w:val="0"/>
        <w:spacing w:before="0" w:after="0" w:line="560" w:lineRule="exact"/>
        <w:jc w:val="center"/>
        <w:rPr>
          <w:rFonts w:hint="default" w:ascii="Times New Roman" w:hAnsi="Times New Roman" w:cs="Times New Roman"/>
          <w:color w:val="000000" w:themeColor="text1"/>
          <w:sz w:val="32"/>
          <w:szCs w:val="32"/>
          <w14:textFill>
            <w14:solidFill>
              <w14:schemeClr w14:val="tx1"/>
            </w14:solidFill>
          </w14:textFill>
        </w:rPr>
      </w:pPr>
    </w:p>
    <w:p>
      <w:pPr>
        <w:pStyle w:val="3"/>
        <w:keepNext w:val="0"/>
        <w:keepLines w:val="0"/>
        <w:pageBreakBefore w:val="0"/>
        <w:widowControl w:val="0"/>
        <w:kinsoku/>
        <w:wordWrap/>
        <w:overflowPunct/>
        <w:topLinePunct w:val="0"/>
        <w:autoSpaceDE/>
        <w:autoSpaceDN/>
        <w:bidi w:val="0"/>
        <w:adjustRightInd/>
        <w:snapToGrid/>
        <w:spacing w:before="0" w:after="0" w:line="560" w:lineRule="exact"/>
        <w:jc w:val="center"/>
        <w:textAlignment w:val="auto"/>
        <w:rPr>
          <w:rFonts w:hint="default" w:ascii="Times New Roman" w:hAnsi="Times New Roman" w:cs="Times New Roman"/>
          <w:color w:val="000000" w:themeColor="text1"/>
          <w:sz w:val="32"/>
          <w:szCs w:val="32"/>
          <w14:textFill>
            <w14:solidFill>
              <w14:schemeClr w14:val="tx1"/>
            </w14:solidFill>
          </w14:textFill>
        </w:rPr>
      </w:pPr>
      <w:bookmarkStart w:id="75" w:name="_Toc1370"/>
    </w:p>
    <w:p>
      <w:pPr>
        <w:pStyle w:val="3"/>
        <w:keepNext w:val="0"/>
        <w:keepLines w:val="0"/>
        <w:pageBreakBefore w:val="0"/>
        <w:widowControl w:val="0"/>
        <w:kinsoku/>
        <w:wordWrap/>
        <w:overflowPunct/>
        <w:topLinePunct w:val="0"/>
        <w:autoSpaceDE/>
        <w:autoSpaceDN/>
        <w:bidi w:val="0"/>
        <w:adjustRightInd/>
        <w:snapToGrid/>
        <w:spacing w:before="0" w:after="0" w:line="560" w:lineRule="exact"/>
        <w:jc w:val="both"/>
        <w:textAlignment w:val="auto"/>
        <w:rPr>
          <w:rFonts w:hint="default" w:ascii="Times New Roman" w:hAnsi="Times New Roman" w:cs="Times New Roman"/>
          <w:color w:val="000000" w:themeColor="text1"/>
          <w:sz w:val="32"/>
          <w:szCs w:val="32"/>
          <w14:textFill>
            <w14:solidFill>
              <w14:schemeClr w14:val="tx1"/>
            </w14:solidFill>
          </w14:textFill>
        </w:rPr>
      </w:pPr>
    </w:p>
    <w:p>
      <w:pPr>
        <w:pStyle w:val="3"/>
        <w:keepNext w:val="0"/>
        <w:keepLines w:val="0"/>
        <w:pageBreakBefore w:val="0"/>
        <w:widowControl w:val="0"/>
        <w:kinsoku/>
        <w:wordWrap/>
        <w:overflowPunct/>
        <w:topLinePunct w:val="0"/>
        <w:autoSpaceDE/>
        <w:autoSpaceDN/>
        <w:bidi w:val="0"/>
        <w:adjustRightInd/>
        <w:snapToGrid/>
        <w:spacing w:before="0" w:after="0" w:line="560" w:lineRule="exact"/>
        <w:jc w:val="center"/>
        <w:textAlignment w:val="auto"/>
        <w:rPr>
          <w:rFonts w:hint="default" w:ascii="Times New Roman" w:hAnsi="Times New Roman" w:eastAsia="方正小标宋简体" w:cs="Times New Roman"/>
          <w:b w:val="0"/>
          <w:bCs w:val="0"/>
          <w:color w:val="000000" w:themeColor="text1"/>
          <w:sz w:val="44"/>
          <w:szCs w:val="44"/>
          <w14:textFill>
            <w14:solidFill>
              <w14:schemeClr w14:val="tx1"/>
            </w14:solidFill>
          </w14:textFill>
        </w:rPr>
      </w:pPr>
      <w:bookmarkStart w:id="76" w:name="_Toc24490"/>
      <w:r>
        <w:rPr>
          <w:rFonts w:hint="default" w:ascii="Times New Roman" w:hAnsi="Times New Roman" w:eastAsia="方正小标宋简体" w:cs="Times New Roman"/>
          <w:b w:val="0"/>
          <w:bCs w:val="0"/>
          <w:color w:val="000000" w:themeColor="text1"/>
          <w:sz w:val="44"/>
          <w:szCs w:val="44"/>
          <w14:textFill>
            <w14:solidFill>
              <w14:schemeClr w14:val="tx1"/>
            </w14:solidFill>
          </w14:textFill>
        </w:rPr>
        <w:t>第三章  主要任务</w:t>
      </w:r>
      <w:bookmarkEnd w:id="74"/>
      <w:bookmarkEnd w:id="75"/>
      <w:bookmarkEnd w:id="76"/>
    </w:p>
    <w:p>
      <w:pPr>
        <w:pStyle w:val="4"/>
        <w:keepNext w:val="0"/>
        <w:keepLines w:val="0"/>
        <w:spacing w:before="0" w:after="0" w:line="560" w:lineRule="exact"/>
        <w:ind w:firstLine="640" w:firstLineChars="200"/>
        <w:rPr>
          <w:rFonts w:hint="default" w:ascii="Times New Roman" w:hAnsi="Times New Roman" w:eastAsia="黑体" w:cs="Times New Roman"/>
          <w:b w:val="0"/>
          <w:bCs w:val="0"/>
          <w:color w:val="000000" w:themeColor="text1"/>
          <w14:textFill>
            <w14:solidFill>
              <w14:schemeClr w14:val="tx1"/>
            </w14:solidFill>
          </w14:textFill>
        </w:rPr>
      </w:pPr>
      <w:bookmarkStart w:id="77" w:name="_Toc83296390"/>
      <w:bookmarkStart w:id="78" w:name="_Toc25238"/>
    </w:p>
    <w:p>
      <w:pPr>
        <w:pStyle w:val="4"/>
        <w:keepNext w:val="0"/>
        <w:keepLines w:val="0"/>
        <w:spacing w:before="0" w:after="0" w:line="560" w:lineRule="exact"/>
        <w:ind w:firstLine="640" w:firstLineChars="200"/>
        <w:rPr>
          <w:rFonts w:hint="default" w:ascii="Times New Roman" w:hAnsi="Times New Roman" w:eastAsia="黑体" w:cs="Times New Roman"/>
          <w:b w:val="0"/>
          <w:bCs w:val="0"/>
          <w:color w:val="000000" w:themeColor="text1"/>
          <w14:textFill>
            <w14:solidFill>
              <w14:schemeClr w14:val="tx1"/>
            </w14:solidFill>
          </w14:textFill>
        </w:rPr>
      </w:pPr>
      <w:bookmarkStart w:id="79" w:name="_Toc18292"/>
      <w:r>
        <w:rPr>
          <w:rFonts w:hint="default" w:ascii="Times New Roman" w:hAnsi="Times New Roman" w:eastAsia="黑体" w:cs="Times New Roman"/>
          <w:b w:val="0"/>
          <w:bCs w:val="0"/>
          <w:color w:val="000000" w:themeColor="text1"/>
          <w14:textFill>
            <w14:solidFill>
              <w14:schemeClr w14:val="tx1"/>
            </w14:solidFill>
          </w14:textFill>
        </w:rPr>
        <w:t>一、推动生产性服务业向专业化和价值链高端延伸</w:t>
      </w:r>
      <w:bookmarkEnd w:id="77"/>
      <w:bookmarkEnd w:id="78"/>
      <w:bookmarkEnd w:id="79"/>
    </w:p>
    <w:p>
      <w:pPr>
        <w:pStyle w:val="5"/>
        <w:keepNext w:val="0"/>
        <w:keepLines w:val="0"/>
        <w:spacing w:before="0" w:after="0" w:line="560" w:lineRule="exact"/>
        <w:ind w:firstLine="643" w:firstLineChars="200"/>
        <w:rPr>
          <w:rFonts w:hint="default" w:ascii="Times New Roman" w:hAnsi="Times New Roman" w:eastAsia="楷体_GB2312" w:cs="Times New Roman"/>
          <w:color w:val="000000" w:themeColor="text1"/>
          <w14:textFill>
            <w14:solidFill>
              <w14:schemeClr w14:val="tx1"/>
            </w14:solidFill>
          </w14:textFill>
        </w:rPr>
      </w:pPr>
      <w:bookmarkStart w:id="80" w:name="_Toc21797"/>
      <w:bookmarkStart w:id="81" w:name="_Toc8023"/>
      <w:bookmarkStart w:id="82" w:name="_Toc83296391"/>
      <w:r>
        <w:rPr>
          <w:rFonts w:hint="default" w:ascii="Times New Roman" w:hAnsi="Times New Roman" w:eastAsia="楷体_GB2312" w:cs="Times New Roman"/>
          <w:color w:val="000000" w:themeColor="text1"/>
          <w14:textFill>
            <w14:solidFill>
              <w14:schemeClr w14:val="tx1"/>
            </w14:solidFill>
          </w14:textFill>
        </w:rPr>
        <w:t>（一）做优做强现代物流业</w:t>
      </w:r>
      <w:bookmarkEnd w:id="80"/>
      <w:bookmarkEnd w:id="81"/>
      <w:bookmarkEnd w:id="82"/>
    </w:p>
    <w:p>
      <w:pPr>
        <w:spacing w:line="560" w:lineRule="exact"/>
        <w:ind w:firstLine="640" w:firstLineChars="200"/>
        <w:rPr>
          <w:rFonts w:hint="default" w:ascii="Times New Roman" w:hAnsi="Times New Roman" w:eastAsia="仿宋_GB2312" w:cs="Times New Roman"/>
          <w:color w:val="0000FF"/>
          <w:sz w:val="32"/>
          <w:szCs w:val="32"/>
        </w:rPr>
      </w:pPr>
      <w:r>
        <w:rPr>
          <w:rFonts w:hint="default" w:ascii="Times New Roman" w:hAnsi="Times New Roman" w:eastAsia="仿宋_GB2312" w:cs="Times New Roman"/>
          <w:color w:val="000000" w:themeColor="text1"/>
          <w:sz w:val="32"/>
          <w:szCs w:val="32"/>
          <w14:textFill>
            <w14:solidFill>
              <w14:schemeClr w14:val="tx1"/>
            </w14:solidFill>
          </w14:textFill>
        </w:rPr>
        <w:t>创新供应链管理理念，引进和培育一批有竞争力的重点物流企业，加快发展第三方、第四方物流和快递配送物流，提高物流一体化运作水平。依托快速交通通道和运河航运，加快物流园平台建设，构建“水、陆、铁”三位一体的大物流平台。加强航道、船</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闸和码头建设；加快</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开发区智能快递物流</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中心</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和</w:t>
      </w:r>
      <w:r>
        <w:rPr>
          <w:rFonts w:ascii="Times New Roman" w:hAnsi="Times New Roman" w:eastAsia="仿宋_GB2312" w:cs="Times New Roman"/>
          <w:color w:val="000000" w:themeColor="text1"/>
          <w:sz w:val="32"/>
          <w:szCs w:val="32"/>
          <w:highlight w:val="none"/>
          <w14:textFill>
            <w14:solidFill>
              <w14:schemeClr w14:val="tx1"/>
            </w14:solidFill>
          </w14:textFill>
        </w:rPr>
        <w:t>中瑞农产</w:t>
      </w:r>
      <w:r>
        <w:rPr>
          <w:rFonts w:hint="default" w:ascii="Times New Roman" w:hAnsi="Times New Roman" w:eastAsia="仿宋_GB2312" w:cs="Times New Roman"/>
          <w:color w:val="000000" w:themeColor="text1"/>
          <w:sz w:val="32"/>
          <w:szCs w:val="32"/>
          <w14:textFill>
            <w14:solidFill>
              <w14:schemeClr w14:val="tx1"/>
            </w14:solidFill>
          </w14:textFill>
        </w:rPr>
        <w:t>品冷链物流园</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等</w:t>
      </w:r>
      <w:r>
        <w:rPr>
          <w:rFonts w:ascii="Times New Roman" w:hAnsi="Times New Roman" w:eastAsia="仿宋_GB2312" w:cs="Times New Roman"/>
          <w:color w:val="000000" w:themeColor="text1"/>
          <w:sz w:val="32"/>
          <w:szCs w:val="32"/>
          <w:highlight w:val="none"/>
          <w14:textFill>
            <w14:solidFill>
              <w14:schemeClr w14:val="tx1"/>
            </w14:solidFill>
          </w14:textFill>
        </w:rPr>
        <w:t>建设</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；推</w:t>
      </w:r>
      <w:r>
        <w:rPr>
          <w:rFonts w:hint="default" w:ascii="Times New Roman" w:hAnsi="Times New Roman" w:eastAsia="仿宋_GB2312" w:cs="Times New Roman"/>
          <w:color w:val="000000" w:themeColor="text1"/>
          <w:sz w:val="32"/>
          <w:szCs w:val="32"/>
          <w14:textFill>
            <w14:solidFill>
              <w14:schemeClr w14:val="tx1"/>
            </w14:solidFill>
          </w14:textFill>
        </w:rPr>
        <w:t>进淮海京东现代物流产业园</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铁佛镇茂铺物流园、孙疃镇建材物流园、孙疃镇冷链物流中心、南坪镇临港现代物流园、粮食物流应急保障中心等</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项目落地</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b w:val="0"/>
          <w:bCs w:val="0"/>
          <w:kern w:val="2"/>
          <w:sz w:val="32"/>
          <w:szCs w:val="32"/>
          <w:highlight w:val="none"/>
          <w:lang w:val="en-US" w:eastAsia="zh-CN" w:bidi="ar-SA"/>
        </w:rPr>
        <w:t>加快形成一批物流龙头企业。</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完善以翔宇物流、东风物流、中瑞农产品</w:t>
      </w:r>
      <w:r>
        <w:rPr>
          <w:rFonts w:hint="default" w:ascii="Times New Roman" w:hAnsi="Times New Roman" w:eastAsia="仿宋_GB2312" w:cs="Times New Roman"/>
          <w:color w:val="000000" w:themeColor="text1"/>
          <w:sz w:val="32"/>
          <w:szCs w:val="32"/>
          <w14:textFill>
            <w14:solidFill>
              <w14:schemeClr w14:val="tx1"/>
            </w14:solidFill>
          </w14:textFill>
        </w:rPr>
        <w:t>物流、顺达物流配送等为基础的物流体系，有机整合物流快递资源，优化配送渠道，有效降低物流快递成本。实现现代物流与各类产业的深度融合，引导企业加强供应链创新与应用，树立“绿金物流”优质服务品牌形象，提高产业集聚水平和增加区域辐射能力。积极推广智慧物流发展，形成以产业物流为基础，商贸物流为亮点的布局合理、层次分明、功能完善、技术先进、绿色环保、安全有序的现代物流体系，到“十四五”末，濉溪县基本建成以“一主两副两节点多站”货运枢纽场站为骨干框架的物流服务体系，成为皖北地区重要的物流枢纽城市。</w:t>
      </w:r>
    </w:p>
    <w:tbl>
      <w:tblPr>
        <w:tblStyle w:val="23"/>
        <w:tblW w:w="876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73" w:hRule="atLeast"/>
          <w:jc w:val="center"/>
        </w:trPr>
        <w:tc>
          <w:tcPr>
            <w:tcW w:w="8767" w:type="dxa"/>
          </w:tcPr>
          <w:p>
            <w:pPr>
              <w:pStyle w:val="39"/>
              <w:keepNext w:val="0"/>
              <w:keepLines w:val="0"/>
              <w:pageBreakBefore w:val="0"/>
              <w:widowControl w:val="0"/>
              <w:numPr>
                <w:ilvl w:val="255"/>
                <w:numId w:val="0"/>
              </w:numPr>
              <w:kinsoku/>
              <w:wordWrap/>
              <w:overflowPunct/>
              <w:topLinePunct w:val="0"/>
              <w:autoSpaceDE/>
              <w:autoSpaceDN/>
              <w:bidi w:val="0"/>
              <w:adjustRightInd/>
              <w:snapToGrid/>
              <w:spacing w:line="460" w:lineRule="exact"/>
              <w:jc w:val="center"/>
              <w:textAlignment w:val="auto"/>
              <w:rPr>
                <w:rFonts w:hint="default" w:ascii="Times New Roman" w:hAnsi="Times New Roman" w:eastAsia="黑体" w:cs="Times New Roman"/>
                <w:b w:val="0"/>
                <w:bCs/>
                <w:color w:val="000000" w:themeColor="text1"/>
                <w:sz w:val="32"/>
                <w:szCs w:val="32"/>
                <w14:textFill>
                  <w14:solidFill>
                    <w14:schemeClr w14:val="tx1"/>
                  </w14:solidFill>
                </w14:textFill>
              </w:rPr>
            </w:pPr>
            <w:r>
              <w:rPr>
                <w:rFonts w:hint="default" w:ascii="Times New Roman" w:hAnsi="Times New Roman" w:eastAsia="黑体" w:cs="Times New Roman"/>
                <w:b w:val="0"/>
                <w:bCs/>
                <w:color w:val="000000" w:themeColor="text1"/>
                <w:sz w:val="32"/>
                <w:szCs w:val="32"/>
                <w14:textFill>
                  <w14:solidFill>
                    <w14:schemeClr w14:val="tx1"/>
                  </w14:solidFill>
                </w14:textFill>
              </w:rPr>
              <w:t>专栏1：重点方向或重点项目</w:t>
            </w:r>
          </w:p>
          <w:p>
            <w:pPr>
              <w:pStyle w:val="39"/>
              <w:keepNext w:val="0"/>
              <w:keepLines w:val="0"/>
              <w:pageBreakBefore w:val="0"/>
              <w:widowControl w:val="0"/>
              <w:numPr>
                <w:ilvl w:val="0"/>
                <w:numId w:val="1"/>
              </w:numPr>
              <w:kinsoku/>
              <w:wordWrap/>
              <w:overflowPunct/>
              <w:topLinePunct w:val="0"/>
              <w:autoSpaceDE/>
              <w:autoSpaceDN/>
              <w:bidi w:val="0"/>
              <w:adjustRightInd/>
              <w:snapToGrid/>
              <w:spacing w:line="460" w:lineRule="exact"/>
              <w:ind w:firstLineChars="0"/>
              <w:textAlignment w:val="auto"/>
              <w:rPr>
                <w:rFonts w:hint="default" w:ascii="Times New Roman" w:hAnsi="Times New Roman" w:eastAsia="仿宋_GB2312" w:cs="Times New Roman"/>
                <w:color w:val="000000" w:themeColor="text1"/>
                <w:kern w:val="0"/>
                <w:sz w:val="28"/>
                <w:szCs w:val="28"/>
                <w14:textFill>
                  <w14:solidFill>
                    <w14:schemeClr w14:val="tx1"/>
                  </w14:solidFill>
                </w14:textFill>
              </w:rPr>
            </w:pPr>
            <w:r>
              <w:rPr>
                <w:rFonts w:hint="default" w:ascii="Times New Roman" w:hAnsi="Times New Roman" w:eastAsia="仿宋_GB2312" w:cs="Times New Roman"/>
                <w:color w:val="000000" w:themeColor="text1"/>
                <w:kern w:val="0"/>
                <w:sz w:val="28"/>
                <w:szCs w:val="28"/>
                <w14:textFill>
                  <w14:solidFill>
                    <w14:schemeClr w14:val="tx1"/>
                  </w14:solidFill>
                </w14:textFill>
              </w:rPr>
              <w:t>淮北港韩村港区孙疃作业区综合码头工程，总投资5.8亿元，主要建设内容：建设6个500吨级兼顾1000吨级的综合性泊位，设计年吞吐量540万吨。</w:t>
            </w:r>
          </w:p>
          <w:p>
            <w:pPr>
              <w:pStyle w:val="39"/>
              <w:keepNext w:val="0"/>
              <w:keepLines w:val="0"/>
              <w:pageBreakBefore w:val="0"/>
              <w:widowControl w:val="0"/>
              <w:numPr>
                <w:ilvl w:val="0"/>
                <w:numId w:val="1"/>
              </w:numPr>
              <w:kinsoku/>
              <w:wordWrap/>
              <w:overflowPunct/>
              <w:topLinePunct w:val="0"/>
              <w:autoSpaceDE/>
              <w:autoSpaceDN/>
              <w:bidi w:val="0"/>
              <w:adjustRightInd/>
              <w:snapToGrid/>
              <w:spacing w:line="460" w:lineRule="exact"/>
              <w:ind w:firstLineChars="0"/>
              <w:textAlignment w:val="auto"/>
              <w:rPr>
                <w:rFonts w:hint="default" w:ascii="Times New Roman" w:hAnsi="Times New Roman" w:eastAsia="仿宋_GB2312" w:cs="Times New Roman"/>
                <w:color w:val="000000" w:themeColor="text1"/>
                <w:kern w:val="0"/>
                <w:sz w:val="28"/>
                <w:szCs w:val="28"/>
                <w14:textFill>
                  <w14:solidFill>
                    <w14:schemeClr w14:val="tx1"/>
                  </w14:solidFill>
                </w14:textFill>
              </w:rPr>
            </w:pPr>
            <w:r>
              <w:rPr>
                <w:rFonts w:hint="default" w:ascii="Times New Roman" w:hAnsi="Times New Roman" w:eastAsia="仿宋_GB2312" w:cs="Times New Roman"/>
                <w:color w:val="000000" w:themeColor="text1"/>
                <w:kern w:val="0"/>
                <w:sz w:val="28"/>
                <w:szCs w:val="28"/>
                <w14:textFill>
                  <w14:solidFill>
                    <w14:schemeClr w14:val="tx1"/>
                  </w14:solidFill>
                </w14:textFill>
              </w:rPr>
              <w:t>临涣闸至李口集段浍河航道工程，总投资20亿元，主要建设内容：临涣闸至李口集，全长35.5公里，四级航道。</w:t>
            </w:r>
          </w:p>
          <w:p>
            <w:pPr>
              <w:pStyle w:val="39"/>
              <w:keepNext w:val="0"/>
              <w:keepLines w:val="0"/>
              <w:pageBreakBefore w:val="0"/>
              <w:widowControl w:val="0"/>
              <w:numPr>
                <w:ilvl w:val="0"/>
                <w:numId w:val="1"/>
              </w:numPr>
              <w:kinsoku/>
              <w:wordWrap/>
              <w:overflowPunct/>
              <w:topLinePunct w:val="0"/>
              <w:autoSpaceDE/>
              <w:autoSpaceDN/>
              <w:bidi w:val="0"/>
              <w:adjustRightInd/>
              <w:snapToGrid/>
              <w:spacing w:line="460" w:lineRule="exact"/>
              <w:ind w:firstLineChars="0"/>
              <w:textAlignment w:val="auto"/>
              <w:rPr>
                <w:rFonts w:hint="default" w:ascii="Times New Roman" w:hAnsi="Times New Roman" w:eastAsia="仿宋_GB2312" w:cs="Times New Roman"/>
                <w:color w:val="000000" w:themeColor="text1"/>
                <w:kern w:val="0"/>
                <w:sz w:val="28"/>
                <w:szCs w:val="28"/>
                <w14:textFill>
                  <w14:solidFill>
                    <w14:schemeClr w14:val="tx1"/>
                  </w14:solidFill>
                </w14:textFill>
              </w:rPr>
            </w:pPr>
            <w:r>
              <w:rPr>
                <w:rFonts w:hint="default" w:ascii="Times New Roman" w:hAnsi="Times New Roman" w:eastAsia="仿宋_GB2312" w:cs="Times New Roman"/>
                <w:color w:val="000000" w:themeColor="text1"/>
                <w:kern w:val="0"/>
                <w:sz w:val="28"/>
                <w:szCs w:val="28"/>
                <w14:textFill>
                  <w14:solidFill>
                    <w14:schemeClr w14:val="tx1"/>
                  </w14:solidFill>
                </w14:textFill>
              </w:rPr>
              <w:t>沱浍河航道临涣船闸工程，总投资5.68亿元，主要建设内容：按IV级通航标准建设，设计最大船型为500吨级（兼顾1000吨级）货船。主要建设内容包括闸首，闸室，引航道、导航建筑物、靠船建筑物、桥梁改建及配套工程等。</w:t>
            </w:r>
          </w:p>
          <w:p>
            <w:pPr>
              <w:pStyle w:val="39"/>
              <w:keepNext w:val="0"/>
              <w:keepLines w:val="0"/>
              <w:pageBreakBefore w:val="0"/>
              <w:widowControl w:val="0"/>
              <w:numPr>
                <w:ilvl w:val="0"/>
                <w:numId w:val="1"/>
              </w:numPr>
              <w:kinsoku/>
              <w:wordWrap/>
              <w:overflowPunct/>
              <w:topLinePunct w:val="0"/>
              <w:autoSpaceDE/>
              <w:autoSpaceDN/>
              <w:bidi w:val="0"/>
              <w:adjustRightInd/>
              <w:snapToGrid/>
              <w:spacing w:line="460" w:lineRule="exact"/>
              <w:ind w:firstLineChars="0"/>
              <w:textAlignment w:val="auto"/>
              <w:rPr>
                <w:rFonts w:hint="default" w:ascii="Times New Roman" w:hAnsi="Times New Roman" w:eastAsia="仿宋_GB2312" w:cs="Times New Roman"/>
                <w:color w:val="000000" w:themeColor="text1"/>
                <w:kern w:val="0"/>
                <w:sz w:val="28"/>
                <w:szCs w:val="28"/>
                <w14:textFill>
                  <w14:solidFill>
                    <w14:schemeClr w14:val="tx1"/>
                  </w14:solidFill>
                </w14:textFill>
              </w:rPr>
            </w:pPr>
            <w:r>
              <w:rPr>
                <w:rFonts w:hint="default" w:ascii="Times New Roman" w:hAnsi="Times New Roman" w:eastAsia="仿宋_GB2312" w:cs="Times New Roman"/>
                <w:color w:val="000000" w:themeColor="text1"/>
                <w:kern w:val="0"/>
                <w:sz w:val="28"/>
                <w:szCs w:val="28"/>
                <w:lang w:bidi="ar"/>
                <w14:textFill>
                  <w14:solidFill>
                    <w14:schemeClr w14:val="tx1"/>
                  </w14:solidFill>
                </w14:textFill>
              </w:rPr>
              <w:t>韩村散货码头建设项目</w:t>
            </w:r>
            <w:r>
              <w:rPr>
                <w:rFonts w:hint="default" w:ascii="Times New Roman" w:hAnsi="Times New Roman" w:eastAsia="仿宋_GB2312" w:cs="Times New Roman"/>
                <w:color w:val="000000" w:themeColor="text1"/>
                <w:kern w:val="0"/>
                <w:sz w:val="28"/>
                <w:szCs w:val="28"/>
                <w14:textFill>
                  <w14:solidFill>
                    <w14:schemeClr w14:val="tx1"/>
                  </w14:solidFill>
                </w14:textFill>
              </w:rPr>
              <w:t>，总投资2.4亿元，主要建设内容：</w:t>
            </w:r>
            <w:r>
              <w:rPr>
                <w:rFonts w:hint="default" w:ascii="Times New Roman" w:hAnsi="Times New Roman" w:eastAsia="仿宋_GB2312" w:cs="Times New Roman"/>
                <w:color w:val="000000" w:themeColor="text1"/>
                <w:kern w:val="0"/>
                <w:sz w:val="28"/>
                <w:szCs w:val="28"/>
                <w:lang w:bidi="ar"/>
                <w14:textFill>
                  <w14:solidFill>
                    <w14:schemeClr w14:val="tx1"/>
                  </w14:solidFill>
                </w14:textFill>
              </w:rPr>
              <w:t>拟建5个500吨级泊位，泊位长度390米。设计年吞吐量440万吨。建设进港公路一条，长500米，宽15米。</w:t>
            </w:r>
          </w:p>
          <w:p>
            <w:pPr>
              <w:pStyle w:val="39"/>
              <w:keepNext w:val="0"/>
              <w:keepLines w:val="0"/>
              <w:pageBreakBefore w:val="0"/>
              <w:widowControl w:val="0"/>
              <w:numPr>
                <w:ilvl w:val="0"/>
                <w:numId w:val="1"/>
              </w:numPr>
              <w:kinsoku/>
              <w:wordWrap/>
              <w:overflowPunct/>
              <w:topLinePunct w:val="0"/>
              <w:autoSpaceDE/>
              <w:autoSpaceDN/>
              <w:bidi w:val="0"/>
              <w:adjustRightInd/>
              <w:snapToGrid/>
              <w:spacing w:line="460" w:lineRule="exact"/>
              <w:ind w:firstLineChars="0"/>
              <w:textAlignment w:val="auto"/>
              <w:rPr>
                <w:rFonts w:hint="default" w:ascii="Times New Roman" w:hAnsi="Times New Roman" w:eastAsia="仿宋_GB2312" w:cs="Times New Roman"/>
                <w:color w:val="000000" w:themeColor="text1"/>
                <w:kern w:val="0"/>
                <w:sz w:val="28"/>
                <w:szCs w:val="28"/>
                <w14:textFill>
                  <w14:solidFill>
                    <w14:schemeClr w14:val="tx1"/>
                  </w14:solidFill>
                </w14:textFill>
              </w:rPr>
            </w:pPr>
            <w:r>
              <w:rPr>
                <w:rFonts w:hint="default" w:ascii="Times New Roman" w:hAnsi="Times New Roman" w:eastAsia="仿宋_GB2312" w:cs="Times New Roman"/>
                <w:color w:val="000000" w:themeColor="text1"/>
                <w:kern w:val="0"/>
                <w:sz w:val="28"/>
                <w:szCs w:val="28"/>
                <w14:textFill>
                  <w14:solidFill>
                    <w14:schemeClr w14:val="tx1"/>
                  </w14:solidFill>
                </w14:textFill>
              </w:rPr>
              <w:t>淮海中瑞农产品物流中心冷链物流园项目，总投资2.085亿元，主要建设内容：占地面积约99.79亩，建设冷链物流用冷库及冻品交易及其他配套用房等。</w:t>
            </w:r>
          </w:p>
          <w:p>
            <w:pPr>
              <w:pStyle w:val="39"/>
              <w:keepNext w:val="0"/>
              <w:keepLines w:val="0"/>
              <w:pageBreakBefore w:val="0"/>
              <w:widowControl w:val="0"/>
              <w:numPr>
                <w:ilvl w:val="0"/>
                <w:numId w:val="1"/>
              </w:numPr>
              <w:kinsoku/>
              <w:wordWrap/>
              <w:overflowPunct/>
              <w:topLinePunct w:val="0"/>
              <w:autoSpaceDE/>
              <w:autoSpaceDN/>
              <w:bidi w:val="0"/>
              <w:adjustRightInd/>
              <w:snapToGrid/>
              <w:spacing w:line="460" w:lineRule="exact"/>
              <w:ind w:firstLineChars="0"/>
              <w:textAlignment w:val="auto"/>
              <w:rPr>
                <w:rFonts w:hint="default" w:ascii="Times New Roman" w:hAnsi="Times New Roman" w:eastAsia="仿宋_GB2312" w:cs="Times New Roman"/>
                <w:color w:val="000000" w:themeColor="text1"/>
                <w:kern w:val="0"/>
                <w:sz w:val="28"/>
                <w:szCs w:val="28"/>
                <w14:textFill>
                  <w14:solidFill>
                    <w14:schemeClr w14:val="tx1"/>
                  </w14:solidFill>
                </w14:textFill>
              </w:rPr>
            </w:pPr>
            <w:r>
              <w:rPr>
                <w:rFonts w:hint="default" w:ascii="Times New Roman" w:hAnsi="Times New Roman" w:eastAsia="仿宋_GB2312" w:cs="Times New Roman"/>
                <w:color w:val="000000" w:themeColor="text1"/>
                <w:kern w:val="0"/>
                <w:sz w:val="28"/>
                <w:szCs w:val="28"/>
                <w14:textFill>
                  <w14:solidFill>
                    <w14:schemeClr w14:val="tx1"/>
                  </w14:solidFill>
                </w14:textFill>
              </w:rPr>
              <w:t>中德产业园子项目（智能快递物流中心建设项目），总投资1.5亿元，主要建设内容：占地约70亩，总建筑面积约5.2万平方米，包括3栋两层仓储物流仓库、1栋业务综合楼以及其他相关配套设施。</w:t>
            </w:r>
          </w:p>
          <w:p>
            <w:pPr>
              <w:pStyle w:val="39"/>
              <w:keepNext w:val="0"/>
              <w:keepLines w:val="0"/>
              <w:pageBreakBefore w:val="0"/>
              <w:widowControl w:val="0"/>
              <w:numPr>
                <w:ilvl w:val="0"/>
                <w:numId w:val="1"/>
              </w:numPr>
              <w:kinsoku/>
              <w:wordWrap/>
              <w:overflowPunct/>
              <w:topLinePunct w:val="0"/>
              <w:autoSpaceDE/>
              <w:autoSpaceDN/>
              <w:bidi w:val="0"/>
              <w:adjustRightInd/>
              <w:snapToGrid/>
              <w:spacing w:line="460" w:lineRule="exact"/>
              <w:ind w:firstLineChars="0"/>
              <w:textAlignment w:val="auto"/>
              <w:rPr>
                <w:rFonts w:hint="default" w:ascii="Times New Roman" w:hAnsi="Times New Roman" w:eastAsia="仿宋_GB2312" w:cs="Times New Roman"/>
                <w:color w:val="000000" w:themeColor="text1"/>
                <w:kern w:val="0"/>
                <w:sz w:val="28"/>
                <w:szCs w:val="28"/>
                <w14:textFill>
                  <w14:solidFill>
                    <w14:schemeClr w14:val="tx1"/>
                  </w14:solidFill>
                </w14:textFill>
              </w:rPr>
            </w:pPr>
            <w:r>
              <w:rPr>
                <w:rFonts w:hint="default" w:ascii="Times New Roman" w:hAnsi="Times New Roman" w:eastAsia="仿宋_GB2312" w:cs="Times New Roman"/>
                <w:color w:val="000000" w:themeColor="text1"/>
                <w:kern w:val="0"/>
                <w:sz w:val="28"/>
                <w:szCs w:val="28"/>
                <w14:textFill>
                  <w14:solidFill>
                    <w14:schemeClr w14:val="tx1"/>
                  </w14:solidFill>
                </w14:textFill>
              </w:rPr>
              <w:t>淮海京东现代物流产业园项目，总投资2亿元，主要建设内容：</w:t>
            </w:r>
            <w:r>
              <w:rPr>
                <w:rFonts w:hint="default" w:ascii="Times New Roman" w:hAnsi="Times New Roman" w:eastAsia="仿宋_GB2312" w:cs="Times New Roman"/>
                <w:color w:val="000000" w:themeColor="text1"/>
                <w:kern w:val="0"/>
                <w:sz w:val="28"/>
                <w:szCs w:val="28"/>
                <w:lang w:bidi="ar"/>
                <w14:textFill>
                  <w14:solidFill>
                    <w14:schemeClr w14:val="tx1"/>
                  </w14:solidFill>
                </w14:textFill>
              </w:rPr>
              <w:t>引进京东物流运营管理模式，建设集云计算、大数据、智能化于一体的现代物流产业园，全面整合提升濉溪县的物流产业，计划总投资2亿元，占地面积200亩左右。</w:t>
            </w:r>
          </w:p>
          <w:p>
            <w:pPr>
              <w:pStyle w:val="39"/>
              <w:keepNext w:val="0"/>
              <w:keepLines w:val="0"/>
              <w:pageBreakBefore w:val="0"/>
              <w:widowControl w:val="0"/>
              <w:numPr>
                <w:ilvl w:val="0"/>
                <w:numId w:val="1"/>
              </w:numPr>
              <w:kinsoku/>
              <w:wordWrap/>
              <w:overflowPunct/>
              <w:topLinePunct w:val="0"/>
              <w:autoSpaceDE/>
              <w:autoSpaceDN/>
              <w:bidi w:val="0"/>
              <w:adjustRightInd/>
              <w:snapToGrid/>
              <w:spacing w:line="460" w:lineRule="exact"/>
              <w:ind w:firstLineChars="0"/>
              <w:textAlignment w:val="auto"/>
              <w:rPr>
                <w:rFonts w:hint="default" w:ascii="Times New Roman" w:hAnsi="Times New Roman" w:eastAsia="仿宋_GB2312" w:cs="Times New Roman"/>
                <w:color w:val="000000" w:themeColor="text1"/>
                <w:kern w:val="0"/>
                <w:sz w:val="28"/>
                <w:szCs w:val="28"/>
                <w14:textFill>
                  <w14:solidFill>
                    <w14:schemeClr w14:val="tx1"/>
                  </w14:solidFill>
                </w14:textFill>
              </w:rPr>
            </w:pPr>
            <w:r>
              <w:rPr>
                <w:rFonts w:hint="default" w:ascii="Times New Roman" w:hAnsi="Times New Roman" w:eastAsia="仿宋_GB2312" w:cs="Times New Roman"/>
                <w:color w:val="000000" w:themeColor="text1"/>
                <w:kern w:val="0"/>
                <w:sz w:val="28"/>
                <w:szCs w:val="28"/>
                <w14:textFill>
                  <w14:solidFill>
                    <w14:schemeClr w14:val="tx1"/>
                  </w14:solidFill>
                </w14:textFill>
              </w:rPr>
              <w:t>濉溪县粮食物流应急保障中心项目，总投资2.6亿元，主要建设内容：占地约120亩，新建15万吨粮食和应急物资仓库及配套设施。</w:t>
            </w:r>
          </w:p>
          <w:p>
            <w:pPr>
              <w:pStyle w:val="39"/>
              <w:keepNext w:val="0"/>
              <w:keepLines w:val="0"/>
              <w:pageBreakBefore w:val="0"/>
              <w:widowControl w:val="0"/>
              <w:numPr>
                <w:ilvl w:val="0"/>
                <w:numId w:val="1"/>
              </w:numPr>
              <w:kinsoku/>
              <w:wordWrap/>
              <w:overflowPunct/>
              <w:topLinePunct w:val="0"/>
              <w:autoSpaceDE/>
              <w:autoSpaceDN/>
              <w:bidi w:val="0"/>
              <w:adjustRightInd/>
              <w:snapToGrid/>
              <w:spacing w:line="460" w:lineRule="exact"/>
              <w:ind w:firstLineChars="0"/>
              <w:textAlignment w:val="auto"/>
              <w:rPr>
                <w:rFonts w:hint="default" w:ascii="Times New Roman" w:hAnsi="Times New Roman" w:eastAsia="仿宋_GB2312" w:cs="Times New Roman"/>
                <w:color w:val="000000" w:themeColor="text1"/>
                <w:kern w:val="0"/>
                <w:sz w:val="28"/>
                <w:szCs w:val="28"/>
                <w14:textFill>
                  <w14:solidFill>
                    <w14:schemeClr w14:val="tx1"/>
                  </w14:solidFill>
                </w14:textFill>
              </w:rPr>
            </w:pPr>
            <w:r>
              <w:rPr>
                <w:rFonts w:hint="default" w:ascii="Times New Roman" w:hAnsi="Times New Roman" w:eastAsia="仿宋_GB2312" w:cs="Times New Roman"/>
                <w:color w:val="000000" w:themeColor="text1"/>
                <w:kern w:val="0"/>
                <w:sz w:val="28"/>
                <w:szCs w:val="28"/>
                <w14:textFill>
                  <w14:solidFill>
                    <w14:schemeClr w14:val="tx1"/>
                  </w14:solidFill>
                </w14:textFill>
              </w:rPr>
              <w:t>铁佛镇浍河货运集散区项目，总投资0.7亿元，主要建设内容：占地约200亩，硬化面积39000平方米的物流集散区及相关办公楼等配套设施。</w:t>
            </w:r>
          </w:p>
          <w:p>
            <w:pPr>
              <w:pStyle w:val="39"/>
              <w:keepNext w:val="0"/>
              <w:keepLines w:val="0"/>
              <w:pageBreakBefore w:val="0"/>
              <w:widowControl w:val="0"/>
              <w:numPr>
                <w:ilvl w:val="0"/>
                <w:numId w:val="1"/>
              </w:numPr>
              <w:kinsoku/>
              <w:wordWrap/>
              <w:overflowPunct/>
              <w:topLinePunct w:val="0"/>
              <w:autoSpaceDE/>
              <w:autoSpaceDN/>
              <w:bidi w:val="0"/>
              <w:adjustRightInd/>
              <w:snapToGrid/>
              <w:spacing w:line="460" w:lineRule="exact"/>
              <w:ind w:firstLineChars="0"/>
              <w:textAlignment w:val="auto"/>
              <w:rPr>
                <w:rFonts w:hint="default" w:ascii="Times New Roman" w:hAnsi="Times New Roman" w:eastAsia="仿宋_GB2312" w:cs="Times New Roman"/>
                <w:color w:val="000000" w:themeColor="text1"/>
                <w:kern w:val="0"/>
                <w:sz w:val="28"/>
                <w:szCs w:val="28"/>
                <w14:textFill>
                  <w14:solidFill>
                    <w14:schemeClr w14:val="tx1"/>
                  </w14:solidFill>
                </w14:textFill>
              </w:rPr>
            </w:pPr>
            <w:r>
              <w:rPr>
                <w:rFonts w:hint="default" w:ascii="Times New Roman" w:hAnsi="Times New Roman" w:eastAsia="仿宋_GB2312" w:cs="Times New Roman"/>
                <w:color w:val="000000" w:themeColor="text1"/>
                <w:kern w:val="0"/>
                <w:sz w:val="28"/>
                <w:szCs w:val="28"/>
                <w14:textFill>
                  <w14:solidFill>
                    <w14:schemeClr w14:val="tx1"/>
                  </w14:solidFill>
                </w14:textFill>
              </w:rPr>
              <w:t>铁佛镇茂铺物流园建设项目，总投资0.8亿元，主要建设内容：地面硬化6000平方米，管理办公区和配套功能区500平方米以及附属工程。节能型机械冷库：根据贮藏规模、自然气候和地质条件等，采用砖混结构或组装式建筑结构，配备机械制冷设备，新建保温隔热性能良好、低温环境适宜的冷库；配备必要的称量、除土、清洗、分级、愈伤、检测、干制、包装、移动式皮带输送、信息采集等设备以及立体式货架，配套设施等。</w:t>
            </w:r>
          </w:p>
          <w:p>
            <w:pPr>
              <w:pStyle w:val="39"/>
              <w:keepNext w:val="0"/>
              <w:keepLines w:val="0"/>
              <w:pageBreakBefore w:val="0"/>
              <w:widowControl w:val="0"/>
              <w:numPr>
                <w:ilvl w:val="0"/>
                <w:numId w:val="1"/>
              </w:numPr>
              <w:kinsoku/>
              <w:wordWrap/>
              <w:overflowPunct/>
              <w:topLinePunct w:val="0"/>
              <w:autoSpaceDE/>
              <w:autoSpaceDN/>
              <w:bidi w:val="0"/>
              <w:adjustRightInd/>
              <w:snapToGrid/>
              <w:spacing w:line="460" w:lineRule="exact"/>
              <w:ind w:firstLineChars="0"/>
              <w:textAlignment w:val="auto"/>
              <w:rPr>
                <w:rFonts w:hint="default" w:ascii="Times New Roman" w:hAnsi="Times New Roman" w:eastAsia="仿宋_GB2312" w:cs="Times New Roman"/>
                <w:color w:val="000000" w:themeColor="text1"/>
                <w:kern w:val="0"/>
                <w:sz w:val="28"/>
                <w:szCs w:val="28"/>
                <w14:textFill>
                  <w14:solidFill>
                    <w14:schemeClr w14:val="tx1"/>
                  </w14:solidFill>
                </w14:textFill>
              </w:rPr>
            </w:pPr>
            <w:r>
              <w:rPr>
                <w:rFonts w:hint="default" w:ascii="Times New Roman" w:hAnsi="Times New Roman" w:eastAsia="仿宋_GB2312" w:cs="Times New Roman"/>
                <w:color w:val="000000" w:themeColor="text1"/>
                <w:kern w:val="0"/>
                <w:sz w:val="28"/>
                <w:szCs w:val="28"/>
                <w14:textFill>
                  <w14:solidFill>
                    <w14:schemeClr w14:val="tx1"/>
                  </w14:solidFill>
                </w14:textFill>
              </w:rPr>
              <w:t>濉溪县南坪镇临港现代物流园建设项目，总投资20亿元，主要建设内容：建设园区道路、下水管网，绿化、亮化、农贸商城、综合交易中心、现货交易中心、物流仓储、冷链物流、商场超市、电子商务创意文化园等。</w:t>
            </w:r>
          </w:p>
          <w:p>
            <w:pPr>
              <w:pStyle w:val="39"/>
              <w:keepNext w:val="0"/>
              <w:keepLines w:val="0"/>
              <w:pageBreakBefore w:val="0"/>
              <w:widowControl w:val="0"/>
              <w:numPr>
                <w:ilvl w:val="0"/>
                <w:numId w:val="1"/>
              </w:numPr>
              <w:kinsoku/>
              <w:wordWrap/>
              <w:overflowPunct/>
              <w:topLinePunct w:val="0"/>
              <w:autoSpaceDE/>
              <w:autoSpaceDN/>
              <w:bidi w:val="0"/>
              <w:adjustRightInd/>
              <w:snapToGrid/>
              <w:spacing w:line="460" w:lineRule="exact"/>
              <w:ind w:firstLineChars="0"/>
              <w:textAlignment w:val="auto"/>
              <w:rPr>
                <w:rFonts w:hint="default" w:ascii="Times New Roman" w:hAnsi="Times New Roman" w:eastAsia="仿宋_GB2312" w:cs="Times New Roman"/>
                <w:color w:val="000000" w:themeColor="text1"/>
                <w:kern w:val="0"/>
                <w:sz w:val="28"/>
                <w:szCs w:val="28"/>
                <w14:textFill>
                  <w14:solidFill>
                    <w14:schemeClr w14:val="tx1"/>
                  </w14:solidFill>
                </w14:textFill>
              </w:rPr>
            </w:pPr>
            <w:r>
              <w:rPr>
                <w:rFonts w:hint="default" w:ascii="Times New Roman" w:hAnsi="Times New Roman" w:eastAsia="仿宋_GB2312" w:cs="Times New Roman"/>
                <w:color w:val="000000" w:themeColor="text1"/>
                <w:kern w:val="0"/>
                <w:sz w:val="28"/>
                <w:szCs w:val="28"/>
                <w14:textFill>
                  <w14:solidFill>
                    <w14:schemeClr w14:val="tx1"/>
                  </w14:solidFill>
                </w14:textFill>
              </w:rPr>
              <w:t>孙疃镇建材物流园项目，总投资10亿元，主要建设内容：</w:t>
            </w:r>
            <w:r>
              <w:rPr>
                <w:rFonts w:hint="default" w:ascii="Times New Roman" w:hAnsi="Times New Roman" w:eastAsia="仿宋_GB2312" w:cs="Times New Roman"/>
                <w:color w:val="000000" w:themeColor="text1"/>
                <w:kern w:val="0"/>
                <w:sz w:val="28"/>
                <w:szCs w:val="28"/>
                <w:lang w:bidi="ar"/>
                <w14:textFill>
                  <w14:solidFill>
                    <w14:schemeClr w14:val="tx1"/>
                  </w14:solidFill>
                </w14:textFill>
              </w:rPr>
              <w:t>占地1000亩，分三期完成。一期项目计划投资0.7亿元，占地约70亩。主要建设物流园写字楼、员工宿舍、客户商务宾馆等，总建筑面积约45000平方米。二期为建材交易集散中心，计划投资4.3亿元，总占地面积约430亩。三期主要为建材成品来料加工存放区，总占地面积约500亩，投资约5亿元。</w:t>
            </w:r>
          </w:p>
          <w:p>
            <w:pPr>
              <w:pStyle w:val="39"/>
              <w:keepNext w:val="0"/>
              <w:keepLines w:val="0"/>
              <w:pageBreakBefore w:val="0"/>
              <w:widowControl w:val="0"/>
              <w:numPr>
                <w:ilvl w:val="0"/>
                <w:numId w:val="1"/>
              </w:numPr>
              <w:kinsoku/>
              <w:wordWrap/>
              <w:overflowPunct/>
              <w:topLinePunct w:val="0"/>
              <w:autoSpaceDE/>
              <w:autoSpaceDN/>
              <w:bidi w:val="0"/>
              <w:adjustRightInd/>
              <w:snapToGrid/>
              <w:spacing w:line="460" w:lineRule="exact"/>
              <w:ind w:firstLineChars="0"/>
              <w:textAlignment w:val="auto"/>
              <w:rPr>
                <w:rFonts w:hint="default" w:ascii="Times New Roman" w:hAnsi="Times New Roman" w:eastAsia="仿宋_GB2312" w:cs="Times New Roman"/>
                <w:color w:val="000000" w:themeColor="text1"/>
                <w:kern w:val="0"/>
                <w:sz w:val="28"/>
                <w:szCs w:val="28"/>
                <w14:textFill>
                  <w14:solidFill>
                    <w14:schemeClr w14:val="tx1"/>
                  </w14:solidFill>
                </w14:textFill>
              </w:rPr>
            </w:pPr>
            <w:r>
              <w:rPr>
                <w:rFonts w:hint="default" w:ascii="Times New Roman" w:hAnsi="Times New Roman" w:eastAsia="仿宋_GB2312" w:cs="Times New Roman"/>
                <w:color w:val="000000" w:themeColor="text1"/>
                <w:kern w:val="0"/>
                <w:sz w:val="28"/>
                <w:szCs w:val="28"/>
                <w14:textFill>
                  <w14:solidFill>
                    <w14:schemeClr w14:val="tx1"/>
                  </w14:solidFill>
                </w14:textFill>
              </w:rPr>
              <w:t>泽源物流项目，总投资3亿元，主要建设内容：由国安能源投资建设，进行货物运输、仓储服务和建材、机械设备、零部件的销售。</w:t>
            </w:r>
          </w:p>
          <w:p>
            <w:pPr>
              <w:pStyle w:val="39"/>
              <w:keepNext w:val="0"/>
              <w:keepLines w:val="0"/>
              <w:pageBreakBefore w:val="0"/>
              <w:widowControl w:val="0"/>
              <w:numPr>
                <w:ilvl w:val="0"/>
                <w:numId w:val="1"/>
              </w:numPr>
              <w:kinsoku/>
              <w:wordWrap/>
              <w:overflowPunct/>
              <w:topLinePunct w:val="0"/>
              <w:autoSpaceDE/>
              <w:autoSpaceDN/>
              <w:bidi w:val="0"/>
              <w:adjustRightInd/>
              <w:snapToGrid/>
              <w:spacing w:line="460" w:lineRule="exact"/>
              <w:ind w:firstLineChars="0"/>
              <w:textAlignment w:val="auto"/>
              <w:rPr>
                <w:rFonts w:hint="default" w:ascii="Times New Roman" w:hAnsi="Times New Roman" w:eastAsia="仿宋_GB2312" w:cs="Times New Roman"/>
                <w:color w:val="000000" w:themeColor="text1"/>
                <w:kern w:val="0"/>
                <w:sz w:val="28"/>
                <w:szCs w:val="28"/>
                <w14:textFill>
                  <w14:solidFill>
                    <w14:schemeClr w14:val="tx1"/>
                  </w14:solidFill>
                </w14:textFill>
              </w:rPr>
            </w:pPr>
            <w:r>
              <w:rPr>
                <w:rFonts w:hint="default" w:ascii="Times New Roman" w:hAnsi="Times New Roman" w:eastAsia="仿宋_GB2312" w:cs="Times New Roman"/>
                <w:color w:val="000000" w:themeColor="text1"/>
                <w:kern w:val="0"/>
                <w:sz w:val="28"/>
                <w:szCs w:val="28"/>
                <w14:textFill>
                  <w14:solidFill>
                    <w14:schemeClr w14:val="tx1"/>
                  </w14:solidFill>
                </w14:textFill>
              </w:rPr>
              <w:t>物流产业园项目,位于</w:t>
            </w:r>
            <w:r>
              <w:rPr>
                <w:rFonts w:hint="default" w:ascii="Times New Roman" w:hAnsi="Times New Roman" w:eastAsia="仿宋_GB2312" w:cs="Times New Roman"/>
                <w:color w:val="000000" w:themeColor="text1"/>
                <w:kern w:val="0"/>
                <w:sz w:val="28"/>
                <w:szCs w:val="28"/>
                <w:lang w:bidi="ar"/>
                <w14:textFill>
                  <w14:solidFill>
                    <w14:schemeClr w14:val="tx1"/>
                  </w14:solidFill>
                </w14:textFill>
              </w:rPr>
              <w:t>濉芜产业园</w:t>
            </w:r>
            <w:r>
              <w:rPr>
                <w:rFonts w:hint="default" w:ascii="Times New Roman" w:hAnsi="Times New Roman" w:eastAsia="仿宋_GB2312" w:cs="Times New Roman"/>
                <w:color w:val="000000" w:themeColor="text1"/>
                <w:kern w:val="0"/>
                <w:sz w:val="28"/>
                <w:szCs w:val="28"/>
                <w14:textFill>
                  <w14:solidFill>
                    <w14:schemeClr w14:val="tx1"/>
                  </w14:solidFill>
                </w14:textFill>
              </w:rPr>
              <w:t>，总投资3亿元，主要建设内容：占地90亩，建设物流产业园，打造以顺达商贸、恒信物流为主，集仓储物流、贸易及配送的物流集散中心。</w:t>
            </w:r>
          </w:p>
          <w:p>
            <w:pPr>
              <w:pStyle w:val="39"/>
              <w:keepNext w:val="0"/>
              <w:keepLines w:val="0"/>
              <w:pageBreakBefore w:val="0"/>
              <w:widowControl w:val="0"/>
              <w:numPr>
                <w:ilvl w:val="0"/>
                <w:numId w:val="1"/>
              </w:numPr>
              <w:kinsoku/>
              <w:wordWrap/>
              <w:overflowPunct/>
              <w:topLinePunct w:val="0"/>
              <w:autoSpaceDE/>
              <w:autoSpaceDN/>
              <w:bidi w:val="0"/>
              <w:adjustRightInd/>
              <w:snapToGrid/>
              <w:spacing w:line="460" w:lineRule="exact"/>
              <w:ind w:firstLineChars="0"/>
              <w:textAlignment w:val="auto"/>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kern w:val="0"/>
                <w:sz w:val="28"/>
                <w:szCs w:val="28"/>
                <w14:textFill>
                  <w14:solidFill>
                    <w14:schemeClr w14:val="tx1"/>
                  </w14:solidFill>
                </w14:textFill>
              </w:rPr>
              <w:t>孙疃镇冷链物流园项目，总投资2亿元，主要建设内容：拟建</w:t>
            </w:r>
            <w:r>
              <w:rPr>
                <w:rFonts w:hint="default" w:ascii="Times New Roman" w:hAnsi="Times New Roman" w:eastAsia="仿宋_GB2312" w:cs="Times New Roman"/>
                <w:color w:val="000000" w:themeColor="text1"/>
                <w:kern w:val="0"/>
                <w:sz w:val="28"/>
                <w:szCs w:val="28"/>
                <w:lang w:bidi="ar"/>
                <w14:textFill>
                  <w14:solidFill>
                    <w14:schemeClr w14:val="tx1"/>
                  </w14:solidFill>
                </w14:textFill>
              </w:rPr>
              <w:t>于宿涡路及尤沟村东大李三岔路口东，占地600亩，园区道路硬化、下水道、路面绿化、亮化、电力设施等基础配套，将众多冷链物流企业聚集在一起，实行专业化和规模化经营，作为城市物流功能区，物流园区包括物流中心、配送中心、运输枢纽设施、运输组织及管理中心和物流信息中心，以及适应城市物流管理与运作需要的物流基础设施。</w:t>
            </w:r>
          </w:p>
        </w:tc>
      </w:tr>
    </w:tbl>
    <w:p>
      <w:pPr>
        <w:pStyle w:val="5"/>
        <w:keepNext w:val="0"/>
        <w:keepLines w:val="0"/>
        <w:spacing w:before="0" w:after="0" w:line="560" w:lineRule="exact"/>
        <w:ind w:firstLine="643" w:firstLineChars="200"/>
        <w:rPr>
          <w:rFonts w:hint="default" w:ascii="Times New Roman" w:hAnsi="Times New Roman" w:eastAsia="楷体_GB2312" w:cs="Times New Roman"/>
          <w:color w:val="000000" w:themeColor="text1"/>
          <w14:textFill>
            <w14:solidFill>
              <w14:schemeClr w14:val="tx1"/>
            </w14:solidFill>
          </w14:textFill>
        </w:rPr>
      </w:pPr>
      <w:bookmarkStart w:id="83" w:name="_Toc2007"/>
      <w:bookmarkStart w:id="84" w:name="_Toc21991"/>
      <w:bookmarkStart w:id="85" w:name="_Toc83296392"/>
      <w:r>
        <w:rPr>
          <w:rFonts w:hint="default" w:ascii="Times New Roman" w:hAnsi="Times New Roman" w:eastAsia="楷体_GB2312" w:cs="Times New Roman"/>
          <w:color w:val="000000" w:themeColor="text1"/>
          <w14:textFill>
            <w14:solidFill>
              <w14:schemeClr w14:val="tx1"/>
            </w14:solidFill>
          </w14:textFill>
        </w:rPr>
        <w:t>（二）优化提升商贸服务业</w:t>
      </w:r>
      <w:bookmarkEnd w:id="83"/>
      <w:bookmarkEnd w:id="84"/>
      <w:bookmarkEnd w:id="85"/>
    </w:p>
    <w:p>
      <w:pPr>
        <w:spacing w:line="56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进一步完善全县商业网点规划布局，促进全县商贸</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服务</w:t>
      </w:r>
      <w:r>
        <w:rPr>
          <w:rFonts w:hint="default" w:ascii="Times New Roman" w:hAnsi="Times New Roman" w:eastAsia="仿宋_GB2312" w:cs="Times New Roman"/>
          <w:color w:val="000000" w:themeColor="text1"/>
          <w:sz w:val="32"/>
          <w:szCs w:val="32"/>
          <w14:textFill>
            <w14:solidFill>
              <w14:schemeClr w14:val="tx1"/>
            </w14:solidFill>
          </w14:textFill>
        </w:rPr>
        <w:t>业实现高质量发展。重点推动二关路和闸河路商业综合体、中瑞农产品批发市场建设</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积极推进县城商业综合体建设，加快推进时代广场、中苑商厦、状元府邸、宏宇·之心城建设。依托老城石板街、乾隆湖公园等优势资源，推进“夜间经济”发展。大力发展商务会展，培育地方</w:t>
      </w:r>
      <w:r>
        <w:rPr>
          <w:rFonts w:hint="default" w:ascii="Times New Roman" w:hAnsi="Times New Roman" w:eastAsia="仿宋_GB2312" w:cs="Times New Roman"/>
          <w:color w:val="000000" w:themeColor="text1"/>
          <w:sz w:val="32"/>
          <w:szCs w:val="32"/>
          <w14:textFill>
            <w14:solidFill>
              <w14:schemeClr w14:val="tx1"/>
            </w14:solidFill>
          </w14:textFill>
        </w:rPr>
        <w:t>特色产品展销平台，筹办符合全县经济发展水平和产业特色的会展活动，加强对外交流合作，吸引外地资金、技术和管理人员进入，同时支持有条件、有实力的企业到外地参展办展，扶持会展主体开展品牌展览、开拓市场。积极营造总部经济生态环境，招引企业来濉溪设立综合型总部或人力资源中心、研发中心、采购中心、物流中心和营销中心等职能型总部机构，吸引科技、商务、文化、法律、知识产权等领域社会组织在濉溪设立分支机构。大力发展法律服务、会计审计、工程咨询、认证认可、信用评估、市场调查、经纪代理等商务中介服务，培育和引进一批专业度较高、影响力较大的商务中介机构，鼓励</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商务中介机构利用新一代信息技术推动服务产品和模式创新。到“十四五”末，全县社会消费品零售总额</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目标</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达218亿元</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左右</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p>
    <w:p>
      <w:pPr>
        <w:pStyle w:val="5"/>
        <w:keepNext w:val="0"/>
        <w:keepLines w:val="0"/>
        <w:spacing w:before="0" w:after="0" w:line="560" w:lineRule="exact"/>
        <w:ind w:firstLine="643" w:firstLineChars="200"/>
        <w:rPr>
          <w:rFonts w:hint="default" w:ascii="Times New Roman" w:hAnsi="Times New Roman" w:eastAsia="楷体_GB2312" w:cs="Times New Roman"/>
          <w:color w:val="000000" w:themeColor="text1"/>
          <w14:textFill>
            <w14:solidFill>
              <w14:schemeClr w14:val="tx1"/>
            </w14:solidFill>
          </w14:textFill>
        </w:rPr>
      </w:pPr>
      <w:bookmarkStart w:id="86" w:name="_Toc7070"/>
      <w:bookmarkStart w:id="87" w:name="_Toc27953"/>
      <w:bookmarkStart w:id="88" w:name="_Toc83296393"/>
      <w:r>
        <w:rPr>
          <w:rFonts w:hint="default" w:ascii="Times New Roman" w:hAnsi="Times New Roman" w:eastAsia="楷体_GB2312" w:cs="Times New Roman"/>
          <w:color w:val="000000" w:themeColor="text1"/>
          <w14:textFill>
            <w14:solidFill>
              <w14:schemeClr w14:val="tx1"/>
            </w14:solidFill>
          </w14:textFill>
        </w:rPr>
        <w:t>（三）培育壮大现代金融业</w:t>
      </w:r>
      <w:bookmarkEnd w:id="86"/>
      <w:bookmarkEnd w:id="87"/>
      <w:bookmarkEnd w:id="88"/>
    </w:p>
    <w:p>
      <w:pPr>
        <w:spacing w:line="560" w:lineRule="exact"/>
        <w:ind w:firstLine="640" w:firstLineChars="200"/>
        <w:rPr>
          <w:rFonts w:hint="default" w:ascii="Times New Roman" w:hAnsi="Times New Roman" w:eastAsia="仿宋_GB2312" w:cs="Times New Roman"/>
          <w:color w:val="000000" w:themeColor="text1"/>
          <w:sz w:val="32"/>
          <w:szCs w:val="32"/>
          <w:highlight w:val="yellow"/>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推动金融改革创新，发展高效安全、绿色普惠、开放创新的现代金融服务业。引导金融回归本源，服从服务于经济社会发展。招引国有商业银行和全国性股份制商业银行入驻濉溪，支持濉溪农商行做大做强，支持本地有实力的企业牵头或参与发起成立民营银行，加快银行业集聚发展。大力发展信用贷款、知识产权质押贷款、股权质押贷款、应收账款质押贷款、绿色信贷等新型信贷工具，综合运用投贷联动、债转股等方式，促进信贷资源优化配置。加强政策引导作用，推进企业上市挂牌，鼓励企业利用股票、债券、债务融资工具，扩大直接融资规模。深化与证券、基金、信托、租赁等融资机构融资合作，加大对新型金融机构扶持力度，加快发展以证券、保险、信托、资产管理、期货、货币经纪、财务公司为重点的非银行类金融。培育发展以融资担保、小额贷款、融资租赁、典当、商业保理、地方资产管理等为代表的金融</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行业</w:t>
      </w:r>
      <w:r>
        <w:rPr>
          <w:rFonts w:hint="default" w:ascii="Times New Roman" w:hAnsi="Times New Roman" w:eastAsia="仿宋_GB2312" w:cs="Times New Roman"/>
          <w:color w:val="000000" w:themeColor="text1"/>
          <w:sz w:val="32"/>
          <w:szCs w:val="32"/>
          <w14:textFill>
            <w14:solidFill>
              <w14:schemeClr w14:val="tx1"/>
            </w14:solidFill>
          </w14:textFill>
        </w:rPr>
        <w:t>。畅通金融扶持实体经济通道，围绕全县重点领域和薄弱环节加强金融支持力度，引导金融机构配合濉溪县产业发展调整信贷投向，突出对主导产业的中长期信贷支持，促进银企对接，加大信贷投放力度，推进银担合作，持续增强担保服务能力，着力保障重大项目、重点产业的资金需求，切实缓解企业融资难融资贵问题。健全政策性融资担保体系，完善信贷考核奖励办法。优化金融生态环境，防范金融风险。到“十四五”末，贷款余额突破650亿元，年均增速11%，存贷比达到65%以上，全县“新三板”和区域四板挂牌企业总数超过100家。</w:t>
      </w:r>
    </w:p>
    <w:p>
      <w:pPr>
        <w:pStyle w:val="5"/>
        <w:keepNext w:val="0"/>
        <w:keepLines w:val="0"/>
        <w:spacing w:before="0" w:after="0" w:line="560" w:lineRule="exact"/>
        <w:ind w:firstLine="643" w:firstLineChars="200"/>
        <w:rPr>
          <w:rFonts w:hint="default" w:ascii="Times New Roman" w:hAnsi="Times New Roman" w:eastAsia="楷体_GB2312" w:cs="Times New Roman"/>
          <w:color w:val="000000" w:themeColor="text1"/>
          <w14:textFill>
            <w14:solidFill>
              <w14:schemeClr w14:val="tx1"/>
            </w14:solidFill>
          </w14:textFill>
        </w:rPr>
      </w:pPr>
      <w:bookmarkStart w:id="89" w:name="_Toc24352"/>
      <w:bookmarkStart w:id="90" w:name="_Toc12817"/>
      <w:bookmarkStart w:id="91" w:name="_Toc83296394"/>
      <w:r>
        <w:rPr>
          <w:rFonts w:hint="default" w:ascii="Times New Roman" w:hAnsi="Times New Roman" w:eastAsia="楷体_GB2312" w:cs="Times New Roman"/>
          <w:color w:val="000000" w:themeColor="text1"/>
          <w14:textFill>
            <w14:solidFill>
              <w14:schemeClr w14:val="tx1"/>
            </w14:solidFill>
          </w14:textFill>
        </w:rPr>
        <w:t>（四）创新发展电子商务业</w:t>
      </w:r>
      <w:bookmarkEnd w:id="89"/>
      <w:bookmarkEnd w:id="90"/>
      <w:bookmarkEnd w:id="91"/>
    </w:p>
    <w:p>
      <w:pPr>
        <w:spacing w:line="56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紧抓国家大力发展数字经济战略机遇，以电子商务推动传统商业模式创新，加快企业信息化建设步伐，加快电子商务与产业融合发展。积极利用互联网、人工智能等新技术，发展电商、数字娱乐、在线教育、远程医疗等新兴业态和线上经济，加大电商项目资金扶持力度，积极推动传统企业向“互联网+”转型。加强行业门户网站和网上商城建设，加快电商渠道及细分领域专业平台的建设，积极利用基于第三方平台的淘宝网特色中国淮北馆、京东淮北馆、苏宁易购淮北频道、“阿里巴巴•淮北产业带”、特色农产品电子商务村、特色电子商务镇等，打造本地特色电子商</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务应用平台。大力推进濉溪县电子商务产业园（淮海壹号）二期项目建设，打造濉溪县电商集聚区。积极推动农村电子商务和跨</w:t>
      </w:r>
      <w:r>
        <w:rPr>
          <w:rFonts w:hint="default" w:ascii="Times New Roman" w:hAnsi="Times New Roman" w:eastAsia="仿宋_GB2312" w:cs="Times New Roman"/>
          <w:color w:val="000000" w:themeColor="text1"/>
          <w:sz w:val="32"/>
          <w:szCs w:val="32"/>
          <w14:textFill>
            <w14:solidFill>
              <w14:schemeClr w14:val="tx1"/>
            </w14:solidFill>
          </w14:textFill>
        </w:rPr>
        <w:t>境电商发展，以电子商务进农村综合示范建设为抓手，培育和壮大农村电子商务市场主体，培育发展一批电子商务微型产业集聚区和电商村。开展跨境电商综合改革试点工作，推动跨境电商产业园建设，培育一批跨境电子商务平台和企业，大力支持企业开拓海外市场，推进“综合保税区”建设，</w:t>
      </w:r>
      <w:r>
        <w:rPr>
          <w:rFonts w:hint="default" w:ascii="Times New Roman" w:hAnsi="Times New Roman" w:eastAsia="仿宋_GB2312" w:cs="Times New Roman"/>
          <w:sz w:val="32"/>
          <w:szCs w:val="32"/>
        </w:rPr>
        <w:t>推动跨境电子商务网购保税进口扩大规模。</w:t>
      </w:r>
      <w:r>
        <w:rPr>
          <w:rFonts w:hint="default" w:ascii="Times New Roman" w:hAnsi="Times New Roman" w:eastAsia="仿宋_GB2312" w:cs="Times New Roman"/>
          <w:color w:val="000000" w:themeColor="text1"/>
          <w:sz w:val="32"/>
          <w:szCs w:val="32"/>
          <w14:textFill>
            <w14:solidFill>
              <w14:schemeClr w14:val="tx1"/>
            </w14:solidFill>
          </w14:textFill>
        </w:rPr>
        <w:t>扶持移动电商、跨境电商、互联网金融、O2O模式及相关电子商务支撑服务、外包服务、增值服务等新型服务业，促进本地生活类便民电商服务等新型业态健康发展。开展电商人才培训。打击电子商务领域的非法经营活动，保障电子商务正常秩序。到“十四五”末，将濉溪打造成全国电子商务创新创业节点城市、全省和全国食品电子商务服务的领跑者、“互联网+”推动产业升级的先行者、皖北跨境电子商务发展集聚区，全县电子商务交易额达到269.2亿元以上。</w:t>
      </w:r>
    </w:p>
    <w:tbl>
      <w:tblPr>
        <w:tblStyle w:val="23"/>
        <w:tblW w:w="85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522" w:type="dxa"/>
          </w:tcPr>
          <w:p>
            <w:pPr>
              <w:pStyle w:val="39"/>
              <w:keepNext w:val="0"/>
              <w:keepLines w:val="0"/>
              <w:pageBreakBefore w:val="0"/>
              <w:widowControl w:val="0"/>
              <w:numPr>
                <w:ilvl w:val="255"/>
                <w:numId w:val="0"/>
              </w:numPr>
              <w:kinsoku/>
              <w:wordWrap/>
              <w:overflowPunct/>
              <w:topLinePunct w:val="0"/>
              <w:autoSpaceDE/>
              <w:autoSpaceDN/>
              <w:bidi w:val="0"/>
              <w:adjustRightInd/>
              <w:snapToGrid/>
              <w:spacing w:line="460" w:lineRule="exact"/>
              <w:jc w:val="center"/>
              <w:textAlignment w:val="auto"/>
              <w:rPr>
                <w:rFonts w:hint="default" w:ascii="Times New Roman" w:hAnsi="Times New Roman" w:eastAsia="黑体" w:cs="Times New Roman"/>
                <w:b w:val="0"/>
                <w:bCs/>
                <w:color w:val="000000" w:themeColor="text1"/>
                <w:sz w:val="28"/>
                <w:szCs w:val="28"/>
                <w14:textFill>
                  <w14:solidFill>
                    <w14:schemeClr w14:val="tx1"/>
                  </w14:solidFill>
                </w14:textFill>
              </w:rPr>
            </w:pPr>
            <w:r>
              <w:rPr>
                <w:rFonts w:hint="default" w:ascii="Times New Roman" w:hAnsi="Times New Roman" w:eastAsia="黑体" w:cs="Times New Roman"/>
                <w:b w:val="0"/>
                <w:bCs/>
                <w:color w:val="000000" w:themeColor="text1"/>
                <w:sz w:val="28"/>
                <w:szCs w:val="28"/>
                <w14:textFill>
                  <w14:solidFill>
                    <w14:schemeClr w14:val="tx1"/>
                  </w14:solidFill>
                </w14:textFill>
              </w:rPr>
              <w:t>专栏2：重点方向或重点项目</w:t>
            </w:r>
          </w:p>
          <w:p>
            <w:pPr>
              <w:pStyle w:val="39"/>
              <w:keepNext w:val="0"/>
              <w:keepLines w:val="0"/>
              <w:pageBreakBefore w:val="0"/>
              <w:widowControl w:val="0"/>
              <w:numPr>
                <w:ilvl w:val="0"/>
                <w:numId w:val="2"/>
              </w:numPr>
              <w:kinsoku/>
              <w:wordWrap/>
              <w:overflowPunct/>
              <w:topLinePunct w:val="0"/>
              <w:autoSpaceDE/>
              <w:autoSpaceDN/>
              <w:bidi w:val="0"/>
              <w:adjustRightInd/>
              <w:snapToGrid/>
              <w:spacing w:line="460" w:lineRule="exact"/>
              <w:ind w:firstLineChars="0"/>
              <w:textAlignment w:val="auto"/>
              <w:rPr>
                <w:rFonts w:hint="default" w:ascii="Times New Roman" w:hAnsi="Times New Roman" w:eastAsia="仿宋_GB2312" w:cs="Times New Roman"/>
                <w:color w:val="000000" w:themeColor="text1"/>
                <w:kern w:val="0"/>
                <w:sz w:val="28"/>
                <w:szCs w:val="28"/>
                <w:lang w:bidi="ar"/>
                <w14:textFill>
                  <w14:solidFill>
                    <w14:schemeClr w14:val="tx1"/>
                  </w14:solidFill>
                </w14:textFill>
              </w:rPr>
            </w:pPr>
            <w:r>
              <w:rPr>
                <w:rFonts w:hint="default" w:ascii="Times New Roman" w:hAnsi="Times New Roman" w:eastAsia="仿宋_GB2312" w:cs="Times New Roman"/>
                <w:color w:val="000000" w:themeColor="text1"/>
                <w:kern w:val="0"/>
                <w:sz w:val="28"/>
                <w:szCs w:val="28"/>
                <w:lang w:bidi="ar"/>
                <w14:textFill>
                  <w14:solidFill>
                    <w14:schemeClr w14:val="tx1"/>
                  </w14:solidFill>
                </w14:textFill>
              </w:rPr>
              <w:t>濉溪县电子商务产业园（淮海壹号）二期：位于濉溪镇，总投资2.6亿元，规划建设濉溪数字经济产业园，拟打造以电商产业、信息科技、现代服务、健康养老、科研教育、文化创意等为主的现代服务业集聚区二期。</w:t>
            </w:r>
          </w:p>
          <w:p>
            <w:pPr>
              <w:pStyle w:val="39"/>
              <w:keepNext w:val="0"/>
              <w:keepLines w:val="0"/>
              <w:pageBreakBefore w:val="0"/>
              <w:widowControl w:val="0"/>
              <w:numPr>
                <w:ilvl w:val="0"/>
                <w:numId w:val="2"/>
              </w:numPr>
              <w:kinsoku/>
              <w:wordWrap/>
              <w:overflowPunct/>
              <w:topLinePunct w:val="0"/>
              <w:autoSpaceDE/>
              <w:autoSpaceDN/>
              <w:bidi w:val="0"/>
              <w:adjustRightInd/>
              <w:snapToGrid/>
              <w:spacing w:line="460" w:lineRule="exact"/>
              <w:ind w:firstLineChars="0"/>
              <w:textAlignment w:val="auto"/>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kern w:val="0"/>
                <w:sz w:val="28"/>
                <w:szCs w:val="28"/>
                <w:lang w:bidi="ar"/>
                <w14:textFill>
                  <w14:solidFill>
                    <w14:schemeClr w14:val="tx1"/>
                  </w14:solidFill>
                </w14:textFill>
              </w:rPr>
              <w:t>综合保税区建设项目，总投资10亿元，建设2.5平方公里保税加工、保税物流、保税服务等设施建设，并拓展研发、维修、检测、商品展示、国际中转、国际采购、跨境电子商务等业务，重点打造特色加工制造基地、高新技术产品研发生产基地、保税物流基地。</w:t>
            </w:r>
          </w:p>
        </w:tc>
      </w:tr>
    </w:tbl>
    <w:p>
      <w:pPr>
        <w:spacing w:line="560" w:lineRule="exact"/>
        <w:ind w:firstLine="643" w:firstLineChars="200"/>
        <w:rPr>
          <w:rFonts w:hint="default" w:ascii="Times New Roman" w:hAnsi="Times New Roman" w:eastAsia="楷体_GB2312" w:cs="Times New Roman"/>
          <w:b/>
          <w:bCs/>
          <w:color w:val="000000" w:themeColor="text1"/>
          <w:sz w:val="32"/>
          <w:szCs w:val="32"/>
          <w14:textFill>
            <w14:solidFill>
              <w14:schemeClr w14:val="tx1"/>
            </w14:solidFill>
          </w14:textFill>
        </w:rPr>
      </w:pPr>
      <w:bookmarkStart w:id="92" w:name="_Toc20518"/>
      <w:bookmarkStart w:id="93" w:name="_Toc83296395"/>
      <w:r>
        <w:rPr>
          <w:rFonts w:hint="default" w:ascii="Times New Roman" w:hAnsi="Times New Roman" w:eastAsia="楷体_GB2312" w:cs="Times New Roman"/>
          <w:b/>
          <w:bCs/>
          <w:color w:val="000000" w:themeColor="text1"/>
          <w:sz w:val="32"/>
          <w:szCs w:val="32"/>
          <w14:textFill>
            <w14:solidFill>
              <w14:schemeClr w14:val="tx1"/>
            </w14:solidFill>
          </w14:textFill>
        </w:rPr>
        <w:t>（五）提升发展科技服务业</w:t>
      </w:r>
      <w:bookmarkEnd w:id="92"/>
      <w:bookmarkEnd w:id="93"/>
    </w:p>
    <w:p>
      <w:pPr>
        <w:widowControl w:val="0"/>
        <w:shd w:val="clear" w:color="auto" w:fill="FFFFFF"/>
        <w:spacing w:line="56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t>大力发展研究开发、工业设计、技术转移转化、创业孵化、检验检测、知识产权、科技咨询、科学技术普及等科技服务业。</w:t>
      </w:r>
      <w:r>
        <w:rPr>
          <w:rFonts w:hint="default" w:ascii="Times New Roman" w:hAnsi="Times New Roman" w:eastAsia="仿宋_GB2312" w:cs="Times New Roman"/>
          <w:smallCaps/>
          <w:color w:val="000000" w:themeColor="text1"/>
          <w:sz w:val="32"/>
          <w:szCs w:val="32"/>
          <w14:textFill>
            <w14:solidFill>
              <w14:schemeClr w14:val="tx1"/>
            </w14:solidFill>
          </w14:textFill>
        </w:rPr>
        <w:t>深化现代服务业同先进制造业、现代农业等深度融合，</w:t>
      </w:r>
      <w:r>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t>搭建和完善科技基础设施条件，支持建设一批区域技术和信息公共服务平台，提高公共资源的共享水平和产出能力。加快建设一批资源共享、面向社会开放的公共检验检测认证服务平台，发展第三方检验检测认证服务，培育发展在线检测新型业态。发挥煤化工、铝基新材料及相关产业比较优势，加强在精细化工、铝基复合材料、现代农业等领域的技术攻关。整合相关人才教育、招商引资、社会就业、区域发展政策，形成较为完善激励创新的政策体系。放宽科技服务业准入条件，引导企业与高校、院所共建研发中心、科技企业孵化器，深化与科技服务业的合作。广泛吸纳科技资金和风险投资，完善科技企业的融资体系。创新平台管理机制，为科技创新和成果转化提供技术、管理、政策法规等方面的信息和数据资料。加强科技创新载体建设，推进数字科创发展，完善科技服务体系，加快壮大信息与科技服务业，培育发展国家高新技术企业，支持符合条件的企业争创国家级和省级创新平台，打造一批重点突出、资源集聚、服务专业的科技企业孵化器和众创空间，协助铝基新材料产业技术研究院建设、完善和绩效评估，形成一批科技服务产业集群，建立适应现代服务业发展的覆盖全县科技创新全链条、产品生产全周期的创业创新服务体系。</w:t>
      </w:r>
      <w:r>
        <w:rPr>
          <w:rFonts w:hint="default" w:ascii="Times New Roman" w:hAnsi="Times New Roman" w:eastAsia="仿宋_GB2312" w:cs="Times New Roman"/>
          <w:color w:val="000000" w:themeColor="text1"/>
          <w:sz w:val="32"/>
          <w:szCs w:val="32"/>
          <w14:textFill>
            <w14:solidFill>
              <w14:schemeClr w14:val="tx1"/>
            </w14:solidFill>
          </w14:textFill>
        </w:rPr>
        <w:t>到“十四五”末，每万人口有效发明专利拥有量达7件，建成科技企业孵化器和众创空间5家以上，科技服务业营业收入年均增长10%以上。</w:t>
      </w:r>
    </w:p>
    <w:tbl>
      <w:tblPr>
        <w:tblStyle w:val="23"/>
        <w:tblW w:w="872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723" w:type="dxa"/>
          </w:tcPr>
          <w:p>
            <w:pPr>
              <w:pStyle w:val="39"/>
              <w:keepNext w:val="0"/>
              <w:keepLines w:val="0"/>
              <w:pageBreakBefore w:val="0"/>
              <w:widowControl w:val="0"/>
              <w:numPr>
                <w:ilvl w:val="255"/>
                <w:numId w:val="0"/>
              </w:numPr>
              <w:kinsoku/>
              <w:wordWrap/>
              <w:overflowPunct/>
              <w:topLinePunct w:val="0"/>
              <w:autoSpaceDE/>
              <w:autoSpaceDN/>
              <w:bidi w:val="0"/>
              <w:adjustRightInd/>
              <w:snapToGrid/>
              <w:spacing w:line="460" w:lineRule="exact"/>
              <w:jc w:val="center"/>
              <w:textAlignment w:val="auto"/>
              <w:rPr>
                <w:rFonts w:hint="default" w:ascii="Times New Roman" w:hAnsi="Times New Roman" w:eastAsia="黑体" w:cs="Times New Roman"/>
                <w:b w:val="0"/>
                <w:bCs/>
                <w:color w:val="000000" w:themeColor="text1"/>
                <w:sz w:val="28"/>
                <w:szCs w:val="28"/>
                <w14:textFill>
                  <w14:solidFill>
                    <w14:schemeClr w14:val="tx1"/>
                  </w14:solidFill>
                </w14:textFill>
              </w:rPr>
            </w:pPr>
            <w:r>
              <w:rPr>
                <w:rFonts w:hint="default" w:ascii="Times New Roman" w:hAnsi="Times New Roman" w:eastAsia="黑体" w:cs="Times New Roman"/>
                <w:b w:val="0"/>
                <w:bCs/>
                <w:color w:val="000000" w:themeColor="text1"/>
                <w:sz w:val="28"/>
                <w:szCs w:val="28"/>
                <w14:textFill>
                  <w14:solidFill>
                    <w14:schemeClr w14:val="tx1"/>
                  </w14:solidFill>
                </w14:textFill>
              </w:rPr>
              <w:t>专栏3：重点方向或重点项目</w:t>
            </w:r>
          </w:p>
          <w:p>
            <w:pPr>
              <w:pStyle w:val="39"/>
              <w:keepNext w:val="0"/>
              <w:keepLines w:val="0"/>
              <w:pageBreakBefore w:val="0"/>
              <w:widowControl w:val="0"/>
              <w:numPr>
                <w:ilvl w:val="0"/>
                <w:numId w:val="2"/>
              </w:numPr>
              <w:kinsoku/>
              <w:wordWrap/>
              <w:overflowPunct/>
              <w:topLinePunct w:val="0"/>
              <w:autoSpaceDE/>
              <w:autoSpaceDN/>
              <w:bidi w:val="0"/>
              <w:adjustRightInd/>
              <w:snapToGrid/>
              <w:spacing w:line="460" w:lineRule="exact"/>
              <w:ind w:firstLineChars="0"/>
              <w:textAlignment w:val="auto"/>
              <w:rPr>
                <w:rFonts w:hint="default" w:ascii="Times New Roman" w:hAnsi="Times New Roman" w:eastAsia="仿宋_GB2312" w:cs="Times New Roman"/>
                <w:color w:val="000000" w:themeColor="text1"/>
                <w:kern w:val="0"/>
                <w:sz w:val="28"/>
                <w:szCs w:val="28"/>
                <w14:textFill>
                  <w14:solidFill>
                    <w14:schemeClr w14:val="tx1"/>
                  </w14:solidFill>
                </w14:textFill>
              </w:rPr>
            </w:pPr>
            <w:r>
              <w:rPr>
                <w:rFonts w:hint="default" w:ascii="Times New Roman" w:hAnsi="Times New Roman" w:eastAsia="仿宋_GB2312" w:cs="Times New Roman"/>
                <w:color w:val="000000" w:themeColor="text1"/>
                <w:kern w:val="0"/>
                <w:sz w:val="28"/>
                <w:szCs w:val="28"/>
                <w:lang w:bidi="ar"/>
                <w14:textFill>
                  <w14:solidFill>
                    <w14:schemeClr w14:val="tx1"/>
                  </w14:solidFill>
                </w14:textFill>
              </w:rPr>
              <w:t>濉芜现代产业园双创孵化园</w:t>
            </w:r>
            <w:r>
              <w:rPr>
                <w:rFonts w:hint="default" w:ascii="Times New Roman" w:hAnsi="Times New Roman" w:eastAsia="仿宋_GB2312" w:cs="Times New Roman"/>
                <w:color w:val="000000" w:themeColor="text1"/>
                <w:kern w:val="0"/>
                <w:sz w:val="28"/>
                <w:szCs w:val="28"/>
                <w14:textFill>
                  <w14:solidFill>
                    <w14:schemeClr w14:val="tx1"/>
                  </w14:solidFill>
                </w14:textFill>
              </w:rPr>
              <w:t>，总投资31.6亿元，主要建设内容：</w:t>
            </w:r>
            <w:r>
              <w:rPr>
                <w:rFonts w:hint="default" w:ascii="Times New Roman" w:hAnsi="Times New Roman" w:eastAsia="仿宋_GB2312" w:cs="Times New Roman"/>
                <w:color w:val="000000" w:themeColor="text1"/>
                <w:kern w:val="0"/>
                <w:sz w:val="28"/>
                <w:szCs w:val="28"/>
                <w:lang w:bidi="ar"/>
                <w14:textFill>
                  <w14:solidFill>
                    <w14:schemeClr w14:val="tx1"/>
                  </w14:solidFill>
                </w14:textFill>
              </w:rPr>
              <w:t>（1）综合服务中心建设项目，占地107亩，建设双创孵化园综合服务中心，总建筑面积12.5万平方米；（2）氢能源产业园及配套建设项目。占地1800亩，建设标准化厂房115万平方米，主要包括仓储中心、生产、展示交易中心等三大功能区;（3）生态及交通提升建设项目，建设3条人工渠道连接巴河及沱河，建设提升泵站，采购100辆氢能源公交车。</w:t>
            </w:r>
          </w:p>
          <w:p>
            <w:pPr>
              <w:pStyle w:val="39"/>
              <w:keepNext w:val="0"/>
              <w:keepLines w:val="0"/>
              <w:pageBreakBefore w:val="0"/>
              <w:widowControl w:val="0"/>
              <w:numPr>
                <w:ilvl w:val="0"/>
                <w:numId w:val="2"/>
              </w:numPr>
              <w:kinsoku/>
              <w:wordWrap/>
              <w:overflowPunct/>
              <w:topLinePunct w:val="0"/>
              <w:autoSpaceDE/>
              <w:autoSpaceDN/>
              <w:bidi w:val="0"/>
              <w:adjustRightInd/>
              <w:snapToGrid/>
              <w:spacing w:line="460" w:lineRule="exact"/>
              <w:ind w:firstLineChars="0"/>
              <w:textAlignment w:val="auto"/>
              <w:rPr>
                <w:rFonts w:hint="default" w:ascii="Times New Roman" w:hAnsi="Times New Roman" w:eastAsia="仿宋_GB2312" w:cs="Times New Roman"/>
                <w:color w:val="000000" w:themeColor="text1"/>
                <w:kern w:val="0"/>
                <w:sz w:val="28"/>
                <w:szCs w:val="28"/>
                <w14:textFill>
                  <w14:solidFill>
                    <w14:schemeClr w14:val="tx1"/>
                  </w14:solidFill>
                </w14:textFill>
              </w:rPr>
            </w:pPr>
            <w:r>
              <w:rPr>
                <w:rFonts w:hint="default" w:ascii="Times New Roman" w:hAnsi="Times New Roman" w:eastAsia="仿宋_GB2312" w:cs="Times New Roman"/>
                <w:color w:val="000000" w:themeColor="text1"/>
                <w:kern w:val="0"/>
                <w:sz w:val="28"/>
                <w:szCs w:val="28"/>
                <w14:textFill>
                  <w14:solidFill>
                    <w14:schemeClr w14:val="tx1"/>
                  </w14:solidFill>
                </w14:textFill>
              </w:rPr>
              <w:t>新型金属铝材料公共服务平台项目，总投资5.6亿元，主要建设内容：占地约144亩，总建筑面积约10万平方米，包含院士工作站、铝产业研发中心、国家级铝制品检测中心、产业孵化期、众创空间、会展中心、科创中心及其他相关配套设施。</w:t>
            </w:r>
          </w:p>
          <w:p>
            <w:pPr>
              <w:pStyle w:val="39"/>
              <w:keepNext w:val="0"/>
              <w:keepLines w:val="0"/>
              <w:pageBreakBefore w:val="0"/>
              <w:widowControl w:val="0"/>
              <w:numPr>
                <w:ilvl w:val="0"/>
                <w:numId w:val="2"/>
              </w:numPr>
              <w:kinsoku/>
              <w:wordWrap/>
              <w:overflowPunct/>
              <w:topLinePunct w:val="0"/>
              <w:autoSpaceDE/>
              <w:autoSpaceDN/>
              <w:bidi w:val="0"/>
              <w:adjustRightInd/>
              <w:snapToGrid/>
              <w:spacing w:line="460" w:lineRule="exact"/>
              <w:ind w:firstLineChars="0"/>
              <w:textAlignment w:val="auto"/>
              <w:rPr>
                <w:rFonts w:hint="default" w:ascii="Times New Roman" w:hAnsi="Times New Roman" w:eastAsia="仿宋_GB2312" w:cs="Times New Roman"/>
                <w:color w:val="000000" w:themeColor="text1"/>
                <w:kern w:val="0"/>
                <w:sz w:val="28"/>
                <w:szCs w:val="28"/>
                <w14:textFill>
                  <w14:solidFill>
                    <w14:schemeClr w14:val="tx1"/>
                  </w14:solidFill>
                </w14:textFill>
              </w:rPr>
            </w:pPr>
            <w:r>
              <w:rPr>
                <w:rFonts w:hint="default" w:ascii="Times New Roman" w:hAnsi="Times New Roman" w:eastAsia="仿宋_GB2312" w:cs="Times New Roman"/>
                <w:color w:val="000000" w:themeColor="text1"/>
                <w:kern w:val="0"/>
                <w:sz w:val="28"/>
                <w:szCs w:val="28"/>
                <w14:textFill>
                  <w14:solidFill>
                    <w14:schemeClr w14:val="tx1"/>
                  </w14:solidFill>
                </w14:textFill>
              </w:rPr>
              <w:t>企业安全培训基地项目（应急安全城），总投资约3亿元，主要建设内容：占地约76亩。总建筑面积约3万平方米，包含应急体验馆、应急指挥中心、应急物资储备库以及其他相关配套设施。</w:t>
            </w:r>
          </w:p>
          <w:p>
            <w:pPr>
              <w:pStyle w:val="39"/>
              <w:keepNext w:val="0"/>
              <w:keepLines w:val="0"/>
              <w:pageBreakBefore w:val="0"/>
              <w:widowControl w:val="0"/>
              <w:numPr>
                <w:ilvl w:val="0"/>
                <w:numId w:val="2"/>
              </w:numPr>
              <w:kinsoku/>
              <w:wordWrap/>
              <w:overflowPunct/>
              <w:topLinePunct w:val="0"/>
              <w:autoSpaceDE/>
              <w:autoSpaceDN/>
              <w:bidi w:val="0"/>
              <w:adjustRightInd/>
              <w:snapToGrid/>
              <w:spacing w:line="460" w:lineRule="exact"/>
              <w:ind w:firstLineChars="0"/>
              <w:textAlignment w:val="auto"/>
              <w:rPr>
                <w:rFonts w:hint="default" w:ascii="Times New Roman" w:hAnsi="Times New Roman" w:eastAsia="仿宋_GB2312" w:cs="Times New Roman"/>
                <w:color w:val="000000" w:themeColor="text1"/>
                <w:kern w:val="0"/>
                <w:sz w:val="28"/>
                <w:szCs w:val="28"/>
                <w:lang w:bidi="ar"/>
                <w14:textFill>
                  <w14:solidFill>
                    <w14:schemeClr w14:val="tx1"/>
                  </w14:solidFill>
                </w14:textFill>
              </w:rPr>
            </w:pPr>
            <w:r>
              <w:rPr>
                <w:rFonts w:hint="default" w:ascii="Times New Roman" w:hAnsi="Times New Roman" w:eastAsia="仿宋_GB2312" w:cs="Times New Roman"/>
                <w:color w:val="000000" w:themeColor="text1"/>
                <w:kern w:val="0"/>
                <w:sz w:val="28"/>
                <w:szCs w:val="28"/>
                <w:lang w:bidi="ar"/>
                <w14:textFill>
                  <w14:solidFill>
                    <w14:schemeClr w14:val="tx1"/>
                  </w14:solidFill>
                </w14:textFill>
              </w:rPr>
              <w:t>知俐科技创新产业园</w:t>
            </w:r>
            <w:r>
              <w:rPr>
                <w:rFonts w:hint="default" w:ascii="Times New Roman" w:hAnsi="Times New Roman" w:eastAsia="仿宋_GB2312" w:cs="Times New Roman"/>
                <w:color w:val="000000" w:themeColor="text1"/>
                <w:kern w:val="0"/>
                <w:sz w:val="28"/>
                <w:szCs w:val="28"/>
                <w14:textFill>
                  <w14:solidFill>
                    <w14:schemeClr w14:val="tx1"/>
                  </w14:solidFill>
                </w14:textFill>
              </w:rPr>
              <w:t>项目</w:t>
            </w:r>
            <w:r>
              <w:rPr>
                <w:rFonts w:hint="default" w:ascii="Times New Roman" w:hAnsi="Times New Roman" w:eastAsia="仿宋_GB2312" w:cs="Times New Roman"/>
                <w:color w:val="000000" w:themeColor="text1"/>
                <w:kern w:val="0"/>
                <w:sz w:val="28"/>
                <w:szCs w:val="28"/>
                <w:lang w:bidi="ar"/>
                <w14:textFill>
                  <w14:solidFill>
                    <w14:schemeClr w14:val="tx1"/>
                  </w14:solidFill>
                </w14:textFill>
              </w:rPr>
              <w:t>，总投资1.06亿元，位于濉溪经开区，打造科创孵化器。</w:t>
            </w:r>
          </w:p>
          <w:p>
            <w:pPr>
              <w:pStyle w:val="39"/>
              <w:keepNext w:val="0"/>
              <w:keepLines w:val="0"/>
              <w:pageBreakBefore w:val="0"/>
              <w:widowControl w:val="0"/>
              <w:numPr>
                <w:ilvl w:val="0"/>
                <w:numId w:val="2"/>
              </w:numPr>
              <w:kinsoku/>
              <w:wordWrap/>
              <w:overflowPunct/>
              <w:topLinePunct w:val="0"/>
              <w:autoSpaceDE/>
              <w:autoSpaceDN/>
              <w:bidi w:val="0"/>
              <w:adjustRightInd/>
              <w:snapToGrid/>
              <w:spacing w:line="460" w:lineRule="exact"/>
              <w:ind w:firstLineChars="0"/>
              <w:textAlignment w:val="auto"/>
              <w:rPr>
                <w:rFonts w:hint="default" w:ascii="Times New Roman" w:hAnsi="Times New Roman" w:eastAsia="仿宋_GB2312" w:cs="Times New Roman"/>
                <w:color w:val="000000" w:themeColor="text1"/>
                <w:kern w:val="0"/>
                <w:sz w:val="28"/>
                <w:szCs w:val="28"/>
                <w14:textFill>
                  <w14:solidFill>
                    <w14:schemeClr w14:val="tx1"/>
                  </w14:solidFill>
                </w14:textFill>
              </w:rPr>
            </w:pPr>
            <w:r>
              <w:rPr>
                <w:rFonts w:hint="default" w:ascii="Times New Roman" w:hAnsi="Times New Roman" w:eastAsia="仿宋_GB2312" w:cs="Times New Roman"/>
                <w:color w:val="000000" w:themeColor="text1"/>
                <w:kern w:val="0"/>
                <w:sz w:val="28"/>
                <w:szCs w:val="28"/>
                <w:lang w:bidi="ar"/>
                <w14:textFill>
                  <w14:solidFill>
                    <w14:schemeClr w14:val="tx1"/>
                  </w14:solidFill>
                </w14:textFill>
              </w:rPr>
              <w:t>濉溪镇失地农民创业园</w:t>
            </w:r>
            <w:r>
              <w:rPr>
                <w:rFonts w:hint="default" w:ascii="Times New Roman" w:hAnsi="Times New Roman" w:eastAsia="仿宋_GB2312" w:cs="Times New Roman"/>
                <w:color w:val="000000" w:themeColor="text1"/>
                <w:kern w:val="0"/>
                <w:sz w:val="28"/>
                <w:szCs w:val="28"/>
                <w14:textFill>
                  <w14:solidFill>
                    <w14:schemeClr w14:val="tx1"/>
                  </w14:solidFill>
                </w14:textFill>
              </w:rPr>
              <w:t>项目</w:t>
            </w:r>
            <w:r>
              <w:rPr>
                <w:rFonts w:hint="default" w:ascii="Times New Roman" w:hAnsi="Times New Roman" w:eastAsia="仿宋_GB2312" w:cs="Times New Roman"/>
                <w:color w:val="000000" w:themeColor="text1"/>
                <w:kern w:val="0"/>
                <w:sz w:val="28"/>
                <w:szCs w:val="28"/>
                <w:lang w:bidi="ar"/>
                <w14:textFill>
                  <w14:solidFill>
                    <w14:schemeClr w14:val="tx1"/>
                  </w14:solidFill>
                </w14:textFill>
              </w:rPr>
              <w:t>，</w:t>
            </w:r>
            <w:r>
              <w:rPr>
                <w:rFonts w:hint="default" w:ascii="Times New Roman" w:hAnsi="Times New Roman" w:eastAsia="仿宋_GB2312" w:cs="Times New Roman"/>
                <w:color w:val="000000" w:themeColor="text1"/>
                <w:kern w:val="0"/>
                <w:sz w:val="28"/>
                <w:szCs w:val="28"/>
                <w14:textFill>
                  <w14:solidFill>
                    <w14:schemeClr w14:val="tx1"/>
                  </w14:solidFill>
                </w14:textFill>
              </w:rPr>
              <w:t>总投资</w:t>
            </w:r>
            <w:r>
              <w:rPr>
                <w:rFonts w:hint="default" w:ascii="Times New Roman" w:hAnsi="Times New Roman" w:eastAsia="仿宋_GB2312" w:cs="Times New Roman"/>
                <w:color w:val="000000" w:themeColor="text1"/>
                <w:kern w:val="0"/>
                <w:sz w:val="28"/>
                <w:szCs w:val="28"/>
                <w:lang w:bidi="ar"/>
                <w14:textFill>
                  <w14:solidFill>
                    <w14:schemeClr w14:val="tx1"/>
                  </w14:solidFill>
                </w14:textFill>
              </w:rPr>
              <w:t>10亿元，地面积约500亩，建设标准化工业厂房4万平方米，以及园区路网、地下管网等配套工程，以及承载乾隆湖园区的搬迁安置。</w:t>
            </w:r>
          </w:p>
          <w:p>
            <w:pPr>
              <w:pStyle w:val="39"/>
              <w:keepNext w:val="0"/>
              <w:keepLines w:val="0"/>
              <w:pageBreakBefore w:val="0"/>
              <w:widowControl w:val="0"/>
              <w:numPr>
                <w:ilvl w:val="0"/>
                <w:numId w:val="2"/>
              </w:numPr>
              <w:kinsoku/>
              <w:wordWrap/>
              <w:overflowPunct/>
              <w:topLinePunct w:val="0"/>
              <w:autoSpaceDE/>
              <w:autoSpaceDN/>
              <w:bidi w:val="0"/>
              <w:adjustRightInd/>
              <w:snapToGrid/>
              <w:spacing w:line="460" w:lineRule="exact"/>
              <w:ind w:firstLineChars="0"/>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kern w:val="0"/>
                <w:sz w:val="28"/>
                <w:szCs w:val="28"/>
                <w14:textFill>
                  <w14:solidFill>
                    <w14:schemeClr w14:val="tx1"/>
                  </w14:solidFill>
                </w14:textFill>
              </w:rPr>
              <w:t>汽车零部件综合提升工程项目，总投资约1亿元，主要建设内容：利用商贸基础现有办公楼，建设集园区汽车零部件研发中心、物流配套、公共服务及自主知识产权提升工程于一体的孵化基地。</w:t>
            </w:r>
          </w:p>
        </w:tc>
      </w:tr>
    </w:tbl>
    <w:p>
      <w:pPr>
        <w:spacing w:line="560" w:lineRule="exact"/>
        <w:ind w:firstLine="643" w:firstLineChars="200"/>
        <w:rPr>
          <w:rFonts w:hint="default" w:ascii="Times New Roman" w:hAnsi="Times New Roman" w:eastAsia="楷体_GB2312" w:cs="Times New Roman"/>
          <w:b/>
          <w:bCs/>
          <w:color w:val="000000" w:themeColor="text1"/>
          <w:sz w:val="32"/>
          <w:szCs w:val="32"/>
          <w14:textFill>
            <w14:solidFill>
              <w14:schemeClr w14:val="tx1"/>
            </w14:solidFill>
          </w14:textFill>
        </w:rPr>
      </w:pPr>
      <w:bookmarkStart w:id="94" w:name="_Toc18680"/>
      <w:bookmarkStart w:id="95" w:name="_Toc83296396"/>
      <w:r>
        <w:rPr>
          <w:rFonts w:hint="default" w:ascii="Times New Roman" w:hAnsi="Times New Roman" w:eastAsia="楷体_GB2312" w:cs="Times New Roman"/>
          <w:b/>
          <w:bCs/>
          <w:color w:val="000000" w:themeColor="text1"/>
          <w:sz w:val="32"/>
          <w:szCs w:val="32"/>
          <w14:textFill>
            <w14:solidFill>
              <w14:schemeClr w14:val="tx1"/>
            </w14:solidFill>
          </w14:textFill>
        </w:rPr>
        <w:t>（六）积极培育节能环保服务业</w:t>
      </w:r>
      <w:bookmarkEnd w:id="94"/>
      <w:bookmarkEnd w:id="95"/>
    </w:p>
    <w:p>
      <w:pPr>
        <w:spacing w:line="56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对节能环保服务业，加大财政投入，从生产、流通、建设、消费各个环节加以引导，对研发、示范、产业化全过程给予扶持，吸引资源向节能环保与检测服务行业集聚。围绕主导产业和战略新兴产业，重点扶持铝制品、精细化工及新兴产业发展检验检测服务业，规范引导建材、冶金、能源企业协同开展城市及产业废弃物的资源化利用。大力培育和发展节能减排投融资、能源审计、清洁生产审核、工程咨询、节能环保产品认证、节能评估、环境法律诉讼和教育培训等第三方节能环保服务体系。大力推行合同能源管理，扶持壮大一批专业化节能公司，引导机构利用合同能源管理机制开展节能服务，支持重点用能单位采用合同能源管理方式实施节能改造，探索节能量交易等市场化节能机制。支持企业开发环保先进技术，提高资源回收企业的组织化和规模化程度，培育和发展绿色工业产品，健全有利于资源循环利用的回收体系和废弃物逆向物流交易平台，建立再制造旧件回收、产品营销、溯源等信息化管理系统。推行环境污染第三方治理。支持储能项目建设。严格落实节能环保相关奖惩措施。</w:t>
      </w:r>
    </w:p>
    <w:p>
      <w:pPr>
        <w:spacing w:line="560" w:lineRule="exact"/>
        <w:ind w:firstLine="643" w:firstLineChars="200"/>
        <w:rPr>
          <w:rFonts w:hint="default" w:ascii="Times New Roman" w:hAnsi="Times New Roman" w:eastAsia="楷体_GB2312" w:cs="Times New Roman"/>
          <w:b/>
          <w:bCs/>
          <w:color w:val="000000" w:themeColor="text1"/>
          <w:sz w:val="32"/>
          <w:szCs w:val="32"/>
          <w14:textFill>
            <w14:solidFill>
              <w14:schemeClr w14:val="tx1"/>
            </w14:solidFill>
          </w14:textFill>
        </w:rPr>
      </w:pPr>
      <w:bookmarkStart w:id="96" w:name="_Toc22972"/>
      <w:bookmarkStart w:id="97" w:name="_Toc83296397"/>
      <w:r>
        <w:rPr>
          <w:rFonts w:hint="default" w:ascii="Times New Roman" w:hAnsi="Times New Roman" w:eastAsia="楷体_GB2312" w:cs="Times New Roman"/>
          <w:b/>
          <w:bCs/>
          <w:color w:val="000000" w:themeColor="text1"/>
          <w:sz w:val="32"/>
          <w:szCs w:val="32"/>
          <w14:textFill>
            <w14:solidFill>
              <w14:schemeClr w14:val="tx1"/>
            </w14:solidFill>
          </w14:textFill>
        </w:rPr>
        <w:t>（七）加快发展信息技术服务业</w:t>
      </w:r>
      <w:bookmarkEnd w:id="96"/>
      <w:bookmarkEnd w:id="97"/>
    </w:p>
    <w:p>
      <w:pPr>
        <w:spacing w:line="560" w:lineRule="exact"/>
        <w:ind w:firstLine="640" w:firstLineChars="200"/>
        <w:rPr>
          <w:rFonts w:hint="default" w:ascii="Times New Roman" w:hAnsi="Times New Roman" w:eastAsia="仿宋_GB2312" w:cs="Times New Roman"/>
          <w:color w:val="000000" w:themeColor="text1"/>
          <w:sz w:val="32"/>
          <w:szCs w:val="32"/>
          <w:lang w:val="zh-CN"/>
          <w14:textFill>
            <w14:solidFill>
              <w14:schemeClr w14:val="tx1"/>
            </w14:solidFill>
          </w14:textFill>
        </w:rPr>
      </w:pPr>
      <w:r>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t>依托5G等新型基础设施，利用物联网、边缘计算、人工智能等新一代信息技术，加快工业互联网、数据中心等建设，推动基于网络的信息技术服务业发展，大力发展数字经济。加快培育下一代互联网、移动互联网、物联网等环境下的新兴服务业态，着力推进云计算等业务创新和服务模式创新。鼓励集交易、电子认证、在线支付、物流、信用评估等多种服务于一体的第三方电子商务综合服务平台建设，培育一批骨干电子商务服务企业。</w:t>
      </w:r>
      <w:r>
        <w:rPr>
          <w:rFonts w:hint="default" w:ascii="Times New Roman" w:hAnsi="Times New Roman" w:eastAsia="仿宋_GB2312" w:cs="Times New Roman"/>
          <w:color w:val="000000" w:themeColor="text1"/>
          <w:sz w:val="32"/>
          <w:szCs w:val="32"/>
          <w14:textFill>
            <w14:solidFill>
              <w14:schemeClr w14:val="tx1"/>
            </w14:solidFill>
          </w14:textFill>
        </w:rPr>
        <w:t>依托高校与科研院所，运用云计算、物联网、大数据、移动互联网等信息技术改造、提升濉溪县传统服务业，实现服务业结构和技术水平升级。在传感器与传感器网络、RFID、智能仪器仪表、智能终端、网络通信设备等物联网制造产业，通信服务、云计算服务、软件、高端集成与应用等物联网服务业，以及嵌入式系统、芯片与微纳器件等物联网关键支撑产业培育和引进领军企业，实现物联网企业制造业零的突破。加快发展信息技术服务业人力资源培训、服务外包、管理咨询、职业指导等人力资源服务业。创新职业技能教育发展模式，提升职业技能教育质量，完善现代职业技能教育体系，支持社会力量参与兴办职业教育，探索公办和混合所有制相结合办学模式，促进产教深度融合，为信息技术服务业发展提供人才保障。到“十四五”末，</w:t>
      </w:r>
      <w:r>
        <w:rPr>
          <w:rFonts w:hint="default" w:ascii="Times New Roman" w:hAnsi="Times New Roman" w:eastAsia="仿宋_GB2312" w:cs="Times New Roman"/>
          <w:color w:val="000000" w:themeColor="text1"/>
          <w:sz w:val="32"/>
          <w:szCs w:val="32"/>
          <w:lang w:val="zh-CN"/>
          <w14:textFill>
            <w14:solidFill>
              <w14:schemeClr w14:val="tx1"/>
            </w14:solidFill>
          </w14:textFill>
        </w:rPr>
        <w:t>信息</w:t>
      </w:r>
      <w:r>
        <w:rPr>
          <w:rFonts w:hint="default" w:ascii="Times New Roman" w:hAnsi="Times New Roman" w:eastAsia="仿宋_GB2312" w:cs="Times New Roman"/>
          <w:color w:val="000000" w:themeColor="text1"/>
          <w:sz w:val="32"/>
          <w:szCs w:val="32"/>
          <w14:textFill>
            <w14:solidFill>
              <w14:schemeClr w14:val="tx1"/>
            </w14:solidFill>
          </w14:textFill>
        </w:rPr>
        <w:t>技术</w:t>
      </w:r>
      <w:r>
        <w:rPr>
          <w:rFonts w:hint="default" w:ascii="Times New Roman" w:hAnsi="Times New Roman" w:eastAsia="仿宋_GB2312" w:cs="Times New Roman"/>
          <w:color w:val="000000" w:themeColor="text1"/>
          <w:sz w:val="32"/>
          <w:szCs w:val="32"/>
          <w:lang w:val="zh-CN"/>
          <w14:textFill>
            <w14:solidFill>
              <w14:schemeClr w14:val="tx1"/>
            </w14:solidFill>
          </w14:textFill>
        </w:rPr>
        <w:t>服务业</w:t>
      </w:r>
      <w:r>
        <w:rPr>
          <w:rFonts w:hint="default" w:ascii="Times New Roman" w:hAnsi="Times New Roman" w:eastAsia="仿宋_GB2312" w:cs="Times New Roman"/>
          <w:color w:val="000000" w:themeColor="text1"/>
          <w:sz w:val="32"/>
          <w:szCs w:val="32"/>
          <w14:textFill>
            <w14:solidFill>
              <w14:schemeClr w14:val="tx1"/>
            </w14:solidFill>
          </w14:textFill>
        </w:rPr>
        <w:t>营业收入</w:t>
      </w:r>
      <w:r>
        <w:rPr>
          <w:rFonts w:hint="default" w:ascii="Times New Roman" w:hAnsi="Times New Roman" w:eastAsia="仿宋_GB2312" w:cs="Times New Roman"/>
          <w:color w:val="000000" w:themeColor="text1"/>
          <w:sz w:val="32"/>
          <w:szCs w:val="32"/>
          <w:lang w:val="zh-CN"/>
          <w14:textFill>
            <w14:solidFill>
              <w14:schemeClr w14:val="tx1"/>
            </w14:solidFill>
          </w14:textFill>
        </w:rPr>
        <w:t>年均增长</w:t>
      </w:r>
      <w:r>
        <w:rPr>
          <w:rFonts w:hint="default" w:ascii="Times New Roman" w:hAnsi="Times New Roman" w:eastAsia="仿宋_GB2312" w:cs="Times New Roman"/>
          <w:color w:val="000000" w:themeColor="text1"/>
          <w:sz w:val="32"/>
          <w:szCs w:val="32"/>
          <w14:textFill>
            <w14:solidFill>
              <w14:schemeClr w14:val="tx1"/>
            </w14:solidFill>
          </w14:textFill>
        </w:rPr>
        <w:t>超过</w:t>
      </w:r>
      <w:r>
        <w:rPr>
          <w:rFonts w:hint="default" w:ascii="Times New Roman" w:hAnsi="Times New Roman" w:eastAsia="仿宋_GB2312" w:cs="Times New Roman"/>
          <w:color w:val="000000" w:themeColor="text1"/>
          <w:sz w:val="32"/>
          <w:szCs w:val="32"/>
          <w:lang w:val="zh-CN"/>
          <w14:textFill>
            <w14:solidFill>
              <w14:schemeClr w14:val="tx1"/>
            </w14:solidFill>
          </w14:textFill>
        </w:rPr>
        <w:t>10%。</w:t>
      </w:r>
    </w:p>
    <w:tbl>
      <w:tblPr>
        <w:tblStyle w:val="23"/>
        <w:tblW w:w="876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760" w:type="dxa"/>
          </w:tcPr>
          <w:p>
            <w:pPr>
              <w:pStyle w:val="39"/>
              <w:keepNext w:val="0"/>
              <w:keepLines w:val="0"/>
              <w:pageBreakBefore w:val="0"/>
              <w:widowControl w:val="0"/>
              <w:numPr>
                <w:ilvl w:val="255"/>
                <w:numId w:val="0"/>
              </w:numPr>
              <w:kinsoku/>
              <w:wordWrap/>
              <w:overflowPunct/>
              <w:topLinePunct w:val="0"/>
              <w:autoSpaceDE/>
              <w:autoSpaceDN/>
              <w:bidi w:val="0"/>
              <w:adjustRightInd/>
              <w:snapToGrid/>
              <w:spacing w:line="460" w:lineRule="exact"/>
              <w:jc w:val="center"/>
              <w:textAlignment w:val="auto"/>
              <w:rPr>
                <w:rFonts w:hint="default" w:ascii="Times New Roman" w:hAnsi="Times New Roman" w:eastAsia="黑体" w:cs="Times New Roman"/>
                <w:b w:val="0"/>
                <w:bCs/>
                <w:color w:val="000000" w:themeColor="text1"/>
                <w:sz w:val="32"/>
                <w:szCs w:val="32"/>
                <w14:textFill>
                  <w14:solidFill>
                    <w14:schemeClr w14:val="tx1"/>
                  </w14:solidFill>
                </w14:textFill>
              </w:rPr>
            </w:pPr>
            <w:r>
              <w:rPr>
                <w:rFonts w:hint="default" w:ascii="Times New Roman" w:hAnsi="Times New Roman" w:eastAsia="黑体" w:cs="Times New Roman"/>
                <w:b w:val="0"/>
                <w:bCs/>
                <w:color w:val="000000" w:themeColor="text1"/>
                <w:sz w:val="32"/>
                <w:szCs w:val="32"/>
                <w14:textFill>
                  <w14:solidFill>
                    <w14:schemeClr w14:val="tx1"/>
                  </w14:solidFill>
                </w14:textFill>
              </w:rPr>
              <w:t>专栏4：重点方向或重点项目</w:t>
            </w:r>
          </w:p>
          <w:p>
            <w:pPr>
              <w:pStyle w:val="39"/>
              <w:keepNext w:val="0"/>
              <w:keepLines w:val="0"/>
              <w:pageBreakBefore w:val="0"/>
              <w:widowControl w:val="0"/>
              <w:numPr>
                <w:ilvl w:val="0"/>
                <w:numId w:val="2"/>
              </w:numPr>
              <w:kinsoku/>
              <w:wordWrap/>
              <w:overflowPunct/>
              <w:topLinePunct w:val="0"/>
              <w:autoSpaceDE/>
              <w:autoSpaceDN/>
              <w:bidi w:val="0"/>
              <w:adjustRightInd/>
              <w:snapToGrid/>
              <w:spacing w:line="460" w:lineRule="exact"/>
              <w:ind w:firstLineChars="0"/>
              <w:textAlignment w:val="auto"/>
              <w:rPr>
                <w:rFonts w:hint="default" w:ascii="Times New Roman" w:hAnsi="Times New Roman" w:eastAsia="仿宋_GB2312" w:cs="Times New Roman"/>
                <w:color w:val="000000" w:themeColor="text1"/>
                <w:kern w:val="0"/>
                <w:sz w:val="28"/>
                <w:szCs w:val="28"/>
                <w14:textFill>
                  <w14:solidFill>
                    <w14:schemeClr w14:val="tx1"/>
                  </w14:solidFill>
                </w14:textFill>
              </w:rPr>
            </w:pPr>
            <w:r>
              <w:rPr>
                <w:rFonts w:hint="default" w:ascii="Times New Roman" w:hAnsi="Times New Roman" w:eastAsia="仿宋_GB2312" w:cs="Times New Roman"/>
                <w:color w:val="000000" w:themeColor="text1"/>
                <w:kern w:val="0"/>
                <w:sz w:val="28"/>
                <w:szCs w:val="28"/>
                <w14:textFill>
                  <w14:solidFill>
                    <w14:schemeClr w14:val="tx1"/>
                  </w14:solidFill>
                </w14:textFill>
              </w:rPr>
              <w:t>濉溪县城市智慧超脑运营中心项目，总投资约6亿元，主要建设内容：（1）基础设施部分，建设濉溪县城市智慧超脑运营中心项目，场地使用土地面积约30亩，包括云数据中心，运营指挥中心、智慧政务服务中心，城市大脑展示中心。（2）城市大脑部分，濉溪县城市智慧超脑运营中心中城市大脑建设内容主要包括：数据中台、智慧中枢、业务中台、数字孪生城市，通过数据中台实现全县数据采集、治理、共享交换、可视化等；通过智慧中枢实现视频、图像、语音、NLP等能力的总集合，为智慧超脑提供能力服务；业务中台实现全县协同类场景事件协同处置能力；数字孪生城市实现濉溪县现实世界向虚拟事件精准映射的过程，同时依托数字孪生平台的建设，实现数字化操作界面，方便业务人员精准聚焦事件，领导决策方面更加精准。（3）场景应用部分，濉溪县城市智慧超脑运营中心N个场景应用主要包括：城市治理场景、社区治理场景、环境保护场景、民生服务场景、宏观决策场景等；通过城市大脑中数据能力、AI能力、数字孪生能力等实现城市运营过程中遇到的各类问题，总结成为具体的业务场景。（4）行业应用部分，濉溪县城市智慧超脑运营中心X个行业应用主要包括：智慧政务、智慧城管、智慧警务、智慧交通、智慧司法、智慧教育、智慧园区等。</w:t>
            </w:r>
          </w:p>
          <w:p>
            <w:pPr>
              <w:pStyle w:val="39"/>
              <w:keepNext w:val="0"/>
              <w:keepLines w:val="0"/>
              <w:pageBreakBefore w:val="0"/>
              <w:widowControl w:val="0"/>
              <w:numPr>
                <w:ilvl w:val="0"/>
                <w:numId w:val="2"/>
              </w:numPr>
              <w:kinsoku/>
              <w:wordWrap/>
              <w:overflowPunct/>
              <w:topLinePunct w:val="0"/>
              <w:autoSpaceDE/>
              <w:autoSpaceDN/>
              <w:bidi w:val="0"/>
              <w:adjustRightInd/>
              <w:snapToGrid/>
              <w:spacing w:line="460" w:lineRule="exact"/>
              <w:ind w:firstLineChars="0"/>
              <w:textAlignment w:val="auto"/>
              <w:rPr>
                <w:rFonts w:hint="default" w:ascii="Times New Roman" w:hAnsi="Times New Roman" w:eastAsia="仿宋_GB2312" w:cs="Times New Roman"/>
                <w:color w:val="000000" w:themeColor="text1"/>
                <w:kern w:val="0"/>
                <w:sz w:val="28"/>
                <w:szCs w:val="28"/>
                <w14:textFill>
                  <w14:solidFill>
                    <w14:schemeClr w14:val="tx1"/>
                  </w14:solidFill>
                </w14:textFill>
              </w:rPr>
            </w:pPr>
            <w:r>
              <w:rPr>
                <w:rFonts w:hint="default" w:ascii="Times New Roman" w:hAnsi="Times New Roman" w:eastAsia="仿宋_GB2312" w:cs="Times New Roman"/>
                <w:color w:val="000000" w:themeColor="text1"/>
                <w:kern w:val="0"/>
                <w:sz w:val="28"/>
                <w:szCs w:val="28"/>
                <w:lang w:bidi="ar"/>
                <w14:textFill>
                  <w14:solidFill>
                    <w14:schemeClr w14:val="tx1"/>
                  </w14:solidFill>
                </w14:textFill>
              </w:rPr>
              <w:t>濉溪县大数据产业投资有限责任公司项目</w:t>
            </w:r>
            <w:r>
              <w:rPr>
                <w:rFonts w:hint="default" w:ascii="Times New Roman" w:hAnsi="Times New Roman" w:eastAsia="仿宋_GB2312" w:cs="Times New Roman"/>
                <w:color w:val="000000" w:themeColor="text1"/>
                <w:kern w:val="0"/>
                <w:sz w:val="28"/>
                <w:szCs w:val="28"/>
                <w14:textFill>
                  <w14:solidFill>
                    <w14:schemeClr w14:val="tx1"/>
                  </w14:solidFill>
                </w14:textFill>
              </w:rPr>
              <w:t>，总投资约6亿元，主要建设内容：</w:t>
            </w:r>
            <w:r>
              <w:rPr>
                <w:rFonts w:hint="default" w:ascii="Times New Roman" w:hAnsi="Times New Roman" w:eastAsia="仿宋_GB2312" w:cs="Times New Roman"/>
                <w:color w:val="000000" w:themeColor="text1"/>
                <w:kern w:val="0"/>
                <w:sz w:val="28"/>
                <w:szCs w:val="28"/>
                <w:lang w:bidi="ar"/>
                <w14:textFill>
                  <w14:solidFill>
                    <w14:schemeClr w14:val="tx1"/>
                  </w14:solidFill>
                </w14:textFill>
              </w:rPr>
              <w:t>成立濉溪数投公司，构建以数据价值化为基础、数字产业化和产业数字化为核心、数字化治理为保障的协同发展生态，建设超大规模存储和超大规模计算的数字中心，重点围绕数字经济产业“建、投、扶”三个方面持续发力，完善数字经济产业链。</w:t>
            </w:r>
          </w:p>
          <w:p>
            <w:pPr>
              <w:pStyle w:val="39"/>
              <w:keepNext w:val="0"/>
              <w:keepLines w:val="0"/>
              <w:pageBreakBefore w:val="0"/>
              <w:widowControl w:val="0"/>
              <w:numPr>
                <w:ilvl w:val="0"/>
                <w:numId w:val="2"/>
              </w:numPr>
              <w:kinsoku/>
              <w:wordWrap/>
              <w:overflowPunct/>
              <w:topLinePunct w:val="0"/>
              <w:autoSpaceDE/>
              <w:autoSpaceDN/>
              <w:bidi w:val="0"/>
              <w:adjustRightInd/>
              <w:snapToGrid/>
              <w:spacing w:line="460" w:lineRule="exact"/>
              <w:ind w:firstLineChars="0"/>
              <w:textAlignment w:val="auto"/>
              <w:rPr>
                <w:rFonts w:hint="default" w:ascii="Times New Roman" w:hAnsi="Times New Roman" w:eastAsia="仿宋_GB2312" w:cs="Times New Roman"/>
                <w:color w:val="000000" w:themeColor="text1"/>
                <w:kern w:val="0"/>
                <w:sz w:val="28"/>
                <w:szCs w:val="28"/>
                <w14:textFill>
                  <w14:solidFill>
                    <w14:schemeClr w14:val="tx1"/>
                  </w14:solidFill>
                </w14:textFill>
              </w:rPr>
            </w:pPr>
            <w:r>
              <w:rPr>
                <w:rFonts w:hint="default" w:ascii="Times New Roman" w:hAnsi="Times New Roman" w:eastAsia="仿宋_GB2312" w:cs="Times New Roman"/>
                <w:color w:val="000000" w:themeColor="text1"/>
                <w:kern w:val="0"/>
                <w:sz w:val="28"/>
                <w:szCs w:val="28"/>
                <w14:textFill>
                  <w14:solidFill>
                    <w14:schemeClr w14:val="tx1"/>
                  </w14:solidFill>
                </w14:textFill>
              </w:rPr>
              <w:t>猎鹰人力资源产业园项目，总投资0.2亿元，主要建设内容：年营业收入不低于42亿元企业管理顾问服务</w:t>
            </w:r>
            <w:r>
              <w:rPr>
                <w:rFonts w:hint="default" w:ascii="Times New Roman" w:hAnsi="Times New Roman" w:eastAsia="仿宋_GB2312" w:cs="Times New Roman"/>
                <w:color w:val="000000" w:themeColor="text1"/>
                <w:kern w:val="0"/>
                <w:sz w:val="28"/>
                <w:szCs w:val="28"/>
                <w:lang w:bidi="ar"/>
                <w14:textFill>
                  <w14:solidFill>
                    <w14:schemeClr w14:val="tx1"/>
                  </w14:solidFill>
                </w14:textFill>
              </w:rPr>
              <w:t>。</w:t>
            </w:r>
          </w:p>
          <w:p>
            <w:pPr>
              <w:pStyle w:val="39"/>
              <w:keepNext w:val="0"/>
              <w:keepLines w:val="0"/>
              <w:pageBreakBefore w:val="0"/>
              <w:widowControl w:val="0"/>
              <w:numPr>
                <w:ilvl w:val="0"/>
                <w:numId w:val="2"/>
              </w:numPr>
              <w:kinsoku/>
              <w:wordWrap/>
              <w:overflowPunct/>
              <w:topLinePunct w:val="0"/>
              <w:autoSpaceDE/>
              <w:autoSpaceDN/>
              <w:bidi w:val="0"/>
              <w:adjustRightInd/>
              <w:snapToGrid/>
              <w:spacing w:line="460" w:lineRule="exact"/>
              <w:ind w:firstLineChars="0"/>
              <w:textAlignment w:val="auto"/>
              <w:rPr>
                <w:rFonts w:hint="default" w:ascii="Times New Roman" w:hAnsi="Times New Roman" w:eastAsia="仿宋_GB2312" w:cs="Times New Roman"/>
                <w:color w:val="000000" w:themeColor="text1"/>
                <w:kern w:val="0"/>
                <w:sz w:val="28"/>
                <w:szCs w:val="28"/>
                <w14:textFill>
                  <w14:solidFill>
                    <w14:schemeClr w14:val="tx1"/>
                  </w14:solidFill>
                </w14:textFill>
              </w:rPr>
            </w:pPr>
            <w:r>
              <w:rPr>
                <w:rFonts w:hint="default" w:ascii="Times New Roman" w:hAnsi="Times New Roman" w:eastAsia="仿宋_GB2312" w:cs="Times New Roman"/>
                <w:color w:val="000000" w:themeColor="text1"/>
                <w:kern w:val="0"/>
                <w:sz w:val="28"/>
                <w:szCs w:val="28"/>
                <w14:textFill>
                  <w14:solidFill>
                    <w14:schemeClr w14:val="tx1"/>
                  </w14:solidFill>
                </w14:textFill>
              </w:rPr>
              <w:t>国才人力资源服务项目，总投资0.5亿元，主要建设内容：占地10亩，投资2000万元，建设人力资源服务项目。</w:t>
            </w:r>
          </w:p>
          <w:p>
            <w:pPr>
              <w:pStyle w:val="39"/>
              <w:keepNext w:val="0"/>
              <w:keepLines w:val="0"/>
              <w:pageBreakBefore w:val="0"/>
              <w:widowControl w:val="0"/>
              <w:numPr>
                <w:ilvl w:val="0"/>
                <w:numId w:val="2"/>
              </w:numPr>
              <w:kinsoku/>
              <w:wordWrap/>
              <w:overflowPunct/>
              <w:topLinePunct w:val="0"/>
              <w:autoSpaceDE/>
              <w:autoSpaceDN/>
              <w:bidi w:val="0"/>
              <w:adjustRightInd/>
              <w:snapToGrid/>
              <w:spacing w:line="460" w:lineRule="exact"/>
              <w:ind w:firstLineChars="0"/>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kern w:val="0"/>
                <w:sz w:val="28"/>
                <w:szCs w:val="28"/>
                <w14:textFill>
                  <w14:solidFill>
                    <w14:schemeClr w14:val="tx1"/>
                  </w14:solidFill>
                </w14:textFill>
              </w:rPr>
              <w:t>濉溪县口子中等专业学校，总投资约1.</w:t>
            </w:r>
            <w:r>
              <w:rPr>
                <w:rFonts w:hint="default" w:ascii="Times New Roman" w:hAnsi="Times New Roman" w:eastAsia="仿宋_GB2312" w:cs="Times New Roman"/>
                <w:color w:val="000000" w:themeColor="text1"/>
                <w:kern w:val="0"/>
                <w:sz w:val="28"/>
                <w:szCs w:val="28"/>
                <w:lang w:val="en-US" w:eastAsia="zh-CN"/>
                <w14:textFill>
                  <w14:solidFill>
                    <w14:schemeClr w14:val="tx1"/>
                  </w14:solidFill>
                </w14:textFill>
              </w:rPr>
              <w:t>5</w:t>
            </w:r>
            <w:r>
              <w:rPr>
                <w:rFonts w:hint="default" w:ascii="Times New Roman" w:hAnsi="Times New Roman" w:eastAsia="仿宋_GB2312" w:cs="Times New Roman"/>
                <w:color w:val="000000" w:themeColor="text1"/>
                <w:kern w:val="0"/>
                <w:sz w:val="28"/>
                <w:szCs w:val="28"/>
                <w14:textFill>
                  <w14:solidFill>
                    <w14:schemeClr w14:val="tx1"/>
                  </w14:solidFill>
                </w14:textFill>
              </w:rPr>
              <w:t>亿元，主要建设内容：</w:t>
            </w:r>
            <w:r>
              <w:rPr>
                <w:rFonts w:hint="default" w:ascii="Times New Roman" w:hAnsi="Times New Roman" w:eastAsia="仿宋_GB2312" w:cs="Times New Roman"/>
                <w:color w:val="000000" w:themeColor="text1"/>
                <w:kern w:val="0"/>
                <w:sz w:val="28"/>
                <w:szCs w:val="28"/>
                <w:lang w:eastAsia="zh-CN"/>
                <w14:textFill>
                  <w14:solidFill>
                    <w14:schemeClr w14:val="tx1"/>
                  </w14:solidFill>
                </w14:textFill>
              </w:rPr>
              <w:t>占地共计</w:t>
            </w:r>
            <w:r>
              <w:rPr>
                <w:rFonts w:hint="default" w:ascii="Times New Roman" w:hAnsi="Times New Roman" w:eastAsia="仿宋_GB2312" w:cs="Times New Roman"/>
                <w:color w:val="000000" w:themeColor="text1"/>
                <w:kern w:val="0"/>
                <w:sz w:val="28"/>
                <w:szCs w:val="28"/>
                <w:lang w:val="en-US" w:eastAsia="zh-CN"/>
                <w14:textFill>
                  <w14:solidFill>
                    <w14:schemeClr w14:val="tx1"/>
                  </w14:solidFill>
                </w14:textFill>
              </w:rPr>
              <w:t>308.71亩，建筑面积9.9万平方米，建设项目包括</w:t>
            </w:r>
            <w:r>
              <w:rPr>
                <w:rFonts w:hint="default" w:ascii="Times New Roman" w:hAnsi="Times New Roman" w:eastAsia="仿宋_GB2312" w:cs="Times New Roman"/>
                <w:color w:val="000000" w:themeColor="text1"/>
                <w:kern w:val="0"/>
                <w:sz w:val="28"/>
                <w:szCs w:val="28"/>
                <w:lang w:eastAsia="zh-CN"/>
                <w14:textFill>
                  <w14:solidFill>
                    <w14:schemeClr w14:val="tx1"/>
                  </w14:solidFill>
                </w14:textFill>
              </w:rPr>
              <w:t>装修老校区、建设食堂、宿舍、装修教学楼、实验办公楼、实训大楼等。</w:t>
            </w:r>
          </w:p>
        </w:tc>
      </w:tr>
    </w:tbl>
    <w:p>
      <w:pPr>
        <w:widowControl/>
        <w:numPr>
          <w:ilvl w:val="0"/>
          <w:numId w:val="0"/>
        </w:numPr>
        <w:shd w:val="clear" w:color="auto" w:fill="auto"/>
        <w:spacing w:line="560" w:lineRule="exact"/>
        <w:ind w:firstLine="643" w:firstLineChars="200"/>
        <w:rPr>
          <w:rFonts w:hint="default" w:ascii="Times New Roman" w:hAnsi="Times New Roman" w:eastAsia="楷体_GB2312" w:cs="Times New Roman"/>
          <w:b/>
          <w:bCs/>
          <w:color w:val="000000" w:themeColor="text1"/>
          <w:sz w:val="32"/>
          <w:szCs w:val="32"/>
          <w14:textFill>
            <w14:solidFill>
              <w14:schemeClr w14:val="tx1"/>
            </w14:solidFill>
          </w14:textFill>
        </w:rPr>
      </w:pPr>
      <w:bookmarkStart w:id="98" w:name="_Toc6262"/>
      <w:bookmarkStart w:id="99" w:name="_Toc83296398"/>
      <w:r>
        <w:rPr>
          <w:rFonts w:hint="default" w:ascii="Times New Roman" w:hAnsi="Times New Roman" w:eastAsia="楷体_GB2312" w:cs="Times New Roman"/>
          <w:b/>
          <w:bCs/>
          <w:color w:val="000000" w:themeColor="text1"/>
          <w:sz w:val="32"/>
          <w:szCs w:val="32"/>
          <w:lang w:eastAsia="zh-CN"/>
          <w14:textFill>
            <w14:solidFill>
              <w14:schemeClr w14:val="tx1"/>
            </w14:solidFill>
          </w14:textFill>
        </w:rPr>
        <w:t>（</w:t>
      </w:r>
      <w:r>
        <w:rPr>
          <w:rFonts w:hint="default" w:ascii="Times New Roman" w:hAnsi="Times New Roman" w:eastAsia="楷体_GB2312" w:cs="Times New Roman"/>
          <w:b/>
          <w:bCs/>
          <w:color w:val="000000" w:themeColor="text1"/>
          <w:sz w:val="32"/>
          <w:szCs w:val="32"/>
          <w:lang w:val="en-US" w:eastAsia="zh-CN"/>
          <w14:textFill>
            <w14:solidFill>
              <w14:schemeClr w14:val="tx1"/>
            </w14:solidFill>
          </w14:textFill>
        </w:rPr>
        <w:t>八）</w:t>
      </w:r>
      <w:r>
        <w:rPr>
          <w:rFonts w:hint="default" w:ascii="Times New Roman" w:hAnsi="Times New Roman" w:eastAsia="楷体_GB2312" w:cs="Times New Roman"/>
          <w:b/>
          <w:bCs/>
          <w:color w:val="000000" w:themeColor="text1"/>
          <w:sz w:val="32"/>
          <w:szCs w:val="32"/>
          <w14:textFill>
            <w14:solidFill>
              <w14:schemeClr w14:val="tx1"/>
            </w14:solidFill>
          </w14:textFill>
        </w:rPr>
        <w:t>平稳发展房地产业</w:t>
      </w:r>
      <w:bookmarkEnd w:id="98"/>
      <w:bookmarkEnd w:id="99"/>
    </w:p>
    <w:p>
      <w:pPr>
        <w:widowControl/>
        <w:numPr>
          <w:ilvl w:val="0"/>
          <w:numId w:val="0"/>
        </w:numPr>
        <w:shd w:val="clear" w:color="auto" w:fill="auto"/>
        <w:spacing w:line="56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加强和改善房地产业的宏观调控，强化政府对房地产市场尤其是商品住宅市场的宏观调控力度，充分发挥市场调节作用，实现房地产市场总供给与总需求的平衡。完善住房保障政策体系，优化房地产供给结构，建立以政府为主体的基本保障制度，以市场为主体的满足多层次需求的住房供应体系。完善房改政策，建立和完善城镇住房新体制，完善实物保障与货币补贴并举模式。加大保障性（政策性）住房建设，逐步建立包含公共租赁住房、限价商品房、棚户区改造用房等住房的多层次住房保障体系，健全安置房源动态信息数据库，建立和完善公共租赁住房运营管理制度，积极推进城中村和棚户区（旧城）改造工作，改造完善小区配套和市政基础设施。推进老旧小区有机更新，有序推进老旧小区综合整治，加强城市道路和市政基础设施建设，“十四五”末基本完成现有城镇棚户区和城中村改造。发展住房租赁企业，提高住房租赁企业规模化、集约化、专业化水平。引进优质房地产企业，促进房地产开发规模化、品牌化发展，建设一批居住区、商业区、休闲区精品工程，推进濉溪东方时代广场、宏宇之心城等项目续建，加快河西区房地产项目建设，引进开发商投资建设老城改造等项目，持续推进园林绿化和配套设施建设。建立既有居住小区有机更新建管交接制度，建设智慧社区。加快建筑装修、家装设计、家居规划、房地产评估、经纪等房地产业关联服务业的发展，规范中介服务企业行为，提高中介服务质量。营造公平竞争的市场环境，落实企业责任主体，建立房地产业和建筑业守信联合激励和失信联合惩戒制度，健全住宅商品投诉渠道，进一步完善房地产交易、服务、物业管理功能，完善房地产金融信贷制度，完善放贷风险预警机制，进一步</w:t>
      </w:r>
      <w:bookmarkStart w:id="100" w:name="_Hlk47111084"/>
      <w:r>
        <w:rPr>
          <w:rFonts w:hint="default" w:ascii="Times New Roman" w:hAnsi="Times New Roman" w:eastAsia="仿宋_GB2312" w:cs="Times New Roman"/>
          <w:color w:val="000000" w:themeColor="text1"/>
          <w:sz w:val="32"/>
          <w:szCs w:val="32"/>
          <w14:textFill>
            <w14:solidFill>
              <w14:schemeClr w14:val="tx1"/>
            </w14:solidFill>
          </w14:textFill>
        </w:rPr>
        <w:t>加快房地产业信息化建设</w:t>
      </w:r>
      <w:bookmarkEnd w:id="100"/>
      <w:r>
        <w:rPr>
          <w:rFonts w:hint="default" w:ascii="Times New Roman" w:hAnsi="Times New Roman" w:eastAsia="仿宋_GB2312" w:cs="Times New Roman"/>
          <w:color w:val="000000" w:themeColor="text1"/>
          <w:sz w:val="32"/>
          <w:szCs w:val="32"/>
          <w14:textFill>
            <w14:solidFill>
              <w14:schemeClr w14:val="tx1"/>
            </w14:solidFill>
          </w14:textFill>
        </w:rPr>
        <w:t>，实现全县房管系统信息化建设与管理一体化，加快实行房管系统办公自动化，规范房地产市场秩序，保持房价稳定。推广绿色建筑和节能节水节材技术，大力发展新型建造方式，形成一批研发生产基地和示范建设项目，促进房地产业持续健康发展。</w:t>
      </w:r>
    </w:p>
    <w:p>
      <w:pPr>
        <w:pStyle w:val="4"/>
        <w:spacing w:before="0" w:after="0" w:line="560" w:lineRule="exact"/>
        <w:ind w:firstLine="640" w:firstLineChars="200"/>
        <w:rPr>
          <w:rFonts w:hint="default" w:ascii="Times New Roman" w:hAnsi="Times New Roman" w:eastAsia="黑体" w:cs="Times New Roman"/>
          <w:b w:val="0"/>
          <w:bCs w:val="0"/>
          <w:color w:val="000000" w:themeColor="text1"/>
          <w14:textFill>
            <w14:solidFill>
              <w14:schemeClr w14:val="tx1"/>
            </w14:solidFill>
          </w14:textFill>
        </w:rPr>
      </w:pPr>
      <w:bookmarkStart w:id="101" w:name="_Toc83296399"/>
      <w:bookmarkStart w:id="102" w:name="_Toc12450"/>
      <w:bookmarkStart w:id="103" w:name="_Toc20680"/>
      <w:r>
        <w:rPr>
          <w:rFonts w:hint="default" w:ascii="Times New Roman" w:hAnsi="Times New Roman" w:eastAsia="黑体" w:cs="Times New Roman"/>
          <w:b w:val="0"/>
          <w:bCs w:val="0"/>
          <w:color w:val="000000" w:themeColor="text1"/>
          <w14:textFill>
            <w14:solidFill>
              <w14:schemeClr w14:val="tx1"/>
            </w14:solidFill>
          </w14:textFill>
        </w:rPr>
        <w:t>二、推动生活性服务业向高品质升级和多样化发展</w:t>
      </w:r>
      <w:bookmarkEnd w:id="101"/>
      <w:bookmarkEnd w:id="102"/>
      <w:bookmarkEnd w:id="103"/>
    </w:p>
    <w:p>
      <w:pPr>
        <w:pStyle w:val="5"/>
        <w:spacing w:before="0" w:after="0" w:line="560" w:lineRule="exact"/>
        <w:ind w:firstLine="643" w:firstLineChars="200"/>
        <w:rPr>
          <w:rFonts w:hint="default" w:ascii="Times New Roman" w:hAnsi="Times New Roman" w:eastAsia="楷体_GB2312" w:cs="Times New Roman"/>
          <w:color w:val="000000" w:themeColor="text1"/>
          <w14:textFill>
            <w14:solidFill>
              <w14:schemeClr w14:val="tx1"/>
            </w14:solidFill>
          </w14:textFill>
        </w:rPr>
      </w:pPr>
      <w:bookmarkStart w:id="104" w:name="_Toc23797"/>
      <w:bookmarkStart w:id="105" w:name="_Toc23864"/>
      <w:bookmarkStart w:id="106" w:name="_Toc83296400"/>
      <w:r>
        <w:rPr>
          <w:rFonts w:hint="default" w:ascii="Times New Roman" w:hAnsi="Times New Roman" w:eastAsia="楷体_GB2312" w:cs="Times New Roman"/>
          <w:color w:val="000000" w:themeColor="text1"/>
          <w14:textFill>
            <w14:solidFill>
              <w14:schemeClr w14:val="tx1"/>
            </w14:solidFill>
          </w14:textFill>
        </w:rPr>
        <w:t>（一）提档升级文化旅游业</w:t>
      </w:r>
      <w:bookmarkEnd w:id="104"/>
      <w:bookmarkEnd w:id="105"/>
      <w:bookmarkEnd w:id="106"/>
    </w:p>
    <w:p>
      <w:pPr>
        <w:spacing w:line="560" w:lineRule="exact"/>
        <w:ind w:firstLine="616" w:firstLineChars="200"/>
        <w:rPr>
          <w:rFonts w:ascii="Times New Roman" w:hAnsi="Times New Roman" w:eastAsia="仿宋_GB2312" w:cs="Times New Roman"/>
          <w:color w:val="0000FF"/>
          <w:spacing w:val="-6"/>
          <w:sz w:val="32"/>
          <w:szCs w:val="32"/>
        </w:rPr>
      </w:pPr>
      <w:r>
        <w:rPr>
          <w:rFonts w:hint="default" w:ascii="Times New Roman" w:hAnsi="Times New Roman" w:eastAsia="仿宋_GB2312" w:cs="Times New Roman"/>
          <w:color w:val="000000" w:themeColor="text1"/>
          <w:spacing w:val="-6"/>
          <w:sz w:val="32"/>
          <w:szCs w:val="32"/>
          <w14:textFill>
            <w14:solidFill>
              <w14:schemeClr w14:val="tx1"/>
            </w14:solidFill>
          </w14:textFill>
        </w:rPr>
        <w:t>围绕“运河文化、红色文化、古镇文化、酒文化”特色文化品牌，把文物保护与旅游开发有机结合，积极发展文化旅游产业，</w:t>
      </w:r>
      <w:r>
        <w:rPr>
          <w:rFonts w:ascii="Times New Roman" w:hAnsi="Times New Roman" w:eastAsia="仿宋_GB2312" w:cs="Times New Roman"/>
          <w:color w:val="000000" w:themeColor="text1"/>
          <w:spacing w:val="-6"/>
          <w:sz w:val="32"/>
          <w:szCs w:val="32"/>
          <w14:textFill>
            <w14:solidFill>
              <w14:schemeClr w14:val="tx1"/>
            </w14:solidFill>
          </w14:textFill>
        </w:rPr>
        <w:t>提升濉溪文化旅游知名度和影响力。</w:t>
      </w:r>
      <w:r>
        <w:rPr>
          <w:rFonts w:hint="default" w:ascii="Times New Roman" w:hAnsi="Times New Roman" w:eastAsia="仿宋_GB2312" w:cs="Times New Roman"/>
          <w:color w:val="000000" w:themeColor="text1"/>
          <w:spacing w:val="-6"/>
          <w:sz w:val="32"/>
          <w:szCs w:val="32"/>
          <w14:textFill>
            <w14:solidFill>
              <w14:schemeClr w14:val="tx1"/>
            </w14:solidFill>
          </w14:textFill>
        </w:rPr>
        <w:t>充分挖掘特色文化内涵，优化旅游业布局，加强旅游基础设施建设，统筹推进核心景区建设，推进景区景点环境整治，</w:t>
      </w:r>
      <w:r>
        <w:rPr>
          <w:rFonts w:ascii="Times New Roman" w:hAnsi="Times New Roman" w:eastAsia="仿宋_GB2312" w:cs="Times New Roman"/>
          <w:color w:val="000000" w:themeColor="text1"/>
          <w:spacing w:val="-6"/>
          <w:sz w:val="32"/>
          <w:szCs w:val="32"/>
          <w14:textFill>
            <w14:solidFill>
              <w14:schemeClr w14:val="tx1"/>
            </w14:solidFill>
          </w14:textFill>
        </w:rPr>
        <w:t>支持</w:t>
      </w:r>
      <w:r>
        <w:rPr>
          <w:rFonts w:hint="default" w:ascii="Times New Roman" w:hAnsi="Times New Roman" w:eastAsia="仿宋_GB2312" w:cs="Times New Roman"/>
          <w:color w:val="000000" w:themeColor="text1"/>
          <w:spacing w:val="-6"/>
          <w:sz w:val="32"/>
          <w:szCs w:val="32"/>
          <w14:textFill>
            <w14:solidFill>
              <w14:schemeClr w14:val="tx1"/>
            </w14:solidFill>
          </w14:textFill>
        </w:rPr>
        <w:t>濉溪古城</w:t>
      </w:r>
      <w:r>
        <w:rPr>
          <w:rFonts w:ascii="Times New Roman" w:hAnsi="Times New Roman" w:eastAsia="仿宋_GB2312" w:cs="Times New Roman"/>
          <w:color w:val="000000" w:themeColor="text1"/>
          <w:spacing w:val="-6"/>
          <w:sz w:val="32"/>
          <w:szCs w:val="32"/>
          <w14:textFill>
            <w14:solidFill>
              <w14:schemeClr w14:val="tx1"/>
            </w14:solidFill>
          </w14:textFill>
        </w:rPr>
        <w:t>柳孜文化园申报国家4A级景区，</w:t>
      </w:r>
      <w:r>
        <w:rPr>
          <w:rFonts w:hint="default" w:ascii="Times New Roman" w:hAnsi="Times New Roman" w:eastAsia="仿宋_GB2312" w:cs="Times New Roman"/>
          <w:color w:val="000000" w:themeColor="text1"/>
          <w:spacing w:val="-6"/>
          <w:sz w:val="32"/>
          <w:szCs w:val="32"/>
          <w14:textFill>
            <w14:solidFill>
              <w14:schemeClr w14:val="tx1"/>
            </w14:solidFill>
          </w14:textFill>
        </w:rPr>
        <w:t>支持</w:t>
      </w:r>
      <w:r>
        <w:rPr>
          <w:rFonts w:ascii="Times New Roman" w:hAnsi="Times New Roman" w:eastAsia="仿宋_GB2312" w:cs="Times New Roman"/>
          <w:color w:val="000000" w:themeColor="text1"/>
          <w:spacing w:val="-6"/>
          <w:sz w:val="32"/>
          <w:szCs w:val="32"/>
          <w14:textFill>
            <w14:solidFill>
              <w14:schemeClr w14:val="tx1"/>
            </w14:solidFill>
          </w14:textFill>
        </w:rPr>
        <w:t>临涣古城保护开发及基础设施提升</w:t>
      </w:r>
      <w:r>
        <w:rPr>
          <w:rFonts w:hint="default" w:ascii="Times New Roman" w:hAnsi="Times New Roman" w:eastAsia="仿宋_GB2312" w:cs="Times New Roman"/>
          <w:color w:val="000000" w:themeColor="text1"/>
          <w:spacing w:val="-6"/>
          <w:sz w:val="32"/>
          <w:szCs w:val="32"/>
          <w14:textFill>
            <w14:solidFill>
              <w14:schemeClr w14:val="tx1"/>
            </w14:solidFill>
          </w14:textFill>
        </w:rPr>
        <w:t>，推动</w:t>
      </w:r>
      <w:r>
        <w:rPr>
          <w:rFonts w:ascii="Times New Roman" w:hAnsi="Times New Roman" w:eastAsia="仿宋_GB2312" w:cs="Times New Roman"/>
          <w:color w:val="000000" w:themeColor="text1"/>
          <w:spacing w:val="-6"/>
          <w:sz w:val="32"/>
          <w:szCs w:val="32"/>
          <w14:textFill>
            <w14:solidFill>
              <w14:schemeClr w14:val="tx1"/>
            </w14:solidFill>
          </w14:textFill>
        </w:rPr>
        <w:t>老城石板街改造修复</w:t>
      </w:r>
      <w:r>
        <w:rPr>
          <w:rFonts w:hint="default" w:ascii="Times New Roman" w:hAnsi="Times New Roman" w:eastAsia="仿宋_GB2312" w:cs="Times New Roman"/>
          <w:color w:val="000000" w:themeColor="text1"/>
          <w:spacing w:val="-6"/>
          <w:sz w:val="32"/>
          <w:szCs w:val="32"/>
          <w14:textFill>
            <w14:solidFill>
              <w14:schemeClr w14:val="tx1"/>
            </w14:solidFill>
          </w14:textFill>
        </w:rPr>
        <w:t>并早日对外开放，推动</w:t>
      </w:r>
      <w:r>
        <w:rPr>
          <w:rFonts w:ascii="Times New Roman" w:hAnsi="Times New Roman" w:eastAsia="仿宋_GB2312" w:cs="Times New Roman"/>
          <w:color w:val="000000" w:themeColor="text1"/>
          <w:spacing w:val="-6"/>
          <w:sz w:val="32"/>
          <w:szCs w:val="32"/>
          <w14:textFill>
            <w14:solidFill>
              <w14:schemeClr w14:val="tx1"/>
            </w14:solidFill>
          </w14:textFill>
        </w:rPr>
        <w:t>凤栖湖湿地生态保护项目</w:t>
      </w:r>
      <w:r>
        <w:rPr>
          <w:rFonts w:hint="default" w:ascii="Times New Roman" w:hAnsi="Times New Roman" w:eastAsia="仿宋_GB2312" w:cs="Times New Roman"/>
          <w:color w:val="000000" w:themeColor="text1"/>
          <w:spacing w:val="-6"/>
          <w:sz w:val="32"/>
          <w:szCs w:val="32"/>
          <w14:textFill>
            <w14:solidFill>
              <w14:schemeClr w14:val="tx1"/>
            </w14:solidFill>
          </w14:textFill>
        </w:rPr>
        <w:t>，升级县域范围、旅游公路沿线以及高速路口等重要节点的旅游标识系统，发展文化体验、红色朝圣、休闲度假、生态观光、农业体验等旅游业态。</w:t>
      </w:r>
      <w:r>
        <w:rPr>
          <w:rFonts w:ascii="Times New Roman" w:hAnsi="Times New Roman" w:eastAsia="仿宋_GB2312" w:cs="Times New Roman"/>
          <w:color w:val="000000" w:themeColor="text1"/>
          <w:spacing w:val="-6"/>
          <w:sz w:val="32"/>
          <w:szCs w:val="32"/>
          <w14:textFill>
            <w14:solidFill>
              <w14:schemeClr w14:val="tx1"/>
            </w14:solidFill>
          </w14:textFill>
        </w:rPr>
        <w:t>持续做强淮海战役红色文化品牌，把文昌宫、小李家、双堆集烈士陵园等红色革命文化资源串珠成链，打造长三角</w:t>
      </w:r>
      <w:r>
        <w:rPr>
          <w:rFonts w:hint="default" w:ascii="Times New Roman" w:hAnsi="Times New Roman" w:eastAsia="仿宋_GB2312" w:cs="Times New Roman"/>
          <w:color w:val="000000" w:themeColor="text1"/>
          <w:spacing w:val="-6"/>
          <w:sz w:val="32"/>
          <w:szCs w:val="32"/>
          <w14:textFill>
            <w14:solidFill>
              <w14:schemeClr w14:val="tx1"/>
            </w14:solidFill>
          </w14:textFill>
        </w:rPr>
        <w:t>有影响力的</w:t>
      </w:r>
      <w:r>
        <w:rPr>
          <w:rFonts w:ascii="Times New Roman" w:hAnsi="Times New Roman" w:eastAsia="仿宋_GB2312" w:cs="Times New Roman"/>
          <w:color w:val="000000" w:themeColor="text1"/>
          <w:spacing w:val="-6"/>
          <w:sz w:val="32"/>
          <w:szCs w:val="32"/>
          <w14:textFill>
            <w14:solidFill>
              <w14:schemeClr w14:val="tx1"/>
            </w14:solidFill>
          </w14:textFill>
        </w:rPr>
        <w:t>红色文化精品线路。依托沿沱河乡村振兴示范带，加快推动特色镇村建设，大力发展民俗风情、休闲度假、绿色生态等为主题的特色旅游，</w:t>
      </w:r>
      <w:r>
        <w:rPr>
          <w:rFonts w:hint="default" w:ascii="Times New Roman" w:hAnsi="Times New Roman" w:eastAsia="仿宋_GB2312" w:cs="Times New Roman"/>
          <w:color w:val="000000" w:themeColor="text1"/>
          <w:spacing w:val="-6"/>
          <w:sz w:val="32"/>
          <w:szCs w:val="32"/>
          <w14:textFill>
            <w14:solidFill>
              <w14:schemeClr w14:val="tx1"/>
            </w14:solidFill>
          </w14:textFill>
        </w:rPr>
        <w:t>积极开发农家乐、采摘篱园等乡村旅游产品</w:t>
      </w:r>
      <w:r>
        <w:rPr>
          <w:rFonts w:ascii="Times New Roman" w:hAnsi="Times New Roman" w:eastAsia="仿宋_GB2312" w:cs="Times New Roman"/>
          <w:color w:val="000000" w:themeColor="text1"/>
          <w:spacing w:val="-6"/>
          <w:sz w:val="32"/>
          <w:szCs w:val="32"/>
          <w14:textFill>
            <w14:solidFill>
              <w14:schemeClr w14:val="tx1"/>
            </w14:solidFill>
          </w14:textFill>
        </w:rPr>
        <w:t>。</w:t>
      </w:r>
      <w:r>
        <w:rPr>
          <w:rFonts w:hint="default" w:ascii="Times New Roman" w:hAnsi="Times New Roman" w:eastAsia="仿宋_GB2312" w:cs="Times New Roman"/>
          <w:color w:val="000000" w:themeColor="text1"/>
          <w:spacing w:val="-6"/>
          <w:sz w:val="32"/>
          <w:szCs w:val="32"/>
          <w14:textFill>
            <w14:solidFill>
              <w14:schemeClr w14:val="tx1"/>
            </w14:solidFill>
          </w14:textFill>
        </w:rPr>
        <w:t>开展旅游服务质量提升行动，实施旅游标准化建设，提升旅游服务质量和水平。适时开展全域旅游示范区创建，推动旅游产业与相关产业的融合发展，促进县域旅游整体发展，</w:t>
      </w:r>
      <w:r>
        <w:rPr>
          <w:rFonts w:ascii="Times New Roman" w:hAnsi="Times New Roman" w:eastAsia="仿宋_GB2312" w:cs="Times New Roman"/>
          <w:color w:val="000000" w:themeColor="text1"/>
          <w:spacing w:val="-6"/>
          <w:sz w:val="32"/>
          <w:szCs w:val="32"/>
          <w14:textFill>
            <w14:solidFill>
              <w14:schemeClr w14:val="tx1"/>
            </w14:solidFill>
          </w14:textFill>
        </w:rPr>
        <w:t>绘就全域旅游发展的美丽新画卷</w:t>
      </w:r>
      <w:r>
        <w:rPr>
          <w:rFonts w:hint="default" w:ascii="Times New Roman" w:hAnsi="Times New Roman" w:eastAsia="仿宋_GB2312" w:cs="Times New Roman"/>
          <w:color w:val="000000" w:themeColor="text1"/>
          <w:spacing w:val="-6"/>
          <w:sz w:val="32"/>
          <w:szCs w:val="32"/>
          <w14:textFill>
            <w14:solidFill>
              <w14:schemeClr w14:val="tx1"/>
            </w14:solidFill>
          </w14:textFill>
        </w:rPr>
        <w:t>，以旅游产业为抓手推动县域经济发展。“十四五</w:t>
      </w:r>
      <w:r>
        <w:rPr>
          <w:rFonts w:ascii="Times New Roman" w:hAnsi="Times New Roman" w:eastAsia="仿宋_GB2312" w:cs="Times New Roman"/>
          <w:color w:val="000000" w:themeColor="text1"/>
          <w:spacing w:val="-6"/>
          <w:sz w:val="32"/>
          <w:szCs w:val="32"/>
          <w14:textFill>
            <w14:solidFill>
              <w14:schemeClr w14:val="tx1"/>
            </w14:solidFill>
          </w14:textFill>
        </w:rPr>
        <w:t>”末，</w:t>
      </w:r>
      <w:r>
        <w:rPr>
          <w:rFonts w:hint="default" w:ascii="Times New Roman" w:hAnsi="Times New Roman" w:eastAsia="仿宋_GB2312" w:cs="Times New Roman"/>
          <w:color w:val="000000" w:themeColor="text1"/>
          <w:spacing w:val="-6"/>
          <w:sz w:val="32"/>
          <w:szCs w:val="32"/>
          <w14:textFill>
            <w14:solidFill>
              <w14:schemeClr w14:val="tx1"/>
            </w14:solidFill>
          </w14:textFill>
        </w:rPr>
        <w:t>全县力争建成4A级景区2个、3A级景区6个，打造3个特色旅游名镇、5个特色旅游名村、3个休闲旅游示范点，</w:t>
      </w:r>
      <w:r>
        <w:rPr>
          <w:rFonts w:hint="default" w:ascii="Times New Roman" w:hAnsi="Times New Roman" w:eastAsia="仿宋_GB2312" w:cs="Times New Roman"/>
          <w:color w:val="000000" w:themeColor="text1"/>
          <w:spacing w:val="-6"/>
          <w:sz w:val="32"/>
          <w14:textFill>
            <w14:solidFill>
              <w14:schemeClr w14:val="tx1"/>
            </w14:solidFill>
          </w14:textFill>
        </w:rPr>
        <w:t>若干条淮海战役红色旅游线路，年游客量超过300万人次，旅游收入力争超过100亿元，</w:t>
      </w:r>
      <w:r>
        <w:rPr>
          <w:rFonts w:hint="default" w:ascii="Times New Roman" w:hAnsi="Times New Roman" w:eastAsia="仿宋_GB2312" w:cs="Times New Roman"/>
          <w:color w:val="000000" w:themeColor="text1"/>
          <w:spacing w:val="-6"/>
          <w:sz w:val="32"/>
          <w:szCs w:val="32"/>
          <w14:textFill>
            <w14:solidFill>
              <w14:schemeClr w14:val="tx1"/>
            </w14:solidFill>
          </w14:textFill>
        </w:rPr>
        <w:t>基本建成创新型文化和旅游大县，建成在皖北乃至中原经济区和淮海经济区具有较高知名度的休闲旅游目的地</w:t>
      </w:r>
      <w:r>
        <w:rPr>
          <w:rFonts w:hint="default" w:ascii="Times New Roman" w:hAnsi="Times New Roman" w:eastAsia="仿宋_GB2312" w:cs="Times New Roman"/>
          <w:color w:val="000000" w:themeColor="text1"/>
          <w:spacing w:val="-6"/>
          <w:kern w:val="0"/>
          <w:sz w:val="32"/>
          <w:szCs w:val="32"/>
          <w:shd w:val="clear" w:color="auto" w:fill="FFFFFF"/>
          <w14:textFill>
            <w14:solidFill>
              <w14:schemeClr w14:val="tx1"/>
            </w14:solidFill>
          </w14:textFill>
        </w:rPr>
        <w:t>，全省乃至全国著名红色文化传承和红色旅游产业基地</w:t>
      </w:r>
      <w:r>
        <w:rPr>
          <w:rFonts w:hint="default" w:ascii="Times New Roman" w:hAnsi="Times New Roman" w:eastAsia="仿宋_GB2312" w:cs="Times New Roman"/>
          <w:color w:val="000000" w:themeColor="text1"/>
          <w:spacing w:val="-6"/>
          <w:sz w:val="32"/>
          <w:szCs w:val="32"/>
          <w14:textFill>
            <w14:solidFill>
              <w14:schemeClr w14:val="tx1"/>
            </w14:solidFill>
          </w14:textFill>
        </w:rPr>
        <w:t>。</w:t>
      </w:r>
    </w:p>
    <w:tbl>
      <w:tblPr>
        <w:tblStyle w:val="23"/>
        <w:tblW w:w="877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771" w:type="dxa"/>
          </w:tcPr>
          <w:p>
            <w:pPr>
              <w:pStyle w:val="39"/>
              <w:keepNext w:val="0"/>
              <w:keepLines w:val="0"/>
              <w:pageBreakBefore w:val="0"/>
              <w:widowControl w:val="0"/>
              <w:numPr>
                <w:ilvl w:val="0"/>
                <w:numId w:val="0"/>
              </w:numPr>
              <w:kinsoku/>
              <w:wordWrap/>
              <w:overflowPunct/>
              <w:topLinePunct w:val="0"/>
              <w:autoSpaceDE/>
              <w:autoSpaceDN/>
              <w:bidi w:val="0"/>
              <w:adjustRightInd/>
              <w:snapToGrid/>
              <w:spacing w:line="460" w:lineRule="exact"/>
              <w:jc w:val="center"/>
              <w:textAlignment w:val="auto"/>
              <w:rPr>
                <w:rFonts w:hint="default" w:ascii="Times New Roman" w:hAnsi="Times New Roman" w:eastAsia="黑体" w:cs="Times New Roman"/>
                <w:b w:val="0"/>
                <w:bCs/>
                <w:color w:val="000000" w:themeColor="text1"/>
                <w:sz w:val="32"/>
                <w:szCs w:val="32"/>
                <w14:textFill>
                  <w14:solidFill>
                    <w14:schemeClr w14:val="tx1"/>
                  </w14:solidFill>
                </w14:textFill>
              </w:rPr>
            </w:pPr>
            <w:r>
              <w:rPr>
                <w:rFonts w:hint="default" w:ascii="Times New Roman" w:hAnsi="Times New Roman" w:eastAsia="黑体" w:cs="Times New Roman"/>
                <w:b w:val="0"/>
                <w:bCs/>
                <w:color w:val="000000" w:themeColor="text1"/>
                <w:sz w:val="32"/>
                <w:szCs w:val="32"/>
                <w14:textFill>
                  <w14:solidFill>
                    <w14:schemeClr w14:val="tx1"/>
                  </w14:solidFill>
                </w14:textFill>
              </w:rPr>
              <w:t>专栏5：重点方向或重点项目</w:t>
            </w:r>
          </w:p>
          <w:p>
            <w:pPr>
              <w:pStyle w:val="39"/>
              <w:keepNext w:val="0"/>
              <w:keepLines w:val="0"/>
              <w:pageBreakBefore w:val="0"/>
              <w:widowControl w:val="0"/>
              <w:numPr>
                <w:ilvl w:val="0"/>
                <w:numId w:val="1"/>
              </w:numPr>
              <w:kinsoku/>
              <w:wordWrap/>
              <w:overflowPunct/>
              <w:topLinePunct w:val="0"/>
              <w:autoSpaceDE/>
              <w:autoSpaceDN/>
              <w:bidi w:val="0"/>
              <w:adjustRightInd/>
              <w:snapToGrid/>
              <w:spacing w:line="460" w:lineRule="exact"/>
              <w:ind w:left="420" w:firstLineChars="0"/>
              <w:textAlignment w:val="auto"/>
              <w:rPr>
                <w:rFonts w:hint="default" w:ascii="Times New Roman" w:hAnsi="Times New Roman" w:eastAsia="仿宋_GB2312" w:cs="Times New Roman"/>
                <w:color w:val="000000" w:themeColor="text1"/>
                <w:kern w:val="0"/>
                <w:sz w:val="28"/>
                <w:szCs w:val="28"/>
                <w14:textFill>
                  <w14:solidFill>
                    <w14:schemeClr w14:val="tx1"/>
                  </w14:solidFill>
                </w14:textFill>
              </w:rPr>
            </w:pPr>
            <w:r>
              <w:rPr>
                <w:rFonts w:hint="default" w:ascii="Times New Roman" w:hAnsi="Times New Roman" w:eastAsia="仿宋_GB2312" w:cs="Times New Roman"/>
                <w:color w:val="000000" w:themeColor="text1"/>
                <w:kern w:val="0"/>
                <w:sz w:val="28"/>
                <w:szCs w:val="28"/>
                <w14:textFill>
                  <w14:solidFill>
                    <w14:schemeClr w14:val="tx1"/>
                  </w14:solidFill>
                </w14:textFill>
              </w:rPr>
              <w:t>濉溪县凤栖湖湿地生态保护(采煤沉陷区生态保护)项目，总投资2.1亿元，主要建设内容：湿地恢复与保护工程总规划用地约12100亩（含水体）,交通工程（总规划用地约420亩，主要建设内容包括环湖路、游步道、湿地栈道、码头、桥梁等）。</w:t>
            </w:r>
          </w:p>
          <w:p>
            <w:pPr>
              <w:pStyle w:val="39"/>
              <w:keepNext w:val="0"/>
              <w:keepLines w:val="0"/>
              <w:pageBreakBefore w:val="0"/>
              <w:widowControl w:val="0"/>
              <w:numPr>
                <w:ilvl w:val="0"/>
                <w:numId w:val="1"/>
              </w:numPr>
              <w:kinsoku/>
              <w:wordWrap/>
              <w:overflowPunct/>
              <w:topLinePunct w:val="0"/>
              <w:autoSpaceDE/>
              <w:autoSpaceDN/>
              <w:bidi w:val="0"/>
              <w:adjustRightInd/>
              <w:snapToGrid/>
              <w:spacing w:line="460" w:lineRule="exact"/>
              <w:ind w:left="420" w:firstLineChars="0"/>
              <w:textAlignment w:val="auto"/>
              <w:rPr>
                <w:rFonts w:hint="default" w:ascii="Times New Roman" w:hAnsi="Times New Roman" w:eastAsia="仿宋_GB2312" w:cs="Times New Roman"/>
                <w:color w:val="000000" w:themeColor="text1"/>
                <w:kern w:val="0"/>
                <w:sz w:val="28"/>
                <w:szCs w:val="28"/>
                <w14:textFill>
                  <w14:solidFill>
                    <w14:schemeClr w14:val="tx1"/>
                  </w14:solidFill>
                </w14:textFill>
              </w:rPr>
            </w:pPr>
            <w:r>
              <w:rPr>
                <w:rFonts w:hint="default" w:ascii="Times New Roman" w:hAnsi="Times New Roman" w:eastAsia="仿宋_GB2312" w:cs="Times New Roman"/>
                <w:color w:val="000000" w:themeColor="text1"/>
                <w:kern w:val="0"/>
                <w:sz w:val="28"/>
                <w:szCs w:val="28"/>
                <w14:textFill>
                  <w14:solidFill>
                    <w14:schemeClr w14:val="tx1"/>
                  </w14:solidFill>
                </w14:textFill>
              </w:rPr>
              <w:t>安徽淮北濉溪县老城石板街历史街区保护与更新项目，总投资5.72亿元，主要建设内容：修复老城石板街长1000米，沿街门面400多间恢复旧时景象和重要景点十处，建设博物馆、公园以及基础配套设施等。</w:t>
            </w:r>
          </w:p>
          <w:p>
            <w:pPr>
              <w:pStyle w:val="39"/>
              <w:keepNext w:val="0"/>
              <w:keepLines w:val="0"/>
              <w:pageBreakBefore w:val="0"/>
              <w:widowControl w:val="0"/>
              <w:numPr>
                <w:ilvl w:val="0"/>
                <w:numId w:val="1"/>
              </w:numPr>
              <w:kinsoku/>
              <w:wordWrap/>
              <w:overflowPunct/>
              <w:topLinePunct w:val="0"/>
              <w:autoSpaceDE/>
              <w:autoSpaceDN/>
              <w:bidi w:val="0"/>
              <w:adjustRightInd/>
              <w:snapToGrid/>
              <w:spacing w:line="460" w:lineRule="exact"/>
              <w:ind w:left="420" w:firstLineChars="0"/>
              <w:textAlignment w:val="auto"/>
              <w:rPr>
                <w:rFonts w:hint="default" w:ascii="Times New Roman" w:hAnsi="Times New Roman" w:eastAsia="仿宋_GB2312" w:cs="Times New Roman"/>
                <w:color w:val="000000" w:themeColor="text1"/>
                <w:kern w:val="0"/>
                <w:sz w:val="28"/>
                <w:szCs w:val="28"/>
                <w14:textFill>
                  <w14:solidFill>
                    <w14:schemeClr w14:val="tx1"/>
                  </w14:solidFill>
                </w14:textFill>
              </w:rPr>
            </w:pPr>
            <w:r>
              <w:rPr>
                <w:rFonts w:hint="default" w:ascii="Times New Roman" w:hAnsi="Times New Roman" w:eastAsia="仿宋_GB2312" w:cs="Times New Roman"/>
                <w:color w:val="000000" w:themeColor="text1"/>
                <w:kern w:val="0"/>
                <w:sz w:val="28"/>
                <w:szCs w:val="28"/>
                <w14:textFill>
                  <w14:solidFill>
                    <w14:schemeClr w14:val="tx1"/>
                  </w14:solidFill>
                </w14:textFill>
              </w:rPr>
              <w:t>淮海战役双堆集战场遗址旅游发展项目，总投资21.22亿元，主要建设内容：开发建设淮海战役双堆集战场红色旅游资源，打造5A级红色旅游及爱国主义教育基地。</w:t>
            </w:r>
          </w:p>
          <w:p>
            <w:pPr>
              <w:pStyle w:val="39"/>
              <w:keepNext w:val="0"/>
              <w:keepLines w:val="0"/>
              <w:pageBreakBefore w:val="0"/>
              <w:widowControl w:val="0"/>
              <w:numPr>
                <w:ilvl w:val="0"/>
                <w:numId w:val="1"/>
              </w:numPr>
              <w:kinsoku/>
              <w:wordWrap/>
              <w:overflowPunct/>
              <w:topLinePunct w:val="0"/>
              <w:autoSpaceDE/>
              <w:autoSpaceDN/>
              <w:bidi w:val="0"/>
              <w:adjustRightInd/>
              <w:snapToGrid/>
              <w:spacing w:line="460" w:lineRule="exact"/>
              <w:ind w:left="420" w:firstLineChars="0"/>
              <w:textAlignment w:val="auto"/>
              <w:rPr>
                <w:rFonts w:hint="default" w:ascii="Times New Roman" w:hAnsi="Times New Roman" w:eastAsia="仿宋_GB2312" w:cs="Times New Roman"/>
                <w:color w:val="000000" w:themeColor="text1"/>
                <w:kern w:val="0"/>
                <w:sz w:val="28"/>
                <w:szCs w:val="28"/>
                <w14:textFill>
                  <w14:solidFill>
                    <w14:schemeClr w14:val="tx1"/>
                  </w14:solidFill>
                </w14:textFill>
              </w:rPr>
            </w:pPr>
            <w:r>
              <w:rPr>
                <w:rFonts w:hint="default" w:ascii="Times New Roman" w:hAnsi="Times New Roman" w:eastAsia="仿宋_GB2312" w:cs="Times New Roman"/>
                <w:color w:val="000000" w:themeColor="text1"/>
                <w:kern w:val="0"/>
                <w:sz w:val="28"/>
                <w:szCs w:val="28"/>
                <w14:textFill>
                  <w14:solidFill>
                    <w14:schemeClr w14:val="tx1"/>
                  </w14:solidFill>
                </w14:textFill>
              </w:rPr>
              <w:t>临涣文化旅游休闲街区项目，总投资0.14亿元，主要建设内容：建设蹇叔墓（石板街）、老街、南阁街三条街区石板街、社区便民商圈、特色文化旅游购物场所及消费聚集区配套基础</w:t>
            </w:r>
            <w:r>
              <w:rPr>
                <w:rFonts w:hint="eastAsia" w:eastAsia="仿宋_GB2312" w:cs="Times New Roman"/>
                <w:color w:val="000000" w:themeColor="text1"/>
                <w:kern w:val="0"/>
                <w:sz w:val="28"/>
                <w:szCs w:val="28"/>
                <w:lang w:val="en-US" w:eastAsia="zh-CN"/>
                <w14:textFill>
                  <w14:solidFill>
                    <w14:schemeClr w14:val="tx1"/>
                  </w14:solidFill>
                </w14:textFill>
              </w:rPr>
              <w:t>设</w:t>
            </w:r>
            <w:r>
              <w:rPr>
                <w:rFonts w:hint="default" w:ascii="Times New Roman" w:hAnsi="Times New Roman" w:eastAsia="仿宋_GB2312" w:cs="Times New Roman"/>
                <w:color w:val="000000" w:themeColor="text1"/>
                <w:kern w:val="0"/>
                <w:sz w:val="28"/>
                <w:szCs w:val="28"/>
                <w14:textFill>
                  <w14:solidFill>
                    <w14:schemeClr w14:val="tx1"/>
                  </w14:solidFill>
                </w14:textFill>
              </w:rPr>
              <w:t>施建设。</w:t>
            </w:r>
          </w:p>
          <w:p>
            <w:pPr>
              <w:pStyle w:val="39"/>
              <w:keepNext w:val="0"/>
              <w:keepLines w:val="0"/>
              <w:pageBreakBefore w:val="0"/>
              <w:widowControl w:val="0"/>
              <w:numPr>
                <w:ilvl w:val="0"/>
                <w:numId w:val="1"/>
              </w:numPr>
              <w:kinsoku/>
              <w:wordWrap/>
              <w:overflowPunct/>
              <w:topLinePunct w:val="0"/>
              <w:autoSpaceDE/>
              <w:autoSpaceDN/>
              <w:bidi w:val="0"/>
              <w:adjustRightInd/>
              <w:snapToGrid/>
              <w:spacing w:line="460" w:lineRule="exact"/>
              <w:ind w:left="420" w:firstLineChars="0"/>
              <w:textAlignment w:val="auto"/>
              <w:rPr>
                <w:rFonts w:hint="default" w:ascii="Times New Roman" w:hAnsi="Times New Roman" w:eastAsia="仿宋_GB2312" w:cs="Times New Roman"/>
                <w:color w:val="000000" w:themeColor="text1"/>
                <w:kern w:val="0"/>
                <w:sz w:val="28"/>
                <w:szCs w:val="28"/>
                <w14:textFill>
                  <w14:solidFill>
                    <w14:schemeClr w14:val="tx1"/>
                  </w14:solidFill>
                </w14:textFill>
              </w:rPr>
            </w:pPr>
            <w:r>
              <w:rPr>
                <w:rFonts w:hint="default" w:ascii="Times New Roman" w:hAnsi="Times New Roman" w:eastAsia="仿宋_GB2312" w:cs="Times New Roman"/>
                <w:color w:val="000000" w:themeColor="text1"/>
                <w:kern w:val="0"/>
                <w:sz w:val="28"/>
                <w:szCs w:val="28"/>
                <w14:textFill>
                  <w14:solidFill>
                    <w14:schemeClr w14:val="tx1"/>
                  </w14:solidFill>
                </w14:textFill>
              </w:rPr>
              <w:t>临涣古镇保护与展示及基础设施提升项目，总投资22.6亿元，主要建设内容：古镇道路及配套工程、古镇旅游基础设施及配套项目、临涣古城墙保护与环境提升项目、古镇四大名泉保护与利用项目、古镇研学游乐体验项目、古镇游客服务设施建设项目、古镇遗存保护与展示项目。</w:t>
            </w:r>
          </w:p>
          <w:p>
            <w:pPr>
              <w:pStyle w:val="39"/>
              <w:keepNext w:val="0"/>
              <w:keepLines w:val="0"/>
              <w:pageBreakBefore w:val="0"/>
              <w:widowControl w:val="0"/>
              <w:numPr>
                <w:ilvl w:val="0"/>
                <w:numId w:val="1"/>
              </w:numPr>
              <w:kinsoku/>
              <w:wordWrap/>
              <w:overflowPunct/>
              <w:topLinePunct w:val="0"/>
              <w:autoSpaceDE/>
              <w:autoSpaceDN/>
              <w:bidi w:val="0"/>
              <w:adjustRightInd/>
              <w:snapToGrid/>
              <w:spacing w:line="460" w:lineRule="exact"/>
              <w:ind w:left="420" w:firstLineChars="0"/>
              <w:textAlignment w:val="auto"/>
              <w:rPr>
                <w:rFonts w:hint="default" w:ascii="Times New Roman" w:hAnsi="Times New Roman" w:eastAsia="仿宋_GB2312" w:cs="Times New Roman"/>
                <w:color w:val="000000" w:themeColor="text1"/>
                <w:kern w:val="0"/>
                <w:sz w:val="28"/>
                <w:szCs w:val="28"/>
                <w14:textFill>
                  <w14:solidFill>
                    <w14:schemeClr w14:val="tx1"/>
                  </w14:solidFill>
                </w14:textFill>
              </w:rPr>
            </w:pPr>
            <w:r>
              <w:rPr>
                <w:rFonts w:hint="default" w:ascii="Times New Roman" w:hAnsi="Times New Roman" w:eastAsia="仿宋_GB2312" w:cs="Times New Roman"/>
                <w:color w:val="000000" w:themeColor="text1"/>
                <w:kern w:val="0"/>
                <w:sz w:val="28"/>
                <w:szCs w:val="28"/>
                <w14:textFill>
                  <w14:solidFill>
                    <w14:schemeClr w14:val="tx1"/>
                  </w14:solidFill>
                </w14:textFill>
              </w:rPr>
              <w:t>濉溪县铁佛镇文化旅游环境综合治理项目，总投资1.85亿元，主要建设内容：邹楼村银杏树开发环境综合治理项目、古汉墓国保单位周边环境综合治理项目、卧龙湖人民公社文化旅游周边环境综合提升项目、铁佛寺周边环境综合治理项目及崔楼村农民文化园综合开发项目。</w:t>
            </w:r>
          </w:p>
          <w:p>
            <w:pPr>
              <w:pStyle w:val="39"/>
              <w:keepNext w:val="0"/>
              <w:keepLines w:val="0"/>
              <w:pageBreakBefore w:val="0"/>
              <w:widowControl w:val="0"/>
              <w:numPr>
                <w:ilvl w:val="0"/>
                <w:numId w:val="1"/>
              </w:numPr>
              <w:kinsoku/>
              <w:wordWrap/>
              <w:overflowPunct/>
              <w:topLinePunct w:val="0"/>
              <w:autoSpaceDE/>
              <w:autoSpaceDN/>
              <w:bidi w:val="0"/>
              <w:adjustRightInd/>
              <w:snapToGrid/>
              <w:spacing w:line="460" w:lineRule="exact"/>
              <w:ind w:left="420" w:firstLineChars="0"/>
              <w:textAlignment w:val="auto"/>
              <w:rPr>
                <w:rFonts w:hint="default" w:ascii="Times New Roman" w:hAnsi="Times New Roman" w:eastAsia="仿宋_GB2312" w:cs="Times New Roman"/>
                <w:color w:val="000000" w:themeColor="text1"/>
                <w:kern w:val="0"/>
                <w:sz w:val="28"/>
                <w:szCs w:val="28"/>
                <w14:textFill>
                  <w14:solidFill>
                    <w14:schemeClr w14:val="tx1"/>
                  </w14:solidFill>
                </w14:textFill>
              </w:rPr>
            </w:pPr>
            <w:r>
              <w:rPr>
                <w:rFonts w:hint="default" w:ascii="Times New Roman" w:hAnsi="Times New Roman" w:eastAsia="仿宋_GB2312" w:cs="Times New Roman"/>
                <w:color w:val="000000" w:themeColor="text1"/>
                <w:kern w:val="0"/>
                <w:sz w:val="28"/>
                <w:szCs w:val="28"/>
                <w:lang w:bidi="ar"/>
                <w14:textFill>
                  <w14:solidFill>
                    <w14:schemeClr w14:val="tx1"/>
                  </w14:solidFill>
                </w14:textFill>
              </w:rPr>
              <w:t>濉溪县百善特色旅游微型产业集聚区</w:t>
            </w:r>
            <w:r>
              <w:rPr>
                <w:rFonts w:hint="default" w:ascii="Times New Roman" w:hAnsi="Times New Roman" w:eastAsia="仿宋_GB2312" w:cs="Times New Roman"/>
                <w:color w:val="000000" w:themeColor="text1"/>
                <w:kern w:val="0"/>
                <w:sz w:val="28"/>
                <w:szCs w:val="28"/>
                <w14:textFill>
                  <w14:solidFill>
                    <w14:schemeClr w14:val="tx1"/>
                  </w14:solidFill>
                </w14:textFill>
              </w:rPr>
              <w:t>，总投资</w:t>
            </w:r>
            <w:r>
              <w:rPr>
                <w:rFonts w:hint="default" w:ascii="Times New Roman" w:hAnsi="Times New Roman" w:eastAsia="仿宋_GB2312" w:cs="Times New Roman"/>
                <w:color w:val="000000" w:themeColor="text1"/>
                <w:kern w:val="0"/>
                <w:sz w:val="28"/>
                <w:szCs w:val="28"/>
                <w:lang w:bidi="ar"/>
                <w14:textFill>
                  <w14:solidFill>
                    <w14:schemeClr w14:val="tx1"/>
                  </w14:solidFill>
                </w14:textFill>
              </w:rPr>
              <w:t>24.79</w:t>
            </w:r>
            <w:r>
              <w:rPr>
                <w:rFonts w:hint="default" w:ascii="Times New Roman" w:hAnsi="Times New Roman" w:eastAsia="仿宋_GB2312" w:cs="Times New Roman"/>
                <w:color w:val="000000" w:themeColor="text1"/>
                <w:kern w:val="0"/>
                <w:sz w:val="28"/>
                <w:szCs w:val="28"/>
                <w14:textFill>
                  <w14:solidFill>
                    <w14:schemeClr w14:val="tx1"/>
                  </w14:solidFill>
                </w14:textFill>
              </w:rPr>
              <w:t>亿元，主要建设内容：</w:t>
            </w:r>
            <w:r>
              <w:rPr>
                <w:rFonts w:hint="default" w:ascii="Times New Roman" w:hAnsi="Times New Roman" w:eastAsia="仿宋_GB2312" w:cs="Times New Roman"/>
                <w:color w:val="000000" w:themeColor="text1"/>
                <w:kern w:val="0"/>
                <w:sz w:val="28"/>
                <w:szCs w:val="28"/>
                <w:lang w:bidi="ar"/>
                <w14:textFill>
                  <w14:solidFill>
                    <w14:schemeClr w14:val="tx1"/>
                  </w14:solidFill>
                </w14:textFill>
              </w:rPr>
              <w:t>用地3183亩 已利用土地：2128亩。柳孜大运河遗址博物馆、大运河瓷器展览馆、柳孜文化村、小镇客厅、运河花海、运河冰雕馆、运河航天博览园、创意花卉体验馆、隋唐风情街、百善社区、 双创孵化中心、运河故事馆、茶酒文化馆、运河书画馆、隋唐风情街、荷塘月色、耕读学院、萌宠家园、乐活采摘园、基础设施建设、环境整治提升工程等。</w:t>
            </w:r>
          </w:p>
          <w:p>
            <w:pPr>
              <w:pStyle w:val="39"/>
              <w:keepNext w:val="0"/>
              <w:keepLines w:val="0"/>
              <w:pageBreakBefore w:val="0"/>
              <w:widowControl w:val="0"/>
              <w:numPr>
                <w:ilvl w:val="0"/>
                <w:numId w:val="1"/>
              </w:numPr>
              <w:kinsoku/>
              <w:wordWrap/>
              <w:overflowPunct/>
              <w:topLinePunct w:val="0"/>
              <w:autoSpaceDE/>
              <w:autoSpaceDN/>
              <w:bidi w:val="0"/>
              <w:adjustRightInd/>
              <w:snapToGrid/>
              <w:spacing w:line="460" w:lineRule="exact"/>
              <w:ind w:left="420" w:firstLineChars="0"/>
              <w:textAlignment w:val="auto"/>
              <w:rPr>
                <w:rFonts w:hint="default" w:ascii="Times New Roman" w:hAnsi="Times New Roman" w:eastAsia="仿宋_GB2312" w:cs="Times New Roman"/>
                <w:color w:val="000000" w:themeColor="text1"/>
                <w:kern w:val="0"/>
                <w:sz w:val="28"/>
                <w:szCs w:val="28"/>
                <w14:textFill>
                  <w14:solidFill>
                    <w14:schemeClr w14:val="tx1"/>
                  </w14:solidFill>
                </w14:textFill>
              </w:rPr>
            </w:pPr>
            <w:r>
              <w:rPr>
                <w:rFonts w:hint="default" w:ascii="Times New Roman" w:hAnsi="Times New Roman" w:eastAsia="仿宋_GB2312" w:cs="Times New Roman"/>
                <w:color w:val="000000" w:themeColor="text1"/>
                <w:kern w:val="0"/>
                <w:sz w:val="28"/>
                <w:szCs w:val="28"/>
                <w:lang w:bidi="ar"/>
                <w14:textFill>
                  <w14:solidFill>
                    <w14:schemeClr w14:val="tx1"/>
                  </w14:solidFill>
                </w14:textFill>
              </w:rPr>
              <w:t>百善镇乡村振兴文旅融合—隋唐微型产业集聚区建设项目</w:t>
            </w:r>
            <w:r>
              <w:rPr>
                <w:rFonts w:hint="default" w:ascii="Times New Roman" w:hAnsi="Times New Roman" w:eastAsia="仿宋_GB2312" w:cs="Times New Roman"/>
                <w:color w:val="000000" w:themeColor="text1"/>
                <w:kern w:val="0"/>
                <w:sz w:val="28"/>
                <w:szCs w:val="28"/>
                <w14:textFill>
                  <w14:solidFill>
                    <w14:schemeClr w14:val="tx1"/>
                  </w14:solidFill>
                </w14:textFill>
              </w:rPr>
              <w:t>，总投资</w:t>
            </w:r>
            <w:r>
              <w:rPr>
                <w:rFonts w:hint="default" w:ascii="Times New Roman" w:hAnsi="Times New Roman" w:eastAsia="仿宋_GB2312" w:cs="Times New Roman"/>
                <w:color w:val="000000" w:themeColor="text1"/>
                <w:kern w:val="0"/>
                <w:sz w:val="28"/>
                <w:szCs w:val="28"/>
                <w:lang w:bidi="ar"/>
                <w14:textFill>
                  <w14:solidFill>
                    <w14:schemeClr w14:val="tx1"/>
                  </w14:solidFill>
                </w14:textFill>
              </w:rPr>
              <w:t>13.00</w:t>
            </w:r>
            <w:r>
              <w:rPr>
                <w:rFonts w:hint="default" w:ascii="Times New Roman" w:hAnsi="Times New Roman" w:eastAsia="仿宋_GB2312" w:cs="Times New Roman"/>
                <w:color w:val="000000" w:themeColor="text1"/>
                <w:kern w:val="0"/>
                <w:sz w:val="28"/>
                <w:szCs w:val="28"/>
                <w14:textFill>
                  <w14:solidFill>
                    <w14:schemeClr w14:val="tx1"/>
                  </w14:solidFill>
                </w14:textFill>
              </w:rPr>
              <w:t>亿元，主要建设内容：</w:t>
            </w:r>
            <w:r>
              <w:rPr>
                <w:rFonts w:hint="default" w:ascii="Times New Roman" w:hAnsi="Times New Roman" w:eastAsia="仿宋_GB2312" w:cs="Times New Roman"/>
                <w:color w:val="000000" w:themeColor="text1"/>
                <w:kern w:val="0"/>
                <w:sz w:val="28"/>
                <w:szCs w:val="28"/>
                <w:lang w:bidi="ar"/>
                <w14:textFill>
                  <w14:solidFill>
                    <w14:schemeClr w14:val="tx1"/>
                  </w14:solidFill>
                </w14:textFill>
              </w:rPr>
              <w:t>占地480亩，拆迁安置1000户，隋唐微型产业集聚区特色建筑150000平方米，并建设各项配套设施。</w:t>
            </w:r>
          </w:p>
          <w:p>
            <w:pPr>
              <w:pStyle w:val="39"/>
              <w:keepNext w:val="0"/>
              <w:keepLines w:val="0"/>
              <w:pageBreakBefore w:val="0"/>
              <w:widowControl w:val="0"/>
              <w:numPr>
                <w:ilvl w:val="0"/>
                <w:numId w:val="1"/>
              </w:numPr>
              <w:kinsoku/>
              <w:wordWrap/>
              <w:overflowPunct/>
              <w:topLinePunct w:val="0"/>
              <w:autoSpaceDE/>
              <w:autoSpaceDN/>
              <w:bidi w:val="0"/>
              <w:adjustRightInd/>
              <w:snapToGrid/>
              <w:spacing w:line="460" w:lineRule="exact"/>
              <w:ind w:left="420" w:firstLineChars="0"/>
              <w:textAlignment w:val="auto"/>
              <w:rPr>
                <w:rFonts w:hint="default" w:ascii="Times New Roman" w:hAnsi="Times New Roman" w:eastAsia="仿宋_GB2312" w:cs="Times New Roman"/>
                <w:color w:val="000000" w:themeColor="text1"/>
                <w:kern w:val="0"/>
                <w:sz w:val="28"/>
                <w:szCs w:val="28"/>
                <w14:textFill>
                  <w14:solidFill>
                    <w14:schemeClr w14:val="tx1"/>
                  </w14:solidFill>
                </w14:textFill>
              </w:rPr>
            </w:pPr>
            <w:r>
              <w:rPr>
                <w:rFonts w:hint="default" w:ascii="Times New Roman" w:hAnsi="Times New Roman" w:eastAsia="仿宋_GB2312" w:cs="Times New Roman"/>
                <w:color w:val="000000" w:themeColor="text1"/>
                <w:kern w:val="0"/>
                <w:sz w:val="28"/>
                <w:szCs w:val="28"/>
                <w14:textFill>
                  <w14:solidFill>
                    <w14:schemeClr w14:val="tx1"/>
                  </w14:solidFill>
                </w14:textFill>
              </w:rPr>
              <w:t>濉溪县小李家红色文化基地建设，总投资</w:t>
            </w:r>
            <w:r>
              <w:rPr>
                <w:rFonts w:hint="default" w:ascii="Times New Roman" w:hAnsi="Times New Roman" w:eastAsia="仿宋_GB2312" w:cs="Times New Roman"/>
                <w:color w:val="000000" w:themeColor="text1"/>
                <w:kern w:val="0"/>
                <w:sz w:val="28"/>
                <w:szCs w:val="28"/>
                <w:lang w:bidi="ar"/>
                <w14:textFill>
                  <w14:solidFill>
                    <w14:schemeClr w14:val="tx1"/>
                  </w14:solidFill>
                </w14:textFill>
              </w:rPr>
              <w:t>5.5</w:t>
            </w:r>
            <w:r>
              <w:rPr>
                <w:rFonts w:hint="default" w:ascii="Times New Roman" w:hAnsi="Times New Roman" w:eastAsia="仿宋_GB2312" w:cs="Times New Roman"/>
                <w:color w:val="000000" w:themeColor="text1"/>
                <w:kern w:val="0"/>
                <w:sz w:val="28"/>
                <w:szCs w:val="28"/>
                <w14:textFill>
                  <w14:solidFill>
                    <w14:schemeClr w14:val="tx1"/>
                  </w14:solidFill>
                </w14:textFill>
              </w:rPr>
              <w:t>亿元，主要建设内容：用地1800亩，主要进行濉溪县小李家红色文化基地建设，建设内容主要包括生态采摘园、游客接待中心以及配套工程、旅游购物一条街和旅游景点提升工程、土地整理等。</w:t>
            </w:r>
          </w:p>
          <w:p>
            <w:pPr>
              <w:pStyle w:val="39"/>
              <w:keepNext w:val="0"/>
              <w:keepLines w:val="0"/>
              <w:pageBreakBefore w:val="0"/>
              <w:widowControl w:val="0"/>
              <w:numPr>
                <w:ilvl w:val="0"/>
                <w:numId w:val="1"/>
              </w:numPr>
              <w:kinsoku/>
              <w:wordWrap/>
              <w:overflowPunct/>
              <w:topLinePunct w:val="0"/>
              <w:autoSpaceDE/>
              <w:autoSpaceDN/>
              <w:bidi w:val="0"/>
              <w:adjustRightInd/>
              <w:snapToGrid/>
              <w:spacing w:line="460" w:lineRule="exact"/>
              <w:ind w:left="420" w:firstLineChars="0"/>
              <w:textAlignment w:val="auto"/>
              <w:rPr>
                <w:rFonts w:hint="default" w:ascii="Times New Roman" w:hAnsi="Times New Roman" w:eastAsia="仿宋_GB2312" w:cs="Times New Roman"/>
                <w:color w:val="000000" w:themeColor="text1"/>
                <w:kern w:val="0"/>
                <w:sz w:val="28"/>
                <w:szCs w:val="28"/>
                <w14:textFill>
                  <w14:solidFill>
                    <w14:schemeClr w14:val="tx1"/>
                  </w14:solidFill>
                </w14:textFill>
              </w:rPr>
            </w:pPr>
            <w:r>
              <w:rPr>
                <w:rFonts w:hint="default" w:ascii="Times New Roman" w:hAnsi="Times New Roman" w:eastAsia="仿宋_GB2312" w:cs="Times New Roman"/>
                <w:color w:val="000000" w:themeColor="text1"/>
                <w:kern w:val="0"/>
                <w:sz w:val="28"/>
                <w:szCs w:val="28"/>
                <w14:textFill>
                  <w14:solidFill>
                    <w14:schemeClr w14:val="tx1"/>
                  </w14:solidFill>
                </w14:textFill>
              </w:rPr>
              <w:t>淮北濉溪县淮海红色观游影视文化基地项目，总投资</w:t>
            </w:r>
            <w:r>
              <w:rPr>
                <w:rFonts w:hint="default" w:ascii="Times New Roman" w:hAnsi="Times New Roman" w:eastAsia="仿宋_GB2312" w:cs="Times New Roman"/>
                <w:color w:val="000000" w:themeColor="text1"/>
                <w:kern w:val="0"/>
                <w:sz w:val="28"/>
                <w:szCs w:val="28"/>
                <w:lang w:bidi="ar"/>
                <w14:textFill>
                  <w14:solidFill>
                    <w14:schemeClr w14:val="tx1"/>
                  </w14:solidFill>
                </w14:textFill>
              </w:rPr>
              <w:t>1.6</w:t>
            </w:r>
            <w:r>
              <w:rPr>
                <w:rFonts w:hint="default" w:ascii="Times New Roman" w:hAnsi="Times New Roman" w:eastAsia="仿宋_GB2312" w:cs="Times New Roman"/>
                <w:color w:val="000000" w:themeColor="text1"/>
                <w:kern w:val="0"/>
                <w:sz w:val="28"/>
                <w:szCs w:val="28"/>
                <w14:textFill>
                  <w14:solidFill>
                    <w14:schemeClr w14:val="tx1"/>
                  </w14:solidFill>
                </w14:textFill>
              </w:rPr>
              <w:t>亿元，主要建设内容：建设红色革命史和红色教育、观光、拍摄、文化、旅游影视城，包含中华传统民居影视城、和淮海战场动漫园。</w:t>
            </w:r>
          </w:p>
          <w:p>
            <w:pPr>
              <w:pStyle w:val="39"/>
              <w:keepNext w:val="0"/>
              <w:keepLines w:val="0"/>
              <w:pageBreakBefore w:val="0"/>
              <w:widowControl w:val="0"/>
              <w:numPr>
                <w:ilvl w:val="0"/>
                <w:numId w:val="1"/>
              </w:numPr>
              <w:kinsoku/>
              <w:wordWrap/>
              <w:overflowPunct/>
              <w:topLinePunct w:val="0"/>
              <w:autoSpaceDE/>
              <w:autoSpaceDN/>
              <w:bidi w:val="0"/>
              <w:adjustRightInd/>
              <w:snapToGrid/>
              <w:spacing w:line="460" w:lineRule="exact"/>
              <w:ind w:left="420" w:firstLineChars="0"/>
              <w:textAlignment w:val="auto"/>
              <w:rPr>
                <w:rFonts w:hint="default" w:ascii="Times New Roman" w:hAnsi="Times New Roman" w:eastAsia="仿宋_GB2312" w:cs="Times New Roman"/>
                <w:color w:val="000000" w:themeColor="text1"/>
                <w:kern w:val="0"/>
                <w:sz w:val="28"/>
                <w:szCs w:val="28"/>
                <w14:textFill>
                  <w14:solidFill>
                    <w14:schemeClr w14:val="tx1"/>
                  </w14:solidFill>
                </w14:textFill>
              </w:rPr>
            </w:pPr>
            <w:r>
              <w:rPr>
                <w:rFonts w:hint="default" w:ascii="Times New Roman" w:hAnsi="Times New Roman" w:eastAsia="仿宋_GB2312" w:cs="Times New Roman"/>
                <w:color w:val="000000" w:themeColor="text1"/>
                <w:kern w:val="0"/>
                <w:sz w:val="28"/>
                <w:szCs w:val="28"/>
                <w14:textFill>
                  <w14:solidFill>
                    <w14:schemeClr w14:val="tx1"/>
                  </w14:solidFill>
                </w14:textFill>
              </w:rPr>
              <w:t>黄沟村压煤塌陷区休闲观光基地，总投资</w:t>
            </w:r>
            <w:r>
              <w:rPr>
                <w:rFonts w:hint="default" w:ascii="Times New Roman" w:hAnsi="Times New Roman" w:eastAsia="仿宋_GB2312" w:cs="Times New Roman"/>
                <w:color w:val="000000" w:themeColor="text1"/>
                <w:kern w:val="0"/>
                <w:sz w:val="28"/>
                <w:szCs w:val="28"/>
                <w:lang w:bidi="ar"/>
                <w14:textFill>
                  <w14:solidFill>
                    <w14:schemeClr w14:val="tx1"/>
                  </w14:solidFill>
                </w14:textFill>
              </w:rPr>
              <w:t>0.36</w:t>
            </w:r>
            <w:r>
              <w:rPr>
                <w:rFonts w:hint="default" w:ascii="Times New Roman" w:hAnsi="Times New Roman" w:eastAsia="仿宋_GB2312" w:cs="Times New Roman"/>
                <w:color w:val="000000" w:themeColor="text1"/>
                <w:kern w:val="0"/>
                <w:sz w:val="28"/>
                <w:szCs w:val="28"/>
                <w14:textFill>
                  <w14:solidFill>
                    <w14:schemeClr w14:val="tx1"/>
                  </w14:solidFill>
                </w14:textFill>
              </w:rPr>
              <w:t>亿元，主要建设内容：项目挖建鱼塘垂钓中心，建立护坡、绿化、投喂鱼苗投资共600万，新增观光道路3公里投资300万，1700亩莲藕种植挖建、藕种、肥料、塑料膜的等相关设施投资1360万，建设油菜特色采摘、观赏基地投资300万，观光长廊、停车场、民宿、绿化等其他配套措施共投资1000万。</w:t>
            </w:r>
          </w:p>
          <w:p>
            <w:pPr>
              <w:pStyle w:val="39"/>
              <w:keepNext w:val="0"/>
              <w:keepLines w:val="0"/>
              <w:pageBreakBefore w:val="0"/>
              <w:widowControl w:val="0"/>
              <w:numPr>
                <w:ilvl w:val="0"/>
                <w:numId w:val="1"/>
              </w:numPr>
              <w:kinsoku/>
              <w:wordWrap/>
              <w:overflowPunct/>
              <w:topLinePunct w:val="0"/>
              <w:autoSpaceDE/>
              <w:autoSpaceDN/>
              <w:bidi w:val="0"/>
              <w:adjustRightInd/>
              <w:snapToGrid/>
              <w:spacing w:line="460" w:lineRule="exact"/>
              <w:ind w:left="420" w:firstLineChars="0"/>
              <w:textAlignment w:val="auto"/>
              <w:rPr>
                <w:rFonts w:hint="default" w:ascii="Times New Roman" w:hAnsi="Times New Roman" w:eastAsia="仿宋_GB2312" w:cs="Times New Roman"/>
                <w:color w:val="000000" w:themeColor="text1"/>
                <w:kern w:val="0"/>
                <w:sz w:val="28"/>
                <w:szCs w:val="28"/>
                <w14:textFill>
                  <w14:solidFill>
                    <w14:schemeClr w14:val="tx1"/>
                  </w14:solidFill>
                </w14:textFill>
              </w:rPr>
            </w:pPr>
            <w:r>
              <w:rPr>
                <w:rFonts w:hint="default" w:ascii="Times New Roman" w:hAnsi="Times New Roman" w:eastAsia="仿宋_GB2312" w:cs="Times New Roman"/>
                <w:color w:val="000000" w:themeColor="text1"/>
                <w:kern w:val="0"/>
                <w:sz w:val="28"/>
                <w:szCs w:val="28"/>
                <w14:textFill>
                  <w14:solidFill>
                    <w14:schemeClr w14:val="tx1"/>
                  </w14:solidFill>
                </w14:textFill>
              </w:rPr>
              <w:t>南坪狙击战纪念馆项目，总投资</w:t>
            </w:r>
            <w:r>
              <w:rPr>
                <w:rFonts w:hint="default" w:ascii="Times New Roman" w:hAnsi="Times New Roman" w:eastAsia="仿宋_GB2312" w:cs="Times New Roman"/>
                <w:color w:val="000000" w:themeColor="text1"/>
                <w:kern w:val="0"/>
                <w:sz w:val="28"/>
                <w:szCs w:val="28"/>
                <w:lang w:bidi="ar"/>
                <w14:textFill>
                  <w14:solidFill>
                    <w14:schemeClr w14:val="tx1"/>
                  </w14:solidFill>
                </w14:textFill>
              </w:rPr>
              <w:t>1.5</w:t>
            </w:r>
            <w:r>
              <w:rPr>
                <w:rFonts w:hint="default" w:ascii="Times New Roman" w:hAnsi="Times New Roman" w:eastAsia="仿宋_GB2312" w:cs="Times New Roman"/>
                <w:color w:val="000000" w:themeColor="text1"/>
                <w:kern w:val="0"/>
                <w:sz w:val="28"/>
                <w:szCs w:val="28"/>
                <w14:textFill>
                  <w14:solidFill>
                    <w14:schemeClr w14:val="tx1"/>
                  </w14:solidFill>
                </w14:textFill>
              </w:rPr>
              <w:t>亿元，主要建设内容：占地约100亩，建设内容包括纪念馆、纪念塔、文化馆、民俗馆、农村大舞台、文明实践中心、广场、停车场等其他相关配套设施。</w:t>
            </w:r>
          </w:p>
          <w:p>
            <w:pPr>
              <w:pStyle w:val="39"/>
              <w:keepNext w:val="0"/>
              <w:keepLines w:val="0"/>
              <w:pageBreakBefore w:val="0"/>
              <w:widowControl w:val="0"/>
              <w:numPr>
                <w:ilvl w:val="0"/>
                <w:numId w:val="1"/>
              </w:numPr>
              <w:kinsoku/>
              <w:wordWrap/>
              <w:overflowPunct/>
              <w:topLinePunct w:val="0"/>
              <w:autoSpaceDE/>
              <w:autoSpaceDN/>
              <w:bidi w:val="0"/>
              <w:adjustRightInd/>
              <w:snapToGrid/>
              <w:spacing w:line="460" w:lineRule="exact"/>
              <w:ind w:left="420" w:firstLineChars="0"/>
              <w:textAlignment w:val="auto"/>
              <w:rPr>
                <w:rFonts w:hint="default" w:ascii="Times New Roman" w:hAnsi="Times New Roman" w:eastAsia="仿宋_GB2312" w:cs="Times New Roman"/>
                <w:bCs/>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kern w:val="0"/>
                <w:sz w:val="28"/>
                <w:szCs w:val="28"/>
                <w14:textFill>
                  <w14:solidFill>
                    <w14:schemeClr w14:val="tx1"/>
                  </w14:solidFill>
                </w14:textFill>
              </w:rPr>
              <w:t>双堆集镇乡村振兴培训服务中心建设项目，总投资</w:t>
            </w:r>
            <w:r>
              <w:rPr>
                <w:rFonts w:hint="default" w:ascii="Times New Roman" w:hAnsi="Times New Roman" w:eastAsia="仿宋_GB2312" w:cs="Times New Roman"/>
                <w:color w:val="000000" w:themeColor="text1"/>
                <w:kern w:val="0"/>
                <w:sz w:val="28"/>
                <w:szCs w:val="28"/>
                <w:lang w:bidi="ar"/>
                <w14:textFill>
                  <w14:solidFill>
                    <w14:schemeClr w14:val="tx1"/>
                  </w14:solidFill>
                </w14:textFill>
              </w:rPr>
              <w:t>3</w:t>
            </w:r>
            <w:r>
              <w:rPr>
                <w:rFonts w:hint="default" w:ascii="Times New Roman" w:hAnsi="Times New Roman" w:eastAsia="仿宋_GB2312" w:cs="Times New Roman"/>
                <w:color w:val="000000" w:themeColor="text1"/>
                <w:kern w:val="0"/>
                <w:sz w:val="28"/>
                <w:szCs w:val="28"/>
                <w14:textFill>
                  <w14:solidFill>
                    <w14:schemeClr w14:val="tx1"/>
                  </w14:solidFill>
                </w14:textFill>
              </w:rPr>
              <w:t>亿元，主要建设内容：拟选址在淮海战役陵园东侧，计划占地263亩，投资2亿元，设计接待能力600人，院内规划有多媒体教室、餐厅、宿舍、拓展基地等教育及周边配套。服务对象包括淮、徐、宿、蚌、亳、永等1小时车程地区的团体学员和个体游客。</w:t>
            </w:r>
          </w:p>
        </w:tc>
      </w:tr>
    </w:tbl>
    <w:p>
      <w:pPr>
        <w:pStyle w:val="5"/>
        <w:keepNext w:val="0"/>
        <w:keepLines w:val="0"/>
        <w:spacing w:before="0" w:after="0" w:line="560" w:lineRule="exact"/>
        <w:ind w:firstLine="643" w:firstLineChars="200"/>
        <w:rPr>
          <w:rFonts w:hint="default" w:ascii="Times New Roman" w:hAnsi="Times New Roman" w:eastAsia="楷体_GB2312" w:cs="Times New Roman"/>
          <w:color w:val="000000" w:themeColor="text1"/>
          <w14:textFill>
            <w14:solidFill>
              <w14:schemeClr w14:val="tx1"/>
            </w14:solidFill>
          </w14:textFill>
        </w:rPr>
      </w:pPr>
      <w:bookmarkStart w:id="107" w:name="_Toc4573"/>
      <w:bookmarkStart w:id="108" w:name="_Toc83296401"/>
      <w:bookmarkStart w:id="109" w:name="_Toc356"/>
      <w:r>
        <w:rPr>
          <w:rFonts w:hint="default" w:ascii="Times New Roman" w:hAnsi="Times New Roman" w:eastAsia="楷体_GB2312" w:cs="Times New Roman"/>
          <w:color w:val="000000" w:themeColor="text1"/>
          <w14:textFill>
            <w14:solidFill>
              <w14:schemeClr w14:val="tx1"/>
            </w14:solidFill>
          </w14:textFill>
        </w:rPr>
        <w:t>（二）优化发展商贸流通业</w:t>
      </w:r>
      <w:bookmarkEnd w:id="107"/>
      <w:bookmarkEnd w:id="108"/>
      <w:bookmarkEnd w:id="109"/>
    </w:p>
    <w:p>
      <w:pPr>
        <w:spacing w:line="560" w:lineRule="exact"/>
        <w:ind w:firstLine="672" w:firstLineChars="200"/>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pacing w:val="8"/>
          <w:kern w:val="0"/>
          <w:sz w:val="32"/>
          <w:szCs w:val="32"/>
          <w:shd w:val="clear" w:color="auto" w:fill="FFFFFF"/>
          <w:lang w:bidi="ar"/>
          <w14:textFill>
            <w14:solidFill>
              <w14:schemeClr w14:val="tx1"/>
            </w14:solidFill>
          </w14:textFill>
        </w:rPr>
        <w:t>以扩大消费和保障供应为主线，顺应生活方式和消费理念转变，优化城市流通网络，畅通农村商贸渠道，加强现代批发零售服务体系建设，构建充满活力、特色明显、优势互补的现代商贸业发展新格局。完善城市商贸服务功能，优化城市商业综合体、综合超市、批发市场等商业网点结构和布局。完善城乡流通基础设施建设。结合老城棚户区改造工程，推进老城区商业网点升级换代和功能更新，依托河西区和南部次中心建设，推进商业中心、专业市场和特色商业网点建设，强化商贸服务功能和水平。完善重点乡镇商贸体系，巩固和提升市场工程等，打造若干县域商贸副中心。延伸社区服务、开拓农村市场，扶持农村现代流通网络建设。大力引进国内外知名商贸企业，引进城市综合体项目，提升农村中心镇商贸中心、商品配送中心和中心村直营连锁店服务功能。发挥实体店的服务、体验优势，与线上企业开展深度合作，鼓励商贸流通企业发展连锁经营、电子商务、大型超市、仓储式商场等新型业态，推进传统商贸业与电子商务、连锁经营等业态融合发展，支持供销、邮政、商贸流通企业开展连锁配送，推广使用智能包裹柜、智能快件箱。大力发展社区商业，引导便利店等业态进社区，规范和拓展代收费、代收货等便民服务。大力发展新型业态，推进商贸流通业态多元化。依照相关法律、行政法规规定，加强对关系国计民生、人民群众生命安全等商品的流通准入管理，健全覆盖准入、监管、退出的全程</w:t>
      </w:r>
      <w:r>
        <w:rPr>
          <w:rFonts w:hint="default" w:ascii="Times New Roman" w:hAnsi="Times New Roman" w:eastAsia="仿宋_GB2312" w:cs="Times New Roman"/>
          <w:color w:val="000000" w:themeColor="text1"/>
          <w:spacing w:val="8"/>
          <w:kern w:val="0"/>
          <w:sz w:val="32"/>
          <w:szCs w:val="32"/>
          <w:highlight w:val="none"/>
          <w:shd w:val="clear" w:color="auto" w:fill="FFFFFF"/>
          <w:lang w:bidi="ar"/>
          <w14:textFill>
            <w14:solidFill>
              <w14:schemeClr w14:val="tx1"/>
            </w14:solidFill>
          </w14:textFill>
        </w:rPr>
        <w:t>管理机制。力争到“十四五”末，建成以县城为中心、乡镇为重点、村为基础、分工合理、布局完善的一体化县域商业网络体系，优化消费环境，促进居民消费，至</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“十四五”末，全县社会消费品零售总额</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目标</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达218亿元</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左右</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w:t>
      </w:r>
      <w:r>
        <w:rPr>
          <w:rFonts w:hint="default" w:ascii="Times New Roman" w:hAnsi="Times New Roman" w:eastAsia="仿宋_GB2312" w:cs="Times New Roman"/>
          <w:color w:val="000000" w:themeColor="text1"/>
          <w:spacing w:val="8"/>
          <w:kern w:val="0"/>
          <w:sz w:val="32"/>
          <w:szCs w:val="32"/>
          <w:highlight w:val="none"/>
          <w:shd w:val="clear" w:color="auto" w:fill="FFFFFF"/>
          <w:lang w:bidi="ar"/>
          <w14:textFill>
            <w14:solidFill>
              <w14:schemeClr w14:val="tx1"/>
            </w14:solidFill>
          </w14:textFill>
        </w:rPr>
        <w:t>年均增速9%</w:t>
      </w:r>
      <w:r>
        <w:rPr>
          <w:rFonts w:hint="default" w:ascii="Times New Roman" w:hAnsi="Times New Roman" w:eastAsia="仿宋_GB2312" w:cs="Times New Roman"/>
          <w:color w:val="000000" w:themeColor="text1"/>
          <w:spacing w:val="8"/>
          <w:kern w:val="0"/>
          <w:sz w:val="32"/>
          <w:szCs w:val="32"/>
          <w:highlight w:val="none"/>
          <w:shd w:val="clear" w:color="auto" w:fill="FFFFFF"/>
          <w:lang w:val="en-US" w:eastAsia="zh-CN" w:bidi="ar"/>
          <w14:textFill>
            <w14:solidFill>
              <w14:schemeClr w14:val="tx1"/>
            </w14:solidFill>
          </w14:textFill>
        </w:rPr>
        <w:t>左右，</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培育和发展年销售额超亿元以上大型商贸流通企业3家。</w:t>
      </w:r>
    </w:p>
    <w:tbl>
      <w:tblPr>
        <w:tblStyle w:val="23"/>
        <w:tblW w:w="881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818" w:type="dxa"/>
          </w:tcPr>
          <w:p>
            <w:pPr>
              <w:pStyle w:val="39"/>
              <w:keepNext w:val="0"/>
              <w:keepLines w:val="0"/>
              <w:pageBreakBefore w:val="0"/>
              <w:widowControl w:val="0"/>
              <w:numPr>
                <w:ilvl w:val="255"/>
                <w:numId w:val="0"/>
              </w:numPr>
              <w:kinsoku/>
              <w:wordWrap/>
              <w:overflowPunct/>
              <w:topLinePunct w:val="0"/>
              <w:autoSpaceDE/>
              <w:autoSpaceDN/>
              <w:bidi w:val="0"/>
              <w:adjustRightInd/>
              <w:snapToGrid/>
              <w:spacing w:line="460" w:lineRule="exact"/>
              <w:ind w:left="420" w:leftChars="200"/>
              <w:jc w:val="center"/>
              <w:textAlignment w:val="auto"/>
              <w:rPr>
                <w:rFonts w:hint="default" w:ascii="Times New Roman" w:hAnsi="Times New Roman" w:eastAsia="黑体" w:cs="Times New Roman"/>
                <w:b w:val="0"/>
                <w:bCs/>
                <w:color w:val="000000" w:themeColor="text1"/>
                <w:sz w:val="32"/>
                <w:szCs w:val="32"/>
                <w14:textFill>
                  <w14:solidFill>
                    <w14:schemeClr w14:val="tx1"/>
                  </w14:solidFill>
                </w14:textFill>
              </w:rPr>
            </w:pPr>
            <w:r>
              <w:rPr>
                <w:rFonts w:hint="default" w:ascii="Times New Roman" w:hAnsi="Times New Roman" w:eastAsia="黑体" w:cs="Times New Roman"/>
                <w:b w:val="0"/>
                <w:bCs/>
                <w:color w:val="000000" w:themeColor="text1"/>
                <w:sz w:val="32"/>
                <w:szCs w:val="32"/>
                <w14:textFill>
                  <w14:solidFill>
                    <w14:schemeClr w14:val="tx1"/>
                  </w14:solidFill>
                </w14:textFill>
              </w:rPr>
              <w:t>专栏6：重点方向或重点项目</w:t>
            </w:r>
          </w:p>
          <w:p>
            <w:pPr>
              <w:pStyle w:val="39"/>
              <w:keepNext w:val="0"/>
              <w:keepLines w:val="0"/>
              <w:pageBreakBefore w:val="0"/>
              <w:widowControl w:val="0"/>
              <w:numPr>
                <w:ilvl w:val="0"/>
                <w:numId w:val="1"/>
              </w:numPr>
              <w:kinsoku/>
              <w:wordWrap/>
              <w:overflowPunct/>
              <w:topLinePunct w:val="0"/>
              <w:autoSpaceDE/>
              <w:autoSpaceDN/>
              <w:bidi w:val="0"/>
              <w:adjustRightInd/>
              <w:snapToGrid/>
              <w:spacing w:line="460" w:lineRule="exact"/>
              <w:ind w:firstLineChars="0"/>
              <w:textAlignment w:val="auto"/>
              <w:rPr>
                <w:rFonts w:hint="default" w:ascii="Times New Roman" w:hAnsi="Times New Roman" w:eastAsia="仿宋_GB2312" w:cs="Times New Roman"/>
                <w:color w:val="000000" w:themeColor="text1"/>
                <w:kern w:val="0"/>
                <w:sz w:val="28"/>
                <w:szCs w:val="28"/>
                <w:lang w:bidi="ar"/>
                <w14:textFill>
                  <w14:solidFill>
                    <w14:schemeClr w14:val="tx1"/>
                  </w14:solidFill>
                </w14:textFill>
              </w:rPr>
            </w:pPr>
            <w:r>
              <w:rPr>
                <w:rFonts w:hint="default" w:ascii="Times New Roman" w:hAnsi="Times New Roman" w:eastAsia="仿宋_GB2312" w:cs="Times New Roman"/>
                <w:color w:val="000000" w:themeColor="text1"/>
                <w:kern w:val="0"/>
                <w:sz w:val="28"/>
                <w:szCs w:val="28"/>
                <w:lang w:bidi="ar"/>
                <w14:textFill>
                  <w14:solidFill>
                    <w14:schemeClr w14:val="tx1"/>
                  </w14:solidFill>
                </w14:textFill>
              </w:rPr>
              <w:t>虹桥商业广场项目，总投资10亿元,主要建设内容：占地面积约300亩，建设集汽车交易、建材家居销售、文体娱乐设施等于一体的大型商业综合体。</w:t>
            </w:r>
          </w:p>
          <w:p>
            <w:pPr>
              <w:pStyle w:val="39"/>
              <w:keepNext w:val="0"/>
              <w:keepLines w:val="0"/>
              <w:pageBreakBefore w:val="0"/>
              <w:widowControl w:val="0"/>
              <w:numPr>
                <w:ilvl w:val="0"/>
                <w:numId w:val="1"/>
              </w:numPr>
              <w:kinsoku/>
              <w:wordWrap/>
              <w:overflowPunct/>
              <w:topLinePunct w:val="0"/>
              <w:autoSpaceDE/>
              <w:autoSpaceDN/>
              <w:bidi w:val="0"/>
              <w:adjustRightInd/>
              <w:snapToGrid/>
              <w:spacing w:line="460" w:lineRule="exact"/>
              <w:ind w:firstLineChars="0"/>
              <w:textAlignment w:val="auto"/>
              <w:rPr>
                <w:rFonts w:hint="default" w:ascii="Times New Roman" w:hAnsi="Times New Roman" w:eastAsia="仿宋_GB2312" w:cs="Times New Roman"/>
                <w:color w:val="000000" w:themeColor="text1"/>
                <w:kern w:val="0"/>
                <w:sz w:val="28"/>
                <w:szCs w:val="28"/>
                <w:lang w:bidi="ar"/>
                <w14:textFill>
                  <w14:solidFill>
                    <w14:schemeClr w14:val="tx1"/>
                  </w14:solidFill>
                </w14:textFill>
              </w:rPr>
            </w:pPr>
            <w:r>
              <w:rPr>
                <w:rFonts w:hint="default" w:ascii="Times New Roman" w:hAnsi="Times New Roman" w:eastAsia="仿宋_GB2312" w:cs="Times New Roman"/>
                <w:color w:val="000000" w:themeColor="text1"/>
                <w:kern w:val="0"/>
                <w:sz w:val="28"/>
                <w:szCs w:val="28"/>
                <w:lang w:bidi="ar"/>
                <w14:textFill>
                  <w14:solidFill>
                    <w14:schemeClr w14:val="tx1"/>
                  </w14:solidFill>
                </w14:textFill>
              </w:rPr>
              <w:t>闸河路商业综合体，总投资1.5亿元，主要建设内容：建筑面积约2.68万平方米，建设生鲜超市（标准化菜市场）、蔬菜副食品检疫检验中心、社区生活设施配套、商务酒店、餐饮、娱乐等项目。</w:t>
            </w:r>
          </w:p>
          <w:p>
            <w:pPr>
              <w:pStyle w:val="39"/>
              <w:keepNext w:val="0"/>
              <w:keepLines w:val="0"/>
              <w:pageBreakBefore w:val="0"/>
              <w:widowControl w:val="0"/>
              <w:numPr>
                <w:ilvl w:val="0"/>
                <w:numId w:val="1"/>
              </w:numPr>
              <w:kinsoku/>
              <w:wordWrap/>
              <w:overflowPunct/>
              <w:topLinePunct w:val="0"/>
              <w:autoSpaceDE/>
              <w:autoSpaceDN/>
              <w:bidi w:val="0"/>
              <w:adjustRightInd/>
              <w:snapToGrid/>
              <w:spacing w:line="460" w:lineRule="exact"/>
              <w:ind w:firstLineChars="0"/>
              <w:textAlignment w:val="auto"/>
              <w:rPr>
                <w:rFonts w:hint="default" w:ascii="Times New Roman" w:hAnsi="Times New Roman" w:eastAsia="仿宋_GB2312" w:cs="Times New Roman"/>
                <w:color w:val="000000" w:themeColor="text1"/>
                <w:kern w:val="0"/>
                <w:sz w:val="28"/>
                <w:szCs w:val="28"/>
                <w:lang w:bidi="ar"/>
                <w14:textFill>
                  <w14:solidFill>
                    <w14:schemeClr w14:val="tx1"/>
                  </w14:solidFill>
                </w14:textFill>
              </w:rPr>
            </w:pPr>
            <w:r>
              <w:rPr>
                <w:rFonts w:hint="default" w:ascii="Times New Roman" w:hAnsi="Times New Roman" w:eastAsia="仿宋_GB2312" w:cs="Times New Roman"/>
                <w:color w:val="000000" w:themeColor="text1"/>
                <w:kern w:val="0"/>
                <w:sz w:val="28"/>
                <w:szCs w:val="28"/>
                <w:lang w:bidi="ar"/>
                <w14:textFill>
                  <w14:solidFill>
                    <w14:schemeClr w14:val="tx1"/>
                  </w14:solidFill>
                </w14:textFill>
              </w:rPr>
              <w:t>二关路商贸综合体，总投资1亿元，主要建设内容：建筑面积约3万平方米，其中新型菜市场建筑面积约6千平方米。办公商铺及超市约1.2万平方米，休闲娱乐及酒店约5千平方米，地下建筑面积约7千平方米。</w:t>
            </w:r>
          </w:p>
          <w:p>
            <w:pPr>
              <w:pStyle w:val="39"/>
              <w:keepNext w:val="0"/>
              <w:keepLines w:val="0"/>
              <w:pageBreakBefore w:val="0"/>
              <w:widowControl w:val="0"/>
              <w:numPr>
                <w:ilvl w:val="0"/>
                <w:numId w:val="1"/>
              </w:numPr>
              <w:kinsoku/>
              <w:wordWrap/>
              <w:overflowPunct/>
              <w:topLinePunct w:val="0"/>
              <w:autoSpaceDE/>
              <w:autoSpaceDN/>
              <w:bidi w:val="0"/>
              <w:adjustRightInd/>
              <w:snapToGrid/>
              <w:spacing w:line="460" w:lineRule="exact"/>
              <w:ind w:firstLineChars="0"/>
              <w:textAlignment w:val="auto"/>
              <w:rPr>
                <w:rFonts w:hint="default" w:ascii="Times New Roman" w:hAnsi="Times New Roman" w:eastAsia="仿宋_GB2312" w:cs="Times New Roman"/>
                <w:color w:val="000000" w:themeColor="text1"/>
                <w:kern w:val="0"/>
                <w:sz w:val="28"/>
                <w:szCs w:val="28"/>
                <w:lang w:bidi="ar"/>
                <w14:textFill>
                  <w14:solidFill>
                    <w14:schemeClr w14:val="tx1"/>
                  </w14:solidFill>
                </w14:textFill>
              </w:rPr>
            </w:pPr>
            <w:r>
              <w:rPr>
                <w:rFonts w:hint="default" w:ascii="Times New Roman" w:hAnsi="Times New Roman" w:eastAsia="仿宋_GB2312" w:cs="Times New Roman"/>
                <w:color w:val="000000" w:themeColor="text1"/>
                <w:kern w:val="0"/>
                <w:sz w:val="28"/>
                <w:szCs w:val="28"/>
                <w:highlight w:val="none"/>
                <w14:textFill>
                  <w14:solidFill>
                    <w14:schemeClr w14:val="tx1"/>
                  </w14:solidFill>
                </w14:textFill>
              </w:rPr>
              <w:t>中瑞农产品批发市场项目，总投资</w:t>
            </w:r>
            <w:r>
              <w:rPr>
                <w:rFonts w:hint="eastAsia" w:eastAsia="仿宋_GB2312" w:cs="Times New Roman"/>
                <w:color w:val="000000" w:themeColor="text1"/>
                <w:kern w:val="0"/>
                <w:sz w:val="28"/>
                <w:szCs w:val="28"/>
                <w:highlight w:val="none"/>
                <w:lang w:val="en-US" w:eastAsia="zh-CN"/>
                <w14:textFill>
                  <w14:solidFill>
                    <w14:schemeClr w14:val="tx1"/>
                  </w14:solidFill>
                </w14:textFill>
              </w:rPr>
              <w:t>4</w:t>
            </w:r>
            <w:r>
              <w:rPr>
                <w:rFonts w:hint="default" w:ascii="Times New Roman" w:hAnsi="Times New Roman" w:eastAsia="仿宋_GB2312" w:cs="Times New Roman"/>
                <w:color w:val="000000" w:themeColor="text1"/>
                <w:kern w:val="0"/>
                <w:sz w:val="28"/>
                <w:szCs w:val="28"/>
                <w:highlight w:val="none"/>
                <w14:textFill>
                  <w14:solidFill>
                    <w14:schemeClr w14:val="tx1"/>
                  </w14:solidFill>
                </w14:textFill>
              </w:rPr>
              <w:t>亿元，主要建设内容：建设农副产品9大交易区，以及配套仓储物流、加工配送、检测检疫等服务中心，开展农副产品批发零售、电子商务、生鲜配送等业务。</w:t>
            </w:r>
          </w:p>
          <w:p>
            <w:pPr>
              <w:pStyle w:val="39"/>
              <w:keepNext w:val="0"/>
              <w:keepLines w:val="0"/>
              <w:pageBreakBefore w:val="0"/>
              <w:widowControl w:val="0"/>
              <w:numPr>
                <w:ilvl w:val="0"/>
                <w:numId w:val="1"/>
              </w:numPr>
              <w:kinsoku/>
              <w:wordWrap/>
              <w:overflowPunct/>
              <w:topLinePunct w:val="0"/>
              <w:autoSpaceDE/>
              <w:autoSpaceDN/>
              <w:bidi w:val="0"/>
              <w:adjustRightInd/>
              <w:snapToGrid/>
              <w:spacing w:line="460" w:lineRule="exact"/>
              <w:ind w:firstLineChars="0"/>
              <w:textAlignment w:val="auto"/>
              <w:rPr>
                <w:rFonts w:hint="default" w:ascii="Times New Roman" w:hAnsi="Times New Roman" w:eastAsia="仿宋_GB2312" w:cs="Times New Roman"/>
                <w:color w:val="000000" w:themeColor="text1"/>
                <w:kern w:val="0"/>
                <w:sz w:val="28"/>
                <w:szCs w:val="28"/>
                <w:lang w:bidi="ar"/>
                <w14:textFill>
                  <w14:solidFill>
                    <w14:schemeClr w14:val="tx1"/>
                  </w14:solidFill>
                </w14:textFill>
              </w:rPr>
            </w:pPr>
            <w:r>
              <w:rPr>
                <w:rFonts w:hint="default" w:ascii="Times New Roman" w:hAnsi="Times New Roman" w:eastAsia="仿宋_GB2312" w:cs="Times New Roman"/>
                <w:color w:val="000000" w:themeColor="text1"/>
                <w:kern w:val="0"/>
                <w:sz w:val="28"/>
                <w:szCs w:val="28"/>
                <w:lang w:bidi="ar"/>
                <w14:textFill>
                  <w14:solidFill>
                    <w14:schemeClr w14:val="tx1"/>
                  </w14:solidFill>
                </w14:textFill>
              </w:rPr>
              <w:t>河西区城市综合体项目，总投资35亿元，主要建设内容：规划用地110亩，建设新型购物中心、社区生活服务、商务酒店、娱乐、餐饮、特色文化商业街（濉溪历史文化街区）、商务办公、商务公寓等。</w:t>
            </w:r>
          </w:p>
          <w:p>
            <w:pPr>
              <w:pStyle w:val="39"/>
              <w:keepNext w:val="0"/>
              <w:keepLines w:val="0"/>
              <w:pageBreakBefore w:val="0"/>
              <w:widowControl w:val="0"/>
              <w:numPr>
                <w:ilvl w:val="0"/>
                <w:numId w:val="1"/>
              </w:numPr>
              <w:kinsoku/>
              <w:wordWrap/>
              <w:overflowPunct/>
              <w:topLinePunct w:val="0"/>
              <w:autoSpaceDE/>
              <w:autoSpaceDN/>
              <w:bidi w:val="0"/>
              <w:adjustRightInd/>
              <w:snapToGrid/>
              <w:spacing w:line="460" w:lineRule="exact"/>
              <w:ind w:firstLineChars="0"/>
              <w:textAlignment w:val="auto"/>
              <w:rPr>
                <w:rFonts w:hint="default" w:ascii="Times New Roman" w:hAnsi="Times New Roman" w:eastAsia="仿宋_GB2312" w:cs="Times New Roman"/>
                <w:color w:val="000000" w:themeColor="text1"/>
                <w:kern w:val="0"/>
                <w:sz w:val="28"/>
                <w:szCs w:val="28"/>
                <w:lang w:bidi="ar"/>
                <w14:textFill>
                  <w14:solidFill>
                    <w14:schemeClr w14:val="tx1"/>
                  </w14:solidFill>
                </w14:textFill>
              </w:rPr>
            </w:pPr>
            <w:r>
              <w:rPr>
                <w:rFonts w:hint="default" w:ascii="Times New Roman" w:hAnsi="Times New Roman" w:eastAsia="仿宋_GB2312" w:cs="Times New Roman"/>
                <w:color w:val="000000" w:themeColor="text1"/>
                <w:kern w:val="0"/>
                <w:sz w:val="28"/>
                <w:szCs w:val="28"/>
                <w:lang w:bidi="ar"/>
                <w14:textFill>
                  <w14:solidFill>
                    <w14:schemeClr w14:val="tx1"/>
                  </w14:solidFill>
                </w14:textFill>
              </w:rPr>
              <w:t>韩村镇商业综合体建设项目，总投资0.38亿元，主要建设内容：占地面积12561平方米，约合18.83亩，对原韩建金朋酒店维修改造，总建筑面积18900平方米。</w:t>
            </w:r>
          </w:p>
          <w:p>
            <w:pPr>
              <w:pStyle w:val="39"/>
              <w:keepNext w:val="0"/>
              <w:keepLines w:val="0"/>
              <w:pageBreakBefore w:val="0"/>
              <w:widowControl w:val="0"/>
              <w:numPr>
                <w:ilvl w:val="0"/>
                <w:numId w:val="1"/>
              </w:numPr>
              <w:kinsoku/>
              <w:wordWrap/>
              <w:overflowPunct/>
              <w:topLinePunct w:val="0"/>
              <w:autoSpaceDE/>
              <w:autoSpaceDN/>
              <w:bidi w:val="0"/>
              <w:adjustRightInd/>
              <w:snapToGrid/>
              <w:spacing w:line="460" w:lineRule="exact"/>
              <w:ind w:firstLineChars="0"/>
              <w:textAlignment w:val="auto"/>
              <w:rPr>
                <w:rFonts w:hint="default" w:ascii="Times New Roman" w:hAnsi="Times New Roman" w:eastAsia="仿宋_GB2312" w:cs="Times New Roman"/>
                <w:color w:val="000000" w:themeColor="text1"/>
                <w:kern w:val="0"/>
                <w:sz w:val="28"/>
                <w:szCs w:val="28"/>
                <w:lang w:bidi="ar"/>
                <w14:textFill>
                  <w14:solidFill>
                    <w14:schemeClr w14:val="tx1"/>
                  </w14:solidFill>
                </w14:textFill>
              </w:rPr>
            </w:pPr>
            <w:r>
              <w:rPr>
                <w:rFonts w:hint="default" w:ascii="Times New Roman" w:hAnsi="Times New Roman" w:eastAsia="仿宋_GB2312" w:cs="Times New Roman"/>
                <w:color w:val="000000" w:themeColor="text1"/>
                <w:kern w:val="0"/>
                <w:sz w:val="28"/>
                <w:szCs w:val="28"/>
                <w:lang w:bidi="ar"/>
                <w14:textFill>
                  <w14:solidFill>
                    <w14:schemeClr w14:val="tx1"/>
                  </w14:solidFill>
                </w14:textFill>
              </w:rPr>
              <w:t>南坪镇商业消费集聚区建设项目，总投资2亿元，主要建设内容：特色美食街、城镇商业步行街、商业综合体、社区便民商业圈、农贸商城等便民商业圈及其互联互通配套基础设施建设。</w:t>
            </w:r>
          </w:p>
          <w:p>
            <w:pPr>
              <w:pStyle w:val="39"/>
              <w:keepNext w:val="0"/>
              <w:keepLines w:val="0"/>
              <w:pageBreakBefore w:val="0"/>
              <w:widowControl w:val="0"/>
              <w:numPr>
                <w:ilvl w:val="0"/>
                <w:numId w:val="1"/>
              </w:numPr>
              <w:kinsoku/>
              <w:wordWrap/>
              <w:overflowPunct/>
              <w:topLinePunct w:val="0"/>
              <w:autoSpaceDE/>
              <w:autoSpaceDN/>
              <w:bidi w:val="0"/>
              <w:adjustRightInd/>
              <w:snapToGrid/>
              <w:spacing w:line="460" w:lineRule="exact"/>
              <w:ind w:firstLineChars="0"/>
              <w:textAlignment w:val="auto"/>
              <w:rPr>
                <w:rFonts w:hint="default" w:ascii="Times New Roman" w:hAnsi="Times New Roman" w:eastAsia="仿宋_GB2312" w:cs="Times New Roman"/>
                <w:color w:val="000000" w:themeColor="text1"/>
                <w:kern w:val="0"/>
                <w:sz w:val="28"/>
                <w:szCs w:val="28"/>
                <w:lang w:bidi="ar"/>
                <w14:textFill>
                  <w14:solidFill>
                    <w14:schemeClr w14:val="tx1"/>
                  </w14:solidFill>
                </w14:textFill>
              </w:rPr>
            </w:pPr>
            <w:r>
              <w:rPr>
                <w:rFonts w:hint="default" w:ascii="Times New Roman" w:hAnsi="Times New Roman" w:eastAsia="仿宋_GB2312" w:cs="Times New Roman"/>
                <w:color w:val="000000" w:themeColor="text1"/>
                <w:kern w:val="0"/>
                <w:sz w:val="28"/>
                <w:szCs w:val="28"/>
                <w:lang w:bidi="ar"/>
                <w14:textFill>
                  <w14:solidFill>
                    <w14:schemeClr w14:val="tx1"/>
                  </w14:solidFill>
                </w14:textFill>
              </w:rPr>
              <w:t>铁佛综合商贸服务一体化建设项目，总投资0.6亿元，主要建设内容：项目建筑面积约10000平方米。</w:t>
            </w:r>
          </w:p>
          <w:p>
            <w:pPr>
              <w:pStyle w:val="39"/>
              <w:keepNext w:val="0"/>
              <w:keepLines w:val="0"/>
              <w:pageBreakBefore w:val="0"/>
              <w:widowControl w:val="0"/>
              <w:numPr>
                <w:ilvl w:val="0"/>
                <w:numId w:val="1"/>
              </w:numPr>
              <w:kinsoku/>
              <w:wordWrap/>
              <w:overflowPunct/>
              <w:topLinePunct w:val="0"/>
              <w:autoSpaceDE/>
              <w:autoSpaceDN/>
              <w:bidi w:val="0"/>
              <w:adjustRightInd/>
              <w:snapToGrid/>
              <w:spacing w:line="460" w:lineRule="exact"/>
              <w:ind w:firstLineChars="0"/>
              <w:textAlignment w:val="auto"/>
              <w:rPr>
                <w:rFonts w:hint="default" w:ascii="Times New Roman" w:hAnsi="Times New Roman" w:eastAsia="仿宋_GB2312" w:cs="Times New Roman"/>
                <w:color w:val="000000" w:themeColor="text1"/>
                <w:kern w:val="0"/>
                <w:sz w:val="28"/>
                <w:szCs w:val="28"/>
                <w:lang w:bidi="ar"/>
                <w14:textFill>
                  <w14:solidFill>
                    <w14:schemeClr w14:val="tx1"/>
                  </w14:solidFill>
                </w14:textFill>
              </w:rPr>
            </w:pPr>
            <w:r>
              <w:rPr>
                <w:rFonts w:hint="default" w:ascii="Times New Roman" w:hAnsi="Times New Roman" w:eastAsia="仿宋_GB2312" w:cs="Times New Roman"/>
                <w:color w:val="000000" w:themeColor="text1"/>
                <w:kern w:val="0"/>
                <w:sz w:val="28"/>
                <w:szCs w:val="28"/>
                <w:lang w:bidi="ar"/>
                <w14:textFill>
                  <w14:solidFill>
                    <w14:schemeClr w14:val="tx1"/>
                  </w14:solidFill>
                </w14:textFill>
              </w:rPr>
              <w:t>五沟镇综合商贸服务一体化建设项目，总投资0.35亿元，主要建设内容：打造全新的商业综合体，构筑新商业业态，项目建筑面积约5000平方米。</w:t>
            </w:r>
          </w:p>
          <w:p>
            <w:pPr>
              <w:pStyle w:val="39"/>
              <w:keepNext w:val="0"/>
              <w:keepLines w:val="0"/>
              <w:pageBreakBefore w:val="0"/>
              <w:widowControl w:val="0"/>
              <w:numPr>
                <w:ilvl w:val="0"/>
                <w:numId w:val="1"/>
              </w:numPr>
              <w:kinsoku/>
              <w:wordWrap/>
              <w:overflowPunct/>
              <w:topLinePunct w:val="0"/>
              <w:autoSpaceDE/>
              <w:autoSpaceDN/>
              <w:bidi w:val="0"/>
              <w:adjustRightInd/>
              <w:snapToGrid/>
              <w:spacing w:line="460" w:lineRule="exact"/>
              <w:ind w:firstLineChars="0"/>
              <w:textAlignment w:val="auto"/>
              <w:rPr>
                <w:rFonts w:hint="default" w:ascii="Times New Roman" w:hAnsi="Times New Roman" w:eastAsia="仿宋_GB2312" w:cs="Times New Roman"/>
                <w:color w:val="000000" w:themeColor="text1"/>
                <w:kern w:val="0"/>
                <w:sz w:val="28"/>
                <w:szCs w:val="28"/>
                <w:highlight w:val="none"/>
                <w:lang w:bidi="ar"/>
                <w14:textFill>
                  <w14:solidFill>
                    <w14:schemeClr w14:val="tx1"/>
                  </w14:solidFill>
                </w14:textFill>
              </w:rPr>
            </w:pPr>
            <w:r>
              <w:rPr>
                <w:rFonts w:hint="default" w:ascii="Times New Roman" w:hAnsi="Times New Roman" w:eastAsia="仿宋_GB2312" w:cs="Times New Roman"/>
                <w:color w:val="000000" w:themeColor="text1"/>
                <w:kern w:val="0"/>
                <w:sz w:val="28"/>
                <w:szCs w:val="28"/>
                <w:highlight w:val="none"/>
                <w14:textFill>
                  <w14:solidFill>
                    <w14:schemeClr w14:val="tx1"/>
                  </w14:solidFill>
                </w14:textFill>
              </w:rPr>
              <w:t>四铺镇菊花产业园建设项目，总投资4.07亿元，主要建设内容：建设1.5公里菊花大道、400亩花卉展览交易温室区、100亩菊花花海及观景台、菊花文化广场；配套建设生态停车场、生态公共厕所；完善道路、水利等基础设施。（1）生产、服务基础设施(道路、水利、电力、绿化亮化、厕所、停车场和入口设计等)；（2）标准化温室生产大棚；（3）科研及技术展示中心、花海游览区等；（4）菊花、半夏等新品种引种示范园区；（5）菊花加工厂和电子商务平台</w:t>
            </w:r>
          </w:p>
          <w:p>
            <w:pPr>
              <w:pStyle w:val="39"/>
              <w:keepNext w:val="0"/>
              <w:keepLines w:val="0"/>
              <w:pageBreakBefore w:val="0"/>
              <w:widowControl w:val="0"/>
              <w:numPr>
                <w:ilvl w:val="0"/>
                <w:numId w:val="1"/>
              </w:numPr>
              <w:kinsoku/>
              <w:wordWrap/>
              <w:overflowPunct/>
              <w:topLinePunct w:val="0"/>
              <w:autoSpaceDE/>
              <w:autoSpaceDN/>
              <w:bidi w:val="0"/>
              <w:adjustRightInd/>
              <w:snapToGrid/>
              <w:spacing w:line="460" w:lineRule="exact"/>
              <w:ind w:firstLineChars="0"/>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kern w:val="0"/>
                <w:sz w:val="28"/>
                <w:szCs w:val="28"/>
                <w:lang w:bidi="ar"/>
                <w14:textFill>
                  <w14:solidFill>
                    <w14:schemeClr w14:val="tx1"/>
                  </w14:solidFill>
                </w14:textFill>
              </w:rPr>
              <w:t>濉溪县汽车文化产业园项目，总投资5亿元，主要建设内容：建设面积20000平方米现代汽车文化产业园。</w:t>
            </w:r>
          </w:p>
        </w:tc>
      </w:tr>
    </w:tbl>
    <w:p>
      <w:pPr>
        <w:pStyle w:val="5"/>
        <w:keepNext w:val="0"/>
        <w:keepLines w:val="0"/>
        <w:spacing w:before="0" w:after="0" w:line="590" w:lineRule="exact"/>
        <w:ind w:firstLine="643" w:firstLineChars="200"/>
        <w:rPr>
          <w:rFonts w:hint="default" w:ascii="Times New Roman" w:hAnsi="Times New Roman" w:eastAsia="楷体_GB2312" w:cs="Times New Roman"/>
          <w:color w:val="000000" w:themeColor="text1"/>
          <w14:textFill>
            <w14:solidFill>
              <w14:schemeClr w14:val="tx1"/>
            </w14:solidFill>
          </w14:textFill>
        </w:rPr>
      </w:pPr>
      <w:bookmarkStart w:id="110" w:name="_Toc83296402"/>
      <w:bookmarkStart w:id="111" w:name="_Toc10958"/>
      <w:bookmarkStart w:id="112" w:name="_Toc11142"/>
      <w:r>
        <w:rPr>
          <w:rFonts w:hint="default" w:ascii="Times New Roman" w:hAnsi="Times New Roman" w:eastAsia="楷体_GB2312" w:cs="Times New Roman"/>
          <w:color w:val="000000" w:themeColor="text1"/>
          <w14:textFill>
            <w14:solidFill>
              <w14:schemeClr w14:val="tx1"/>
            </w14:solidFill>
          </w14:textFill>
        </w:rPr>
        <w:t>（三）积极发展健康养老业</w:t>
      </w:r>
      <w:bookmarkEnd w:id="110"/>
      <w:bookmarkEnd w:id="111"/>
      <w:bookmarkEnd w:id="112"/>
    </w:p>
    <w:p>
      <w:pPr>
        <w:spacing w:line="560" w:lineRule="exact"/>
        <w:ind w:firstLine="640" w:firstLineChars="200"/>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以人民为中心，发展“银发经济”，构建“居家社区机构相协调，医养康养相结合”养老服务体系。</w:t>
      </w:r>
      <w:r>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t>贯彻落实省市医改决策部署，进一步</w:t>
      </w:r>
      <w:r>
        <w:rPr>
          <w:rFonts w:hint="default" w:ascii="Times New Roman" w:hAnsi="Times New Roman" w:eastAsia="仿宋_GB2312" w:cs="Times New Roman"/>
          <w:color w:val="000000" w:themeColor="text1"/>
          <w:sz w:val="32"/>
          <w:szCs w:val="32"/>
          <w14:textFill>
            <w14:solidFill>
              <w14:schemeClr w14:val="tx1"/>
            </w14:solidFill>
          </w14:textFill>
        </w:rPr>
        <w:t>优化医疗资源配置，完善覆盖城乡的卫生服务体系。推进医疗机构与养老机构深度融合发展，鼓励通过建设医疗养老联合体等多种方式，提供治疗期住院、康复期护理、稳定期生活照料以及临终关怀一体化的健康和养老服务。增强医疗机构为老年人提供便捷、优先优惠医疗服务的能力。积极推进养老机构开展医疗服务。鼓励社会资本举办养老机构或医养结合机构。</w:t>
      </w:r>
      <w:r>
        <w:rPr>
          <w:rFonts w:hint="default" w:ascii="Times New Roman" w:hAnsi="Times New Roman" w:eastAsia="仿宋_GB2312" w:cs="Times New Roman"/>
          <w:bCs/>
          <w:color w:val="000000" w:themeColor="text1"/>
          <w:sz w:val="32"/>
          <w:szCs w:val="32"/>
          <w14:textFill>
            <w14:solidFill>
              <w14:schemeClr w14:val="tx1"/>
            </w14:solidFill>
          </w14:textFill>
        </w:rPr>
        <w:t>推进居家社区健康养老服务发展，</w:t>
      </w:r>
      <w:r>
        <w:rPr>
          <w:rFonts w:hint="default" w:ascii="Times New Roman" w:hAnsi="Times New Roman" w:eastAsia="仿宋_GB2312" w:cs="Times New Roman"/>
          <w:color w:val="000000" w:themeColor="text1"/>
          <w:sz w:val="32"/>
          <w:szCs w:val="32"/>
          <w14:textFill>
            <w14:solidFill>
              <w14:schemeClr w14:val="tx1"/>
            </w14:solidFill>
          </w14:textFill>
        </w:rPr>
        <w:t>依托“15分钟就医圈”和县域医共体建设、智医助理等建设，围绕社区卫生服务中心、镇卫生院等实施健康养老基本公共卫生服务项目，推进卫生服务机构为老年人提供日常护理、慢性病管理、康复、健康教育和咨询、中医养生保健等服务，建立健全健康管理服务制度，加强老年人健康档案信息动态管理。</w:t>
      </w:r>
      <w:r>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t>发挥政府“保基本”的作用，全面放开养老育幼服务市场，</w:t>
      </w:r>
      <w:r>
        <w:rPr>
          <w:rFonts w:hint="default" w:ascii="Times New Roman" w:hAnsi="Times New Roman" w:eastAsia="仿宋_GB2312" w:cs="Times New Roman"/>
          <w:color w:val="000000" w:themeColor="text1"/>
          <w:sz w:val="32"/>
          <w:szCs w:val="32"/>
          <w14:textFill>
            <w14:solidFill>
              <w14:schemeClr w14:val="tx1"/>
            </w14:solidFill>
          </w14:textFill>
        </w:rPr>
        <w:t>支持社会资本参与居家养老、社区综合服务、集中养老等养老服务产业，</w:t>
      </w:r>
      <w:r>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t>逐步使社会力量成为发展养老服务业的主体。运用新一代信息技术，积极发展智慧健康养老，培育“智慧+”养老新模式、新业态、新应用，发展养老科技、产品研发与装备产业，打造一批各具特色的养老服务龙头企业。积极开发安全有效的休闲养生食品、功能性保健食品，康复辅具、日常照护等老年人用品用具和服务产品，</w:t>
      </w:r>
      <w:r>
        <w:rPr>
          <w:rFonts w:hint="default" w:ascii="Times New Roman" w:hAnsi="Times New Roman" w:eastAsia="仿宋_GB2312" w:cs="Times New Roman"/>
          <w:color w:val="000000" w:themeColor="text1"/>
          <w:sz w:val="32"/>
          <w:szCs w:val="32"/>
          <w14:textFill>
            <w14:solidFill>
              <w14:schemeClr w14:val="tx1"/>
            </w14:solidFill>
          </w14:textFill>
        </w:rPr>
        <w:t>重点围绕增强免疫功能、营养素补充、缓解体力疲劳、辅助降血脂等功能类型开发新一代功能</w:t>
      </w:r>
      <w:r>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t>性</w:t>
      </w:r>
      <w:r>
        <w:rPr>
          <w:rFonts w:hint="default" w:ascii="Times New Roman" w:hAnsi="Times New Roman" w:eastAsia="仿宋_GB2312" w:cs="Times New Roman"/>
          <w:color w:val="000000" w:themeColor="text1"/>
          <w:sz w:val="32"/>
          <w:szCs w:val="32"/>
          <w14:textFill>
            <w14:solidFill>
              <w14:schemeClr w14:val="tx1"/>
            </w14:solidFill>
          </w14:textFill>
        </w:rPr>
        <w:t>保健食品。实施食品、药品安全战</w:t>
      </w:r>
      <w:r>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t>略，加大农村食品药品安全治理力度，完善对网络销售食品、药品的监管。培育发展适老化的养老地产，完善老旧小区养老设施建设，新建小区按规定建设养老设施。鼓励商业保险公司积极开发长期护理商业险以及与健康管理、养老等服务相关的商业健康保险产品。提升中医健康服务能力，推动医疗机构开展中医医疗预防保健</w:t>
      </w:r>
      <w:r>
        <w:rPr>
          <w:rFonts w:hint="default" w:ascii="Times New Roman" w:hAnsi="Times New Roman" w:eastAsia="仿宋_GB2312" w:cs="Times New Roman"/>
          <w:color w:val="000000" w:themeColor="text1"/>
          <w:sz w:val="32"/>
          <w:szCs w:val="32"/>
          <w14:textFill>
            <w14:solidFill>
              <w14:schemeClr w14:val="tx1"/>
            </w14:solidFill>
          </w14:textFill>
        </w:rPr>
        <w:t>服务，</w:t>
      </w:r>
      <w:r>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t>发展健康体检、咨询等健康服务。支持整合医疗资源、中医药等特色养生保健资源、绿色生态旅游资源，发展养生、体育和医疗健康旅游。支持数字化健康养老服务产品研发，打造一批医养结合数据服务中心、产品用品研发中心，推进健康服务信息化。支持开展养老服务人员培训，加快建设素质优良的专业队伍。优化财政支持养老服务业发展的支出结构，相关资金更多用于支持社区养老服务。争创省级医养结合综合示范区、医养结合示范基地（园区）、医养结合示范项目、社区医养结合示范中心。力争到“十四五”末，</w:t>
      </w:r>
      <w:r>
        <w:rPr>
          <w:rFonts w:hint="default" w:ascii="Times New Roman" w:hAnsi="Times New Roman" w:eastAsia="仿宋_GB2312" w:cs="Times New Roman"/>
          <w:color w:val="000000" w:themeColor="text1"/>
          <w:sz w:val="32"/>
          <w:szCs w:val="32"/>
          <w14:textFill>
            <w14:solidFill>
              <w14:schemeClr w14:val="tx1"/>
            </w14:solidFill>
          </w14:textFill>
        </w:rPr>
        <w:t>全县养老机构护理型床位比例不低于55%，每千人口拥有0-3岁婴幼儿托位数0.4个，</w:t>
      </w:r>
      <w:r>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t>实现全县养老院和幼儿园服务覆盖到每个行政村</w:t>
      </w:r>
      <w:r>
        <w:rPr>
          <w:rFonts w:hint="default" w:ascii="Times New Roman" w:hAnsi="Times New Roman" w:eastAsia="仿宋_GB2312" w:cs="Times New Roman"/>
          <w:color w:val="000000" w:themeColor="text1"/>
          <w:sz w:val="32"/>
          <w:szCs w:val="32"/>
          <w14:textFill>
            <w14:solidFill>
              <w14:schemeClr w14:val="tx1"/>
            </w14:solidFill>
          </w14:textFill>
        </w:rPr>
        <w:t>。</w:t>
      </w:r>
    </w:p>
    <w:tbl>
      <w:tblPr>
        <w:tblStyle w:val="23"/>
        <w:tblW w:w="883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839" w:type="dxa"/>
          </w:tcPr>
          <w:p>
            <w:pPr>
              <w:pStyle w:val="39"/>
              <w:keepNext w:val="0"/>
              <w:keepLines w:val="0"/>
              <w:pageBreakBefore w:val="0"/>
              <w:widowControl w:val="0"/>
              <w:numPr>
                <w:ilvl w:val="0"/>
                <w:numId w:val="0"/>
              </w:numPr>
              <w:kinsoku/>
              <w:wordWrap/>
              <w:overflowPunct/>
              <w:topLinePunct w:val="0"/>
              <w:autoSpaceDE/>
              <w:autoSpaceDN/>
              <w:bidi w:val="0"/>
              <w:adjustRightInd/>
              <w:snapToGrid/>
              <w:spacing w:line="460" w:lineRule="exact"/>
              <w:jc w:val="center"/>
              <w:textAlignment w:val="auto"/>
              <w:rPr>
                <w:rFonts w:hint="default" w:ascii="Times New Roman" w:hAnsi="Times New Roman" w:eastAsia="黑体" w:cs="Times New Roman"/>
                <w:b w:val="0"/>
                <w:bCs/>
                <w:color w:val="000000" w:themeColor="text1"/>
                <w:sz w:val="32"/>
                <w:szCs w:val="32"/>
                <w14:textFill>
                  <w14:solidFill>
                    <w14:schemeClr w14:val="tx1"/>
                  </w14:solidFill>
                </w14:textFill>
              </w:rPr>
            </w:pPr>
            <w:r>
              <w:rPr>
                <w:rFonts w:hint="default" w:ascii="Times New Roman" w:hAnsi="Times New Roman" w:eastAsia="黑体" w:cs="Times New Roman"/>
                <w:b w:val="0"/>
                <w:bCs/>
                <w:color w:val="000000" w:themeColor="text1"/>
                <w:sz w:val="32"/>
                <w:szCs w:val="32"/>
                <w14:textFill>
                  <w14:solidFill>
                    <w14:schemeClr w14:val="tx1"/>
                  </w14:solidFill>
                </w14:textFill>
              </w:rPr>
              <w:t>专栏7：重点方向或重点项目</w:t>
            </w:r>
          </w:p>
          <w:p>
            <w:pPr>
              <w:pStyle w:val="39"/>
              <w:keepNext w:val="0"/>
              <w:keepLines w:val="0"/>
              <w:pageBreakBefore w:val="0"/>
              <w:widowControl w:val="0"/>
              <w:numPr>
                <w:ilvl w:val="0"/>
                <w:numId w:val="2"/>
              </w:numPr>
              <w:kinsoku/>
              <w:wordWrap/>
              <w:overflowPunct/>
              <w:topLinePunct w:val="0"/>
              <w:autoSpaceDE/>
              <w:autoSpaceDN/>
              <w:bidi w:val="0"/>
              <w:adjustRightInd/>
              <w:snapToGrid/>
              <w:spacing w:line="460" w:lineRule="exact"/>
              <w:ind w:left="420" w:firstLineChars="0"/>
              <w:textAlignment w:val="auto"/>
              <w:rPr>
                <w:rFonts w:hint="default" w:ascii="Times New Roman" w:hAnsi="Times New Roman" w:eastAsia="仿宋_GB2312" w:cs="Times New Roman"/>
                <w:color w:val="000000" w:themeColor="text1"/>
                <w:kern w:val="0"/>
                <w:sz w:val="28"/>
                <w:szCs w:val="28"/>
                <w14:textFill>
                  <w14:solidFill>
                    <w14:schemeClr w14:val="tx1"/>
                  </w14:solidFill>
                </w14:textFill>
              </w:rPr>
            </w:pPr>
            <w:r>
              <w:rPr>
                <w:rFonts w:hint="default" w:ascii="Times New Roman" w:hAnsi="Times New Roman" w:eastAsia="仿宋_GB2312" w:cs="Times New Roman"/>
                <w:color w:val="000000" w:themeColor="text1"/>
                <w:kern w:val="0"/>
                <w:sz w:val="28"/>
                <w:szCs w:val="28"/>
                <w:lang w:bidi="ar"/>
                <w14:textFill>
                  <w14:solidFill>
                    <w14:schemeClr w14:val="tx1"/>
                  </w14:solidFill>
                </w14:textFill>
              </w:rPr>
              <w:t>淮北银华康养综合服务中心一期、二期项目</w:t>
            </w:r>
            <w:r>
              <w:rPr>
                <w:rFonts w:hint="default" w:ascii="Times New Roman" w:hAnsi="Times New Roman" w:eastAsia="仿宋_GB2312" w:cs="Times New Roman"/>
                <w:color w:val="000000" w:themeColor="text1"/>
                <w:kern w:val="0"/>
                <w:sz w:val="28"/>
                <w:szCs w:val="28"/>
                <w14:textFill>
                  <w14:solidFill>
                    <w14:schemeClr w14:val="tx1"/>
                  </w14:solidFill>
                </w14:textFill>
              </w:rPr>
              <w:t>，总投资9.5亿元，主要建设内容：</w:t>
            </w:r>
            <w:r>
              <w:rPr>
                <w:rFonts w:hint="default" w:ascii="Times New Roman" w:hAnsi="Times New Roman" w:eastAsia="仿宋_GB2312" w:cs="Times New Roman"/>
                <w:color w:val="000000" w:themeColor="text1"/>
                <w:kern w:val="0"/>
                <w:sz w:val="28"/>
                <w:szCs w:val="28"/>
                <w:lang w:bidi="ar"/>
                <w14:textFill>
                  <w14:solidFill>
                    <w14:schemeClr w14:val="tx1"/>
                  </w14:solidFill>
                </w14:textFill>
              </w:rPr>
              <w:t>一期项目总规划用地64,334.81平方米（约合96.50亩），总建筑面积153,555.35平方米，其中地上包括康复医院、养老公寓，地下建筑主要为地下停车库，绿地，以及电气工程、给排水工程、消防工程、暖通工程等基础设施；二期为一期的配套设施建设，项目总规划用地66,447.89平方米（约合99.67亩），总建筑面积63,117.01平方米，其中地上包括配套服务楼、文化中心、休闲中心、接待中心、幼儿园、中小学校等，地下主要为地下停车库，绿地，以及电气工程、给排水工程、消防工程、暖通工程等基础设施</w:t>
            </w:r>
            <w:r>
              <w:rPr>
                <w:rFonts w:hint="default" w:ascii="Times New Roman" w:hAnsi="Times New Roman" w:eastAsia="仿宋_GB2312" w:cs="Times New Roman"/>
                <w:color w:val="000000" w:themeColor="text1"/>
                <w:kern w:val="0"/>
                <w:sz w:val="28"/>
                <w:szCs w:val="28"/>
                <w14:textFill>
                  <w14:solidFill>
                    <w14:schemeClr w14:val="tx1"/>
                  </w14:solidFill>
                </w14:textFill>
              </w:rPr>
              <w:t>。</w:t>
            </w:r>
          </w:p>
          <w:p>
            <w:pPr>
              <w:pStyle w:val="39"/>
              <w:keepNext w:val="0"/>
              <w:keepLines w:val="0"/>
              <w:pageBreakBefore w:val="0"/>
              <w:widowControl w:val="0"/>
              <w:numPr>
                <w:ilvl w:val="0"/>
                <w:numId w:val="2"/>
              </w:numPr>
              <w:kinsoku/>
              <w:wordWrap/>
              <w:overflowPunct/>
              <w:topLinePunct w:val="0"/>
              <w:autoSpaceDE/>
              <w:autoSpaceDN/>
              <w:bidi w:val="0"/>
              <w:adjustRightInd/>
              <w:snapToGrid/>
              <w:spacing w:line="460" w:lineRule="exact"/>
              <w:ind w:left="420" w:firstLineChars="0"/>
              <w:textAlignment w:val="auto"/>
              <w:rPr>
                <w:rFonts w:hint="default" w:ascii="Times New Roman" w:hAnsi="Times New Roman" w:eastAsia="仿宋_GB2312" w:cs="Times New Roman"/>
                <w:color w:val="000000" w:themeColor="text1"/>
                <w:kern w:val="0"/>
                <w:sz w:val="28"/>
                <w:szCs w:val="28"/>
                <w14:textFill>
                  <w14:solidFill>
                    <w14:schemeClr w14:val="tx1"/>
                  </w14:solidFill>
                </w14:textFill>
              </w:rPr>
            </w:pPr>
            <w:r>
              <w:rPr>
                <w:rFonts w:hint="default" w:ascii="Times New Roman" w:hAnsi="Times New Roman" w:eastAsia="仿宋_GB2312" w:cs="Times New Roman"/>
                <w:color w:val="000000" w:themeColor="text1"/>
                <w:kern w:val="0"/>
                <w:sz w:val="28"/>
                <w:szCs w:val="28"/>
                <w14:textFill>
                  <w14:solidFill>
                    <w14:schemeClr w14:val="tx1"/>
                  </w14:solidFill>
                </w14:textFill>
              </w:rPr>
              <w:t>濉溪县乡村医养结合项目，总投资3.75亿元，主要建设内容：总改扩建建筑面积约9.15万平方米，新增医疗设备约239台、套，以及信息化建设。</w:t>
            </w:r>
          </w:p>
          <w:p>
            <w:pPr>
              <w:pStyle w:val="39"/>
              <w:keepNext w:val="0"/>
              <w:keepLines w:val="0"/>
              <w:pageBreakBefore w:val="0"/>
              <w:widowControl w:val="0"/>
              <w:numPr>
                <w:ilvl w:val="0"/>
                <w:numId w:val="2"/>
              </w:numPr>
              <w:kinsoku/>
              <w:wordWrap/>
              <w:overflowPunct/>
              <w:topLinePunct w:val="0"/>
              <w:autoSpaceDE/>
              <w:autoSpaceDN/>
              <w:bidi w:val="0"/>
              <w:adjustRightInd/>
              <w:snapToGrid/>
              <w:spacing w:line="460" w:lineRule="exact"/>
              <w:ind w:left="420" w:firstLineChars="0"/>
              <w:textAlignment w:val="auto"/>
              <w:rPr>
                <w:rFonts w:hint="default" w:ascii="Times New Roman" w:hAnsi="Times New Roman" w:eastAsia="仿宋_GB2312" w:cs="Times New Roman"/>
                <w:color w:val="000000" w:themeColor="text1"/>
                <w:kern w:val="0"/>
                <w:sz w:val="28"/>
                <w:szCs w:val="28"/>
                <w14:textFill>
                  <w14:solidFill>
                    <w14:schemeClr w14:val="tx1"/>
                  </w14:solidFill>
                </w14:textFill>
              </w:rPr>
            </w:pPr>
            <w:r>
              <w:rPr>
                <w:rFonts w:hint="default" w:ascii="Times New Roman" w:hAnsi="Times New Roman" w:eastAsia="仿宋_GB2312" w:cs="Times New Roman"/>
                <w:color w:val="000000" w:themeColor="text1"/>
                <w:kern w:val="0"/>
                <w:sz w:val="28"/>
                <w:szCs w:val="28"/>
                <w14:textFill>
                  <w14:solidFill>
                    <w14:schemeClr w14:val="tx1"/>
                  </w14:solidFill>
                </w14:textFill>
              </w:rPr>
              <w:t>杏康血液透析中心项目，总投资0.3亿元，主要建设内容：占地493平方米，拟接收非传染病人与传染病人进行血液透析，其中一期：共设立透析诊疗单元38个，其中普通透析单元28个，隔离（传染病）透析单元10个，二期：共设立透析诊疗单元50个，其中普通透析单元35个，隔离（传染病）透析单元15个，每天规划接待患者150人，年营业天数为300天。</w:t>
            </w:r>
          </w:p>
        </w:tc>
      </w:tr>
    </w:tbl>
    <w:p>
      <w:pPr>
        <w:pStyle w:val="5"/>
        <w:keepNext w:val="0"/>
        <w:keepLines w:val="0"/>
        <w:spacing w:before="0" w:after="0" w:line="590" w:lineRule="exact"/>
        <w:ind w:firstLine="643" w:firstLineChars="200"/>
        <w:rPr>
          <w:rFonts w:hint="default" w:ascii="Times New Roman" w:hAnsi="Times New Roman" w:eastAsia="楷体_GB2312" w:cs="Times New Roman"/>
          <w:color w:val="000000" w:themeColor="text1"/>
          <w14:textFill>
            <w14:solidFill>
              <w14:schemeClr w14:val="tx1"/>
            </w14:solidFill>
          </w14:textFill>
        </w:rPr>
      </w:pPr>
      <w:bookmarkStart w:id="113" w:name="_Toc10097"/>
      <w:bookmarkStart w:id="114" w:name="_Toc29080"/>
      <w:bookmarkStart w:id="115" w:name="_Toc83296403"/>
      <w:r>
        <w:rPr>
          <w:rFonts w:hint="default" w:ascii="Times New Roman" w:hAnsi="Times New Roman" w:eastAsia="楷体_GB2312" w:cs="Times New Roman"/>
          <w:color w:val="000000" w:themeColor="text1"/>
          <w14:textFill>
            <w14:solidFill>
              <w14:schemeClr w14:val="tx1"/>
            </w14:solidFill>
          </w14:textFill>
        </w:rPr>
        <w:t>（四）规范发展社区服务业</w:t>
      </w:r>
      <w:bookmarkEnd w:id="113"/>
      <w:bookmarkEnd w:id="114"/>
      <w:bookmarkEnd w:id="115"/>
    </w:p>
    <w:p>
      <w:pPr>
        <w:spacing w:line="560" w:lineRule="exact"/>
        <w:ind w:firstLine="640" w:firstLineChars="200"/>
        <w:rPr>
          <w:rFonts w:hint="default" w:ascii="Times New Roman" w:hAnsi="Times New Roman" w:cs="Times New Roman"/>
        </w:rPr>
      </w:pPr>
      <w:r>
        <w:rPr>
          <w:rFonts w:hint="default" w:ascii="Times New Roman" w:hAnsi="Times New Roman" w:eastAsia="仿宋_GB2312" w:cs="Times New Roman"/>
          <w:color w:val="000000" w:themeColor="text1"/>
          <w:sz w:val="32"/>
          <w:szCs w:val="32"/>
          <w14:textFill>
            <w14:solidFill>
              <w14:schemeClr w14:val="tx1"/>
            </w14:solidFill>
          </w14:textFill>
        </w:rPr>
        <w:t>强化基层党建，完善社区服务网点，积极构建党建引领社区生活性服务业发展新格局，多方位提供生活性服务。健全服务体系，构建全方位、多层次的社区服务体系。大力发展休闲娱乐、餐饮、农产品市场等与居民生活密切相关产业，培育发展康复保健、医疗护理、健身养生等健康服务业，加快发展养老托幼、家政服务、社区照料、病患陪护等家庭服务业，鼓励发展家庭教育、心理咨询、母婴护理、家庭用品配送、美容美发、洗染、家用电器及其他日用品修理等生活性服务，支持创办各类便民利民的社区服务企业和中介机构，推动房地产中介、房屋租赁经营、物业管理、搬家保洁、家用车辆保养维修等生活性服务规范化、标准化发展，促进社区服务产业化发展。加强民生领域法律服务，推进覆盖城乡居民的公共法律服务体系建设。加强社区服务站、志愿者服务队的建设和管理，不断完善社区义务服务平台，完善村、社区党建协调机构、社区党员议事会等平台，建立健全社区自我服务能力。加强社区服务信息网络建设，鼓励在乡村建立综合性服务网点，提高农村居民生活便利化水平，积极开展便民利民服务，为村、社区居民群众排忧解难，满足村、社区居民群众多层次、多样化的需求。加快建立供给充分、服务便捷、管理规范、惠及城乡的家政物业服务体系，鼓励有条件的企业品牌化、连锁化发展，打造一批知名家庭服务品牌。整合、充实、升级家庭服务业公共平台，健全服务网络，实现一网多能、跨区域服务，发挥平台对城乡生活性服务业的引导和支撑作用，推进治理数字化发展。探索打造“15分钟高品质社区服务圈”，提档升级社区商业服务，构建特色“邻里”街区，提升居民文化生活层次和品质。</w:t>
      </w:r>
    </w:p>
    <w:p>
      <w:pPr>
        <w:pStyle w:val="5"/>
        <w:keepNext w:val="0"/>
        <w:keepLines w:val="0"/>
        <w:spacing w:before="0" w:after="0" w:line="560" w:lineRule="exact"/>
        <w:ind w:firstLine="643" w:firstLineChars="200"/>
        <w:rPr>
          <w:rFonts w:hint="default" w:ascii="Times New Roman" w:hAnsi="Times New Roman" w:eastAsia="楷体_GB2312" w:cs="Times New Roman"/>
          <w:color w:val="000000" w:themeColor="text1"/>
          <w14:textFill>
            <w14:solidFill>
              <w14:schemeClr w14:val="tx1"/>
            </w14:solidFill>
          </w14:textFill>
        </w:rPr>
      </w:pPr>
      <w:bookmarkStart w:id="116" w:name="_Toc32403"/>
      <w:bookmarkStart w:id="117" w:name="_Toc83296404"/>
      <w:bookmarkStart w:id="118" w:name="_Toc18923"/>
      <w:r>
        <w:rPr>
          <w:rFonts w:hint="default" w:ascii="Times New Roman" w:hAnsi="Times New Roman" w:eastAsia="楷体_GB2312" w:cs="Times New Roman"/>
          <w:color w:val="000000" w:themeColor="text1"/>
          <w14:textFill>
            <w14:solidFill>
              <w14:schemeClr w14:val="tx1"/>
            </w14:solidFill>
          </w14:textFill>
        </w:rPr>
        <w:t>（五）促进发展体育服务业</w:t>
      </w:r>
      <w:bookmarkEnd w:id="116"/>
      <w:bookmarkEnd w:id="117"/>
      <w:bookmarkEnd w:id="118"/>
    </w:p>
    <w:p>
      <w:pPr>
        <w:spacing w:line="56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大力发展体育产业，大力推动群众体育与竞技体育协同发展，促进体育旅游、体育传媒、体育会展、体育经纪等发展，加速形成门类齐全、结构合理的体育服务体系，促进体育消费。大力培育健身休闲、竞赛表演、场馆服务、中介培训等各种体育服务业，促进康体结合，推动体育旅游、体育传媒、体育会展等相关业态融合发展。发挥体育锻炼在疾病防治以及健康促进等方面的积极作用。大力普及健身跑、自行车、登山等运动项目，带动大众化体育运动发展。全县每千人拥有各级社会体育指导员3.5人，经常参加体育锻炼人口比例超过42%，人均体育场地面积达2.6平方米。加强健身教练、体育经纪人等行业自律。推动专业赛事发展，丰富业余赛事，打造一批有影响力的体育品牌赛事和活动，配合淮北市承办2024年安徽省第六届全民健身运动会。建设符合市场规律、具有竞争力的体育产业基地。统筹规划体育设施建设，加强城乡社区健身广场、健身苑、体育俱乐部建设，所有镇完成1个室内健身房、1个全民健身广场、1个多功能运动场的“三个一”健身工程，提高群众健身设施覆盖面，促进城乡体育设施均衡发展，盘活、用好现有体育设施，积极推动公共体育设施向全社会开放，提高公共体育设施的使用效率和综合效益。积极转变政府职能，创新服务方式，逐步加大政府向社会力量购买全民健身公共服务的范围和数量。积极推广和运用政府社会资本合作等多种模式，促进社会资本参加公共体育设施的建设和运行管理，提升公共体育设施建设和运行管理水平，更好地满足群众多样化、多层次的体育健身需求。鼓励社会力量对各类体育赛事和活动进行冠名赞助。研究推进体育产业领域“互联网+”，鼓励发展体育电子商务等新业态。力争到“十四五”末，基本建成全省体育强县。</w:t>
      </w:r>
    </w:p>
    <w:p>
      <w:pPr>
        <w:pStyle w:val="4"/>
        <w:keepNext w:val="0"/>
        <w:keepLines w:val="0"/>
        <w:spacing w:before="0" w:after="0" w:line="560" w:lineRule="exact"/>
        <w:ind w:firstLine="640" w:firstLineChars="200"/>
        <w:rPr>
          <w:rFonts w:hint="default" w:ascii="Times New Roman" w:hAnsi="Times New Roman" w:eastAsia="黑体" w:cs="Times New Roman"/>
          <w:b w:val="0"/>
          <w:bCs w:val="0"/>
          <w:color w:val="000000" w:themeColor="text1"/>
          <w14:textFill>
            <w14:solidFill>
              <w14:schemeClr w14:val="tx1"/>
            </w14:solidFill>
          </w14:textFill>
        </w:rPr>
      </w:pPr>
      <w:bookmarkStart w:id="119" w:name="_Toc83296405"/>
      <w:bookmarkStart w:id="120" w:name="_Toc29769"/>
      <w:bookmarkStart w:id="121" w:name="_Toc3327"/>
      <w:r>
        <w:rPr>
          <w:rFonts w:hint="default" w:ascii="Times New Roman" w:hAnsi="Times New Roman" w:eastAsia="黑体" w:cs="Times New Roman"/>
          <w:b w:val="0"/>
          <w:bCs w:val="0"/>
          <w:color w:val="000000" w:themeColor="text1"/>
          <w14:textFill>
            <w14:solidFill>
              <w14:schemeClr w14:val="tx1"/>
            </w14:solidFill>
          </w14:textFill>
        </w:rPr>
        <w:t>三、推动新业态服务业向数字化和线上化发展</w:t>
      </w:r>
      <w:bookmarkEnd w:id="119"/>
      <w:bookmarkEnd w:id="120"/>
      <w:bookmarkEnd w:id="121"/>
    </w:p>
    <w:p>
      <w:pPr>
        <w:pStyle w:val="5"/>
        <w:keepNext w:val="0"/>
        <w:keepLines w:val="0"/>
        <w:spacing w:before="0" w:after="0" w:line="560" w:lineRule="exact"/>
        <w:ind w:firstLine="643" w:firstLineChars="200"/>
        <w:rPr>
          <w:rFonts w:hint="default" w:ascii="Times New Roman" w:hAnsi="Times New Roman" w:eastAsia="楷体_GB2312" w:cs="Times New Roman"/>
          <w:color w:val="000000" w:themeColor="text1"/>
          <w14:textFill>
            <w14:solidFill>
              <w14:schemeClr w14:val="tx1"/>
            </w14:solidFill>
          </w14:textFill>
        </w:rPr>
      </w:pPr>
      <w:bookmarkStart w:id="122" w:name="_Toc83296406"/>
      <w:bookmarkStart w:id="123" w:name="_Toc15141"/>
      <w:bookmarkStart w:id="124" w:name="_Toc15531"/>
      <w:r>
        <w:rPr>
          <w:rFonts w:hint="default" w:ascii="Times New Roman" w:hAnsi="Times New Roman" w:eastAsia="楷体_GB2312" w:cs="Times New Roman"/>
          <w:color w:val="000000" w:themeColor="text1"/>
          <w14:textFill>
            <w14:solidFill>
              <w14:schemeClr w14:val="tx1"/>
            </w14:solidFill>
          </w14:textFill>
        </w:rPr>
        <w:t>（一）重点发展线上业态</w:t>
      </w:r>
      <w:bookmarkEnd w:id="122"/>
      <w:bookmarkEnd w:id="123"/>
      <w:bookmarkEnd w:id="124"/>
    </w:p>
    <w:p>
      <w:pPr>
        <w:spacing w:line="56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围绕数字经济高速发展催生的新需求，强化政策支持力度，加快服务业数字化转型，瞄准产业互联网、新零售、数字内容等新兴业态领域，集中力量，挖掘优势，有计划、有重点地培育壮大一批线上龙头企业、线上平台、线上品牌，不断推动产业升级、拓展消费市场、创新供给模式。大力培育重点产业互联网平台。围绕县“三基两大一新”主导产业，支持龙头企业打造开放服务平台，支持引进知名产业互联网平台企业。鼓励企业开展线上协同办公、网络化协同研发设计、线上生产过程管控、上下游供应链协同等。推动农业互联网发展，打造食品特色产业互联网平台；积极培育发展新零售。依托现有电商基础，整合优势资源，培育一批具有特色优势的新兴电子商务企业集群，支持打造特色优势专业化电子商务品牌。扩大电子商务进村扶贫覆盖面，发展农资农产品端到端配送供应新模式。支持电子商务企业有序推广“直播电商”“社交电商”“微信电商”“社区生活管家”等新模式。鼓励发展生鲜冷链、熟食热链、日常生活用品定点定期配送新业态。支持发展智能服务，不断满足无人超市等新需求。重视发展数字产业发展，推进人工智能、虚拟现实、大数据等新技术在文化创意产业中的应用。依托红色文化、运河文化等积极培育网络文学、网络表演、网络视频、网络音乐等新兴数字产业。鼓励金融机构提升线上服务能力和数字风控技术，推动网点服务线上化。鼓励发展线上供应链金融平台，支持供应链核心企业、金融机构发展线上应收账款融资等供应链金融模式，拓展供应链上下游中小微企业便捷融资渠道。推动区块链技术的应用。</w:t>
      </w:r>
    </w:p>
    <w:p>
      <w:pPr>
        <w:pStyle w:val="5"/>
        <w:keepNext w:val="0"/>
        <w:keepLines w:val="0"/>
        <w:spacing w:before="0" w:after="0" w:line="560" w:lineRule="exact"/>
        <w:ind w:firstLine="643" w:firstLineChars="200"/>
        <w:rPr>
          <w:rFonts w:hint="default" w:ascii="Times New Roman" w:hAnsi="Times New Roman" w:eastAsia="楷体_GB2312" w:cs="Times New Roman"/>
          <w:color w:val="000000" w:themeColor="text1"/>
          <w14:textFill>
            <w14:solidFill>
              <w14:schemeClr w14:val="tx1"/>
            </w14:solidFill>
          </w14:textFill>
        </w:rPr>
      </w:pPr>
      <w:bookmarkStart w:id="125" w:name="_Toc6565"/>
      <w:bookmarkStart w:id="126" w:name="_Toc83296407"/>
      <w:bookmarkStart w:id="127" w:name="_Toc13518"/>
      <w:r>
        <w:rPr>
          <w:rFonts w:hint="default" w:ascii="Times New Roman" w:hAnsi="Times New Roman" w:eastAsia="楷体_GB2312" w:cs="Times New Roman"/>
          <w:color w:val="000000" w:themeColor="text1"/>
          <w14:textFill>
            <w14:solidFill>
              <w14:schemeClr w14:val="tx1"/>
            </w14:solidFill>
          </w14:textFill>
        </w:rPr>
        <w:t>（二）创新模式发展线上服务</w:t>
      </w:r>
      <w:bookmarkEnd w:id="125"/>
      <w:bookmarkEnd w:id="126"/>
      <w:bookmarkEnd w:id="127"/>
    </w:p>
    <w:p>
      <w:pPr>
        <w:spacing w:line="560" w:lineRule="exact"/>
        <w:ind w:firstLine="640" w:firstLineChars="200"/>
        <w:rPr>
          <w:rFonts w:hint="default" w:ascii="Times New Roman" w:hAnsi="Times New Roman" w:eastAsia="宋体"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大力推广在线医疗、在线教育、在线商务、线上生活等线上服务，促进公共服务在线化、生活服务智能化，更高水平满足人民群众对美好生活的向往。支持“线上超市”“网上餐厅”“线上家政”“直播荐货”“网红带货”等生活服务企业发展，积极打造线上生活服务品牌。鼓励发展“无接触配送到家”新模式。支持企业通过信息技术远程提供技术支持。鼓励发展无边界协同、全场景协作远程办公新模式，促进更多传统产业岗位实现居家办公。加快建设数字图书馆、数字博物馆、数字文化馆等。探索“云旅游”模式，将现有景区数字化，打造全景在线旅游产品；大力发展“在线医疗”服务模式。发展覆盖医疗服务全流程的线上线下新模式，积极推广基于5G技术的远程会诊、远程手术、远程超声、远程监护等远程医疗应用，依托“15分钟就医圈”和县域医共体建设、智医助理等建设，推动建设智慧医院，支持利用移动互联网提供预约诊疗、候诊提醒、诊间缴费、自助查询等服务，支持开展线上诊疗、健康咨询、健康管理等服务。鼓励医药电子商务OTO发展。加强预防控制体系和应急保障体系建设，增强重大疾病防控和突发公共卫生事件应对能力。建立健全基于互联网的养老服务体系，构建养老信息服务网络平台；探索发展“在线教育”服务模式，不断深化基础教育、职业教育和高等教育资源公共服务平台应用，持续扩大优质数字教育资源供给。加大网络学习空间覆盖，探索推广“在家上课”与在校上课、线上与线下教学有机结合、深度融合的学习模式。支持教育机构与平台企业合作建设线上线下相结合的教育培训体系。推动中小学数字资源共建共享，聚合一批优质中小学数字课程资源。加强网络联校、远程同步课堂等建设与应用，推动优质数字教育资源。完善继续教育、职业教育、社区教育网络培训服务体系；提升商务活动线上服务能力。探索线上招商模式，创新基于互联网的新型服务贸易发展方式，推动服务贸易便利化。大力发展“互联网+”法律事务、广告传媒、知识产权、职业中介等线上服务；大力推进“互联网+出行”，探索公共交通出行服务平台建设，提升交通支付智能化水平，全面推广移动支付、电子客票、智能检票等应用。规范发展网约车、共享汽车平台，满足市民多样化出行需求。统筹推进濉溪县智慧停车项目和智慧停车平台建设；提高就业社保线上服务水平，鼓励建设智能就业服务平台，探索建立人力资源库，充分利用各类互联网服务入口，提供网上自助参保、续保、缴费等服务。推动社会保险制度对人员的精准覆盖和动态管理，支撑多类社会保障业务跨领域、跨地区信息共享和业务协同。</w:t>
      </w:r>
    </w:p>
    <w:p>
      <w:pPr>
        <w:pStyle w:val="5"/>
        <w:keepNext w:val="0"/>
        <w:keepLines w:val="0"/>
        <w:spacing w:before="0" w:after="0" w:line="560" w:lineRule="exact"/>
        <w:ind w:firstLine="643" w:firstLineChars="200"/>
        <w:rPr>
          <w:rFonts w:hint="default" w:ascii="Times New Roman" w:hAnsi="Times New Roman" w:eastAsia="楷体_GB2312" w:cs="Times New Roman"/>
          <w:color w:val="000000" w:themeColor="text1"/>
          <w14:textFill>
            <w14:solidFill>
              <w14:schemeClr w14:val="tx1"/>
            </w14:solidFill>
          </w14:textFill>
        </w:rPr>
      </w:pPr>
      <w:bookmarkStart w:id="128" w:name="_Toc83296408"/>
      <w:bookmarkStart w:id="129" w:name="_Toc31404"/>
      <w:bookmarkStart w:id="130" w:name="_Toc19084"/>
      <w:r>
        <w:rPr>
          <w:rFonts w:hint="default" w:ascii="Times New Roman" w:hAnsi="Times New Roman" w:eastAsia="楷体_GB2312" w:cs="Times New Roman"/>
          <w:color w:val="000000" w:themeColor="text1"/>
          <w14:textFill>
            <w14:solidFill>
              <w14:schemeClr w14:val="tx1"/>
            </w14:solidFill>
          </w14:textFill>
        </w:rPr>
        <w:t>（三）推动“一网统筹”线上管理</w:t>
      </w:r>
      <w:bookmarkEnd w:id="128"/>
      <w:bookmarkEnd w:id="129"/>
      <w:bookmarkEnd w:id="130"/>
    </w:p>
    <w:p>
      <w:pPr>
        <w:spacing w:line="56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强化5G、人工智能、工业互联网、物联网等新型基础设施建设，加快构建“一网统管、一网通办、一网调度、一网治理”线上管理新体系。推进城市运行“一网统管”，推进城市智慧超脑运营中心建设，依托濉溪县智慧城市综合管理平台、智慧城管平台等建设，推动基础设施、城市管理、公共安全、公共管理、应急保障、生态环境等重点领域运行系统有序接入，建立互联互通、高效协同的城市运行系统；推进政务服务“一网通办”。优化完善一站式门户网站等功能，持续推进“互联网+政务服务”工作，进一步提升濉溪县政务服务便利化水平，实现一网通办、“只进一扇门”、“最多跑一次”，服务营商环境和市民办事。开展长三角一网通办服务，实现“三省一市”线上线下互联互通。探索建设协同办公云平台，整合各类数据资源。构建“互联网+监管”体系；建立应急管理“一网调度”机制。全面落实国家应急管理体系、应急物资保障体系改革新举措，</w:t>
      </w:r>
      <w:r>
        <w:rPr>
          <w:rFonts w:hint="default" w:ascii="Times New Roman" w:hAnsi="Times New Roman" w:eastAsia="仿宋_GB2312" w:cs="Times New Roman"/>
          <w:smallCaps/>
          <w:color w:val="000000" w:themeColor="text1"/>
          <w:sz w:val="32"/>
          <w:szCs w:val="32"/>
          <w14:textFill>
            <w14:solidFill>
              <w14:schemeClr w14:val="tx1"/>
            </w14:solidFill>
          </w14:textFill>
        </w:rPr>
        <w:t>充分运用物联网、互联网、大数据、云计算等新技术提高城市公共安全的数字化、网络化和智能化水平</w:t>
      </w:r>
      <w:r>
        <w:rPr>
          <w:rFonts w:hint="default" w:ascii="Times New Roman" w:hAnsi="Times New Roman" w:eastAsia="仿宋_GB2312" w:cs="Times New Roman"/>
          <w:color w:val="000000" w:themeColor="text1"/>
          <w:sz w:val="32"/>
          <w:szCs w:val="32"/>
          <w14:textFill>
            <w14:solidFill>
              <w14:schemeClr w14:val="tx1"/>
            </w14:solidFill>
          </w14:textFill>
        </w:rPr>
        <w:t>，打造全县统一应急管理一张网。建设应急大数据平台和应急指挥调度中心。整合生产、物流、互联网平台企业、社会组织及公众等资源，构建全社会一网协同调度机制。建立健全防灾减灾、公共卫生、网络舆情等重点领域智能化实时监控和统筹调度机制；推动基层服务“一网治理”。加快建设以“网络+网格”为核心的社区治理智能化网格化共治平台，</w:t>
      </w:r>
      <w:r>
        <w:rPr>
          <w:rFonts w:hint="default" w:ascii="Times New Roman" w:hAnsi="Times New Roman" w:eastAsia="仿宋_GB2312" w:cs="Times New Roman"/>
          <w:bCs/>
          <w:color w:val="000000" w:themeColor="text1"/>
          <w:sz w:val="32"/>
          <w:szCs w:val="32"/>
          <w14:textFill>
            <w14:solidFill>
              <w14:schemeClr w14:val="tx1"/>
            </w14:solidFill>
          </w14:textFill>
        </w:rPr>
        <w:t>完善为民服务、综治维稳信访两个平台建设，</w:t>
      </w:r>
      <w:r>
        <w:rPr>
          <w:rFonts w:hint="default" w:ascii="Times New Roman" w:hAnsi="Times New Roman" w:eastAsia="仿宋_GB2312" w:cs="Times New Roman"/>
          <w:color w:val="000000" w:themeColor="text1"/>
          <w:sz w:val="32"/>
          <w:szCs w:val="32"/>
          <w14:textFill>
            <w14:solidFill>
              <w14:schemeClr w14:val="tx1"/>
            </w14:solidFill>
          </w14:textFill>
        </w:rPr>
        <w:t>规范接入“雪亮工程”视频采集系统，整合接入公安、民政、卫生、基层党建等业务系统，加强政企协同，</w:t>
      </w:r>
      <w:r>
        <w:rPr>
          <w:rFonts w:hint="default" w:ascii="Times New Roman" w:hAnsi="Times New Roman" w:eastAsia="仿宋_GB2312" w:cs="Times New Roman"/>
          <w:smallCaps/>
          <w:color w:val="000000" w:themeColor="text1"/>
          <w:sz w:val="32"/>
          <w:szCs w:val="32"/>
          <w14:textFill>
            <w14:solidFill>
              <w14:schemeClr w14:val="tx1"/>
            </w14:solidFill>
          </w14:textFill>
        </w:rPr>
        <w:t>加强信用信息交换共享，</w:t>
      </w:r>
      <w:r>
        <w:rPr>
          <w:rFonts w:hint="default" w:ascii="Times New Roman" w:hAnsi="Times New Roman" w:eastAsia="仿宋_GB2312" w:cs="Times New Roman"/>
          <w:color w:val="000000" w:themeColor="text1"/>
          <w:sz w:val="32"/>
          <w:szCs w:val="32"/>
          <w14:textFill>
            <w14:solidFill>
              <w14:schemeClr w14:val="tx1"/>
            </w14:solidFill>
          </w14:textFill>
        </w:rPr>
        <w:t>构建网格化智能化基层治理体系，提高城市管理和社会治理水平。</w:t>
      </w:r>
    </w:p>
    <w:p>
      <w:pPr>
        <w:pStyle w:val="3"/>
        <w:keepNext w:val="0"/>
        <w:keepLines w:val="0"/>
        <w:pageBreakBefore w:val="0"/>
        <w:widowControl w:val="0"/>
        <w:kinsoku/>
        <w:wordWrap/>
        <w:overflowPunct/>
        <w:topLinePunct w:val="0"/>
        <w:autoSpaceDE/>
        <w:autoSpaceDN/>
        <w:bidi w:val="0"/>
        <w:adjustRightInd/>
        <w:snapToGrid/>
        <w:spacing w:before="0" w:after="0" w:line="560" w:lineRule="exact"/>
        <w:jc w:val="both"/>
        <w:textAlignment w:val="auto"/>
        <w:rPr>
          <w:rFonts w:hint="default" w:ascii="Times New Roman" w:hAnsi="Times New Roman" w:cs="Times New Roman"/>
          <w:color w:val="000000" w:themeColor="text1"/>
          <w:sz w:val="32"/>
          <w:szCs w:val="32"/>
          <w14:textFill>
            <w14:solidFill>
              <w14:schemeClr w14:val="tx1"/>
            </w14:solidFill>
          </w14:textFill>
        </w:rPr>
      </w:pPr>
      <w:bookmarkStart w:id="131" w:name="_Toc30930"/>
      <w:bookmarkStart w:id="132" w:name="_Toc83296409"/>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cs="Times New Roman"/>
        </w:rPr>
      </w:pPr>
    </w:p>
    <w:p>
      <w:pPr>
        <w:pStyle w:val="3"/>
        <w:keepNext w:val="0"/>
        <w:keepLines w:val="0"/>
        <w:pageBreakBefore w:val="0"/>
        <w:widowControl w:val="0"/>
        <w:kinsoku/>
        <w:wordWrap/>
        <w:overflowPunct/>
        <w:topLinePunct w:val="0"/>
        <w:autoSpaceDE/>
        <w:autoSpaceDN/>
        <w:bidi w:val="0"/>
        <w:adjustRightInd/>
        <w:snapToGrid/>
        <w:spacing w:before="0" w:after="0" w:line="560" w:lineRule="exact"/>
        <w:jc w:val="center"/>
        <w:textAlignment w:val="auto"/>
        <w:rPr>
          <w:rFonts w:hint="default" w:ascii="Times New Roman" w:hAnsi="Times New Roman" w:cs="Times New Roman"/>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spacing w:line="560" w:lineRule="exact"/>
        <w:textAlignment w:val="auto"/>
        <w:rPr>
          <w:rFonts w:hint="default" w:ascii="Times New Roman" w:hAnsi="Times New Roman" w:cs="Times New Roman"/>
        </w:rPr>
      </w:pPr>
    </w:p>
    <w:p>
      <w:pPr>
        <w:pStyle w:val="4"/>
        <w:rPr>
          <w:rFonts w:hint="default" w:ascii="Times New Roman" w:hAnsi="Times New Roman" w:cs="Times New Roman"/>
        </w:rPr>
      </w:pPr>
    </w:p>
    <w:p>
      <w:pPr>
        <w:rPr>
          <w:rFonts w:hint="default" w:ascii="Times New Roman" w:hAnsi="Times New Roman" w:cs="Times New Roman"/>
        </w:rPr>
      </w:pPr>
    </w:p>
    <w:p>
      <w:pPr>
        <w:pStyle w:val="4"/>
        <w:rPr>
          <w:rFonts w:hint="default" w:ascii="Times New Roman" w:hAnsi="Times New Roman" w:cs="Times New Roman"/>
        </w:rPr>
      </w:pPr>
    </w:p>
    <w:p>
      <w:pPr>
        <w:rPr>
          <w:rFonts w:hint="default" w:ascii="Times New Roman" w:hAnsi="Times New Roman" w:cs="Times New Roman"/>
        </w:rPr>
      </w:pPr>
    </w:p>
    <w:p>
      <w:pPr>
        <w:pStyle w:val="4"/>
        <w:rPr>
          <w:rFonts w:hint="default"/>
        </w:rPr>
      </w:pPr>
    </w:p>
    <w:p>
      <w:pPr>
        <w:keepNext w:val="0"/>
        <w:keepLines w:val="0"/>
        <w:pageBreakBefore w:val="0"/>
        <w:widowControl w:val="0"/>
        <w:kinsoku/>
        <w:wordWrap/>
        <w:overflowPunct/>
        <w:topLinePunct w:val="0"/>
        <w:autoSpaceDE/>
        <w:autoSpaceDN/>
        <w:bidi w:val="0"/>
        <w:spacing w:line="560" w:lineRule="exact"/>
        <w:textAlignment w:val="auto"/>
        <w:rPr>
          <w:rFonts w:hint="default" w:ascii="Times New Roman" w:hAnsi="Times New Roman" w:cs="Times New Roman"/>
          <w:color w:val="000000" w:themeColor="text1"/>
          <w:sz w:val="32"/>
          <w:szCs w:val="32"/>
          <w14:textFill>
            <w14:solidFill>
              <w14:schemeClr w14:val="tx1"/>
            </w14:solidFill>
          </w14:textFill>
        </w:rPr>
      </w:pPr>
    </w:p>
    <w:p>
      <w:pPr>
        <w:pStyle w:val="3"/>
        <w:keepNext w:val="0"/>
        <w:keepLines w:val="0"/>
        <w:pageBreakBefore w:val="0"/>
        <w:widowControl w:val="0"/>
        <w:kinsoku/>
        <w:wordWrap/>
        <w:overflowPunct/>
        <w:topLinePunct w:val="0"/>
        <w:autoSpaceDE/>
        <w:autoSpaceDN/>
        <w:bidi w:val="0"/>
        <w:spacing w:before="0" w:after="0" w:line="560" w:lineRule="exact"/>
        <w:jc w:val="center"/>
        <w:textAlignment w:val="auto"/>
        <w:rPr>
          <w:rFonts w:hint="default" w:ascii="Times New Roman" w:hAnsi="Times New Roman" w:eastAsia="方正小标宋简体" w:cs="Times New Roman"/>
          <w:b w:val="0"/>
          <w:bCs w:val="0"/>
          <w:color w:val="000000" w:themeColor="text1"/>
          <w:sz w:val="44"/>
          <w:szCs w:val="44"/>
          <w14:textFill>
            <w14:solidFill>
              <w14:schemeClr w14:val="tx1"/>
            </w14:solidFill>
          </w14:textFill>
        </w:rPr>
      </w:pPr>
      <w:bookmarkStart w:id="133" w:name="_Toc31718"/>
      <w:r>
        <w:rPr>
          <w:rFonts w:hint="default" w:ascii="Times New Roman" w:hAnsi="Times New Roman" w:eastAsia="方正小标宋简体" w:cs="Times New Roman"/>
          <w:b w:val="0"/>
          <w:bCs w:val="0"/>
          <w:color w:val="000000" w:themeColor="text1"/>
          <w:sz w:val="44"/>
          <w:szCs w:val="44"/>
          <w14:textFill>
            <w14:solidFill>
              <w14:schemeClr w14:val="tx1"/>
            </w14:solidFill>
          </w14:textFill>
        </w:rPr>
        <w:t>第四章  重点工程</w:t>
      </w:r>
      <w:bookmarkEnd w:id="131"/>
      <w:bookmarkEnd w:id="132"/>
      <w:bookmarkEnd w:id="133"/>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bookmarkStart w:id="134" w:name="_Toc71708641"/>
      <w:bookmarkStart w:id="135" w:name="_Toc71164862"/>
      <w:bookmarkStart w:id="136" w:name="_Toc17105"/>
      <w:bookmarkStart w:id="137" w:name="_Toc71175363"/>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适应现代服务业发展的新趋势、新要求，大力实施发展环境优化、集聚载体提升、市场主体培育、品牌品质塑造、人力资源保障五大工程，加快实现服务业发展体系化和发展能力现代化。</w:t>
      </w:r>
      <w:bookmarkEnd w:id="134"/>
      <w:bookmarkEnd w:id="135"/>
      <w:bookmarkEnd w:id="136"/>
      <w:bookmarkEnd w:id="137"/>
    </w:p>
    <w:p>
      <w:pPr>
        <w:pStyle w:val="4"/>
        <w:keepNext w:val="0"/>
        <w:keepLines w:val="0"/>
        <w:spacing w:before="0" w:after="0" w:line="560" w:lineRule="exact"/>
        <w:ind w:firstLine="640" w:firstLineChars="200"/>
        <w:rPr>
          <w:rFonts w:hint="default" w:ascii="Times New Roman" w:hAnsi="Times New Roman" w:eastAsia="黑体" w:cs="Times New Roman"/>
          <w:b w:val="0"/>
          <w:bCs w:val="0"/>
          <w:color w:val="000000" w:themeColor="text1"/>
          <w14:textFill>
            <w14:solidFill>
              <w14:schemeClr w14:val="tx1"/>
            </w14:solidFill>
          </w14:textFill>
        </w:rPr>
      </w:pPr>
      <w:bookmarkStart w:id="138" w:name="_Toc83296410"/>
      <w:bookmarkStart w:id="139" w:name="_Toc9911"/>
      <w:bookmarkStart w:id="140" w:name="_Toc30829"/>
      <w:r>
        <w:rPr>
          <w:rFonts w:hint="default" w:ascii="Times New Roman" w:hAnsi="Times New Roman" w:eastAsia="黑体" w:cs="Times New Roman"/>
          <w:b w:val="0"/>
          <w:bCs w:val="0"/>
          <w:color w:val="000000" w:themeColor="text1"/>
          <w14:textFill>
            <w14:solidFill>
              <w14:schemeClr w14:val="tx1"/>
            </w14:solidFill>
          </w14:textFill>
        </w:rPr>
        <w:t>一、发展环境优化工程</w:t>
      </w:r>
      <w:bookmarkEnd w:id="138"/>
      <w:bookmarkEnd w:id="139"/>
      <w:bookmarkEnd w:id="140"/>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吸收应用长三角区域先进经验，深入推进“放管服”改革，组织解放思想学习讨论，深化“一网、一门、一次”改革，聚焦高频政务服务事项，推行线上线下联动办理、异地办理、全网通办，全面提升“互联网+政务服务”水平，打通政策落地“最后一公里”。提高服务业市场开放程度。完善市场准入机制，全面实施市场准入负面清单制度和公平竞争审查制度，凡国家法律法规未明令禁入的服务业领域，全部向外资、民间资本开放。全面规范市场准入程序，除法律法规规定的审查环节外，其他审查环节一律取消。优化服务业企业开办和服务业项目投资审批事项办理流程，精简办事材料，压缩办事时限，提升审批效率和服务质量。持续开展“四送一服”双千工程，为服务业企业提供全流程代办服务，构建亲清新型政商关系。帮助服务业企业、服务业项目解决发展中的困难和问题。加强信用体系建设，推进信用信息共享共用，完善联合奖惩机制，强化“红黑名单”认定使用，营造诚信发展环境。</w:t>
      </w:r>
    </w:p>
    <w:p>
      <w:pPr>
        <w:pStyle w:val="4"/>
        <w:keepNext w:val="0"/>
        <w:keepLines w:val="0"/>
        <w:spacing w:before="0" w:after="0" w:line="560" w:lineRule="exact"/>
        <w:ind w:firstLine="640" w:firstLineChars="200"/>
        <w:rPr>
          <w:rFonts w:hint="default" w:ascii="Times New Roman" w:hAnsi="Times New Roman" w:eastAsia="黑体" w:cs="Times New Roman"/>
          <w:b w:val="0"/>
          <w:bCs w:val="0"/>
          <w:color w:val="000000" w:themeColor="text1"/>
          <w14:textFill>
            <w14:solidFill>
              <w14:schemeClr w14:val="tx1"/>
            </w14:solidFill>
          </w14:textFill>
        </w:rPr>
      </w:pPr>
      <w:bookmarkStart w:id="141" w:name="_Toc83296411"/>
      <w:bookmarkStart w:id="142" w:name="_Toc2166"/>
      <w:bookmarkStart w:id="143" w:name="_Toc3978"/>
      <w:r>
        <w:rPr>
          <w:rFonts w:hint="default" w:ascii="Times New Roman" w:hAnsi="Times New Roman" w:eastAsia="黑体" w:cs="Times New Roman"/>
          <w:b w:val="0"/>
          <w:bCs w:val="0"/>
          <w:color w:val="000000" w:themeColor="text1"/>
          <w14:textFill>
            <w14:solidFill>
              <w14:schemeClr w14:val="tx1"/>
            </w14:solidFill>
          </w14:textFill>
        </w:rPr>
        <w:t>二、集聚载体提升工程</w:t>
      </w:r>
      <w:bookmarkEnd w:id="141"/>
      <w:bookmarkEnd w:id="142"/>
      <w:bookmarkEnd w:id="143"/>
    </w:p>
    <w:p>
      <w:pPr>
        <w:widowControl w:val="0"/>
        <w:shd w:val="clear" w:color="auto" w:fill="FFFFFF"/>
        <w:spacing w:line="56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加快现有濉溪县百善物流园、濉溪县电子商务</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产业</w:t>
      </w:r>
      <w:r>
        <w:rPr>
          <w:rFonts w:hint="default" w:ascii="Times New Roman" w:hAnsi="Times New Roman" w:eastAsia="仿宋_GB2312" w:cs="Times New Roman"/>
          <w:color w:val="000000" w:themeColor="text1"/>
          <w:sz w:val="32"/>
          <w:szCs w:val="32"/>
          <w14:textFill>
            <w14:solidFill>
              <w14:schemeClr w14:val="tx1"/>
            </w14:solidFill>
          </w14:textFill>
        </w:rPr>
        <w:t>园、中瑞新型农产品批发市场新型专业市场等</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3</w:t>
      </w:r>
      <w:r>
        <w:rPr>
          <w:rFonts w:hint="default" w:ascii="Times New Roman" w:hAnsi="Times New Roman" w:eastAsia="仿宋_GB2312" w:cs="Times New Roman"/>
          <w:color w:val="000000" w:themeColor="text1"/>
          <w:sz w:val="32"/>
          <w:szCs w:val="32"/>
          <w14:textFill>
            <w14:solidFill>
              <w14:schemeClr w14:val="tx1"/>
            </w14:solidFill>
          </w14:textFill>
        </w:rPr>
        <w:t>个现有省级服务业集聚区</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（示范区）</w:t>
      </w:r>
      <w:r>
        <w:rPr>
          <w:rFonts w:hint="default" w:ascii="Times New Roman" w:hAnsi="Times New Roman" w:eastAsia="仿宋_GB2312" w:cs="Times New Roman"/>
          <w:color w:val="000000" w:themeColor="text1"/>
          <w:sz w:val="32"/>
          <w:szCs w:val="32"/>
          <w14:textFill>
            <w14:solidFill>
              <w14:schemeClr w14:val="tx1"/>
            </w14:solidFill>
          </w14:textFill>
        </w:rPr>
        <w:t>提升，探索</w:t>
      </w:r>
      <w:r>
        <w:rPr>
          <w:rFonts w:hint="default" w:ascii="Times New Roman" w:hAnsi="Times New Roman" w:eastAsia="仿宋_GB2312" w:cs="Times New Roman"/>
          <w:smallCaps/>
          <w:color w:val="000000" w:themeColor="text1"/>
          <w:sz w:val="32"/>
          <w:szCs w:val="32"/>
          <w14:textFill>
            <w14:solidFill>
              <w14:schemeClr w14:val="tx1"/>
            </w14:solidFill>
          </w14:textFill>
        </w:rPr>
        <w:t>园区体制机制改革创新，</w:t>
      </w:r>
      <w:r>
        <w:rPr>
          <w:rFonts w:hint="default" w:ascii="Times New Roman" w:hAnsi="Times New Roman" w:eastAsia="仿宋_GB2312" w:cs="Times New Roman"/>
          <w:color w:val="000000" w:themeColor="text1"/>
          <w:sz w:val="32"/>
          <w:szCs w:val="32"/>
          <w14:textFill>
            <w14:solidFill>
              <w14:schemeClr w14:val="tx1"/>
            </w14:solidFill>
          </w14:textFill>
        </w:rPr>
        <w:t>积极落实省市县相关政策，鼓励各园区制订支持服务业发展的政策措施，持续完善服务业集聚区的公共服务平台和重大项目建设，</w:t>
      </w:r>
      <w:r>
        <w:rPr>
          <w:rFonts w:hint="default" w:ascii="Times New Roman" w:hAnsi="Times New Roman" w:eastAsia="仿宋_GB2312" w:cs="Times New Roman"/>
          <w:smallCaps/>
          <w:color w:val="000000" w:themeColor="text1"/>
          <w:sz w:val="32"/>
          <w:szCs w:val="32"/>
          <w14:textFill>
            <w14:solidFill>
              <w14:schemeClr w14:val="tx1"/>
            </w14:solidFill>
          </w14:textFill>
        </w:rPr>
        <w:t>完善基础设施配套，着力构建面向园区、产业集群的公共平台，涵盖技术研发应用、信息服务、人员培训、质量技术标准和检验检测、产品交易与物流配送等</w:t>
      </w:r>
      <w:r>
        <w:rPr>
          <w:rFonts w:hint="default" w:ascii="Times New Roman" w:hAnsi="Times New Roman" w:eastAsia="仿宋_GB2312" w:cs="Times New Roman"/>
          <w:color w:val="000000" w:themeColor="text1"/>
          <w:sz w:val="32"/>
          <w:szCs w:val="32"/>
          <w14:textFill>
            <w14:solidFill>
              <w14:schemeClr w14:val="tx1"/>
            </w14:solidFill>
          </w14:textFill>
        </w:rPr>
        <w:t>。实施服务发展战略，服务业空间布局依托老城升级、南部次中心建设、服务业集聚区提升，增强完善城市服务功能，形成一批产业集聚、特色鲜明、功能完善的服务业发展集聚区，支持全县</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符合条件的</w:t>
      </w:r>
      <w:r>
        <w:rPr>
          <w:rFonts w:hint="default" w:ascii="Times New Roman" w:hAnsi="Times New Roman" w:eastAsia="仿宋_GB2312" w:cs="Times New Roman"/>
          <w:color w:val="000000" w:themeColor="text1"/>
          <w:sz w:val="32"/>
          <w:szCs w:val="32"/>
          <w14:textFill>
            <w14:solidFill>
              <w14:schemeClr w14:val="tx1"/>
            </w14:solidFill>
          </w14:textFill>
        </w:rPr>
        <w:t>服务业</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园区</w:t>
      </w:r>
      <w:r>
        <w:rPr>
          <w:rFonts w:hint="default" w:ascii="Times New Roman" w:hAnsi="Times New Roman" w:eastAsia="仿宋_GB2312" w:cs="Times New Roman"/>
          <w:color w:val="000000" w:themeColor="text1"/>
          <w:sz w:val="32"/>
          <w:szCs w:val="32"/>
          <w14:textFill>
            <w14:solidFill>
              <w14:schemeClr w14:val="tx1"/>
            </w14:solidFill>
          </w14:textFill>
        </w:rPr>
        <w:t>争创国家、省级各类服务业集聚示范区（园区），推动中</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瑞新型农产品批发市场</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能级提升，争创省级服务业集聚示范园区。</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因地制宜建设一批服务业特色微型产业集聚区，高标准推进韩村三彩文旅微型产业集聚区、百善运河文化微型产业集聚区等一批省级微型产业集聚区和试验类微型产业集聚区建设。规划建设主城、河西、濉芜产业园区商业综合体。推进海关特殊监管区和“综合保税区”建设。围绕农副产品、工业</w:t>
      </w:r>
      <w:r>
        <w:rPr>
          <w:rFonts w:hint="default" w:ascii="Times New Roman" w:hAnsi="Times New Roman" w:eastAsia="仿宋_GB2312" w:cs="Times New Roman"/>
          <w:color w:val="000000" w:themeColor="text1"/>
          <w:sz w:val="32"/>
          <w:szCs w:val="32"/>
          <w14:textFill>
            <w14:solidFill>
              <w14:schemeClr w14:val="tx1"/>
            </w14:solidFill>
          </w14:textFill>
        </w:rPr>
        <w:t>消费品、生产资料和特种商品市场，完善基础设施配套，打造新型专业市场集聚区和现代物流集聚区。</w:t>
      </w:r>
    </w:p>
    <w:p>
      <w:pPr>
        <w:pStyle w:val="4"/>
        <w:keepNext w:val="0"/>
        <w:keepLines w:val="0"/>
        <w:spacing w:before="0" w:after="0" w:line="560" w:lineRule="exact"/>
        <w:ind w:firstLine="640" w:firstLineChars="200"/>
        <w:rPr>
          <w:rFonts w:hint="default" w:ascii="Times New Roman" w:hAnsi="Times New Roman" w:eastAsia="黑体" w:cs="Times New Roman"/>
          <w:b w:val="0"/>
          <w:bCs w:val="0"/>
          <w:color w:val="000000" w:themeColor="text1"/>
          <w14:textFill>
            <w14:solidFill>
              <w14:schemeClr w14:val="tx1"/>
            </w14:solidFill>
          </w14:textFill>
        </w:rPr>
      </w:pPr>
      <w:bookmarkStart w:id="144" w:name="_Toc13205"/>
      <w:bookmarkStart w:id="145" w:name="_Toc83296412"/>
      <w:bookmarkStart w:id="146" w:name="_Toc10457"/>
      <w:r>
        <w:rPr>
          <w:rFonts w:hint="default" w:ascii="Times New Roman" w:hAnsi="Times New Roman" w:eastAsia="黑体" w:cs="Times New Roman"/>
          <w:b w:val="0"/>
          <w:bCs w:val="0"/>
          <w:color w:val="000000" w:themeColor="text1"/>
          <w14:textFill>
            <w14:solidFill>
              <w14:schemeClr w14:val="tx1"/>
            </w14:solidFill>
          </w14:textFill>
        </w:rPr>
        <w:t>三、市场主体培育工程</w:t>
      </w:r>
      <w:bookmarkEnd w:id="144"/>
      <w:bookmarkEnd w:id="145"/>
      <w:bookmarkEnd w:id="146"/>
    </w:p>
    <w:p>
      <w:pPr>
        <w:pStyle w:val="42"/>
        <w:keepNext w:val="0"/>
        <w:keepLines w:val="0"/>
        <w:pageBreakBefore w:val="0"/>
        <w:widowControl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仿宋_GB2312" w:cs="Times New Roman"/>
          <w:color w:val="000000" w:themeColor="text1"/>
          <w:kern w:val="0"/>
          <w:sz w:val="32"/>
          <w:szCs w:val="32"/>
          <w14:textFill>
            <w14:solidFill>
              <w14:schemeClr w14:val="tx1"/>
            </w14:solidFill>
          </w14:textFill>
        </w:rPr>
        <w:t>鼓励升规壮大，推进“个转企”、“小上限”、“小升规”，积极培育现有服务业大个体、产业活动单位转型升级，注册为法人单位，鼓励和培育现有小企业、产业单位、个体经营户发展为规上服务业企业。增加规模以上服务企业数量，提升规上服务企业入库质量。着力培育服务业龙头企业。推进规模以上企业股份制改造和兼并重组。鼓励和支持符合条件的企业在主板、中小板、创业板、科创板、新三板、四板挂牌上市。</w:t>
      </w:r>
      <w:r>
        <w:rPr>
          <w:rFonts w:hint="default" w:ascii="Times New Roman" w:hAnsi="Times New Roman" w:eastAsia="仿宋_GB2312" w:cs="Times New Roman"/>
          <w:sz w:val="32"/>
          <w:szCs w:val="32"/>
        </w:rPr>
        <w:t>依托现有开发区、产业园区和现代服务业集聚区等载体，盘活存量楼宇资源，提升产业集聚、金融商务、科技创新、物流贸易、文化交往、交通服务等功能，</w:t>
      </w:r>
      <w:r>
        <w:rPr>
          <w:rFonts w:hint="default" w:ascii="Times New Roman" w:hAnsi="Times New Roman" w:eastAsia="仿宋_GB2312" w:cs="Times New Roman"/>
          <w:color w:val="000000" w:themeColor="text1"/>
          <w:sz w:val="32"/>
          <w:szCs w:val="32"/>
          <w14:textFill>
            <w14:solidFill>
              <w14:schemeClr w14:val="tx1"/>
            </w14:solidFill>
          </w14:textFill>
        </w:rPr>
        <w:t>大力引进国内外知名商贸等服务业企业，吸引服务业企业总部落户濉溪，</w:t>
      </w:r>
      <w:r>
        <w:rPr>
          <w:rFonts w:hint="default" w:ascii="Times New Roman" w:hAnsi="Times New Roman" w:eastAsia="仿宋_GB2312" w:cs="Times New Roman"/>
          <w:sz w:val="32"/>
          <w:szCs w:val="32"/>
        </w:rPr>
        <w:t>引导总部经济集聚发展</w:t>
      </w:r>
      <w:r>
        <w:rPr>
          <w:rFonts w:hint="default" w:ascii="Times New Roman" w:hAnsi="Times New Roman" w:eastAsia="仿宋_GB2312" w:cs="Times New Roman"/>
          <w:color w:val="000000" w:themeColor="text1"/>
          <w:sz w:val="32"/>
          <w:szCs w:val="32"/>
          <w14:textFill>
            <w14:solidFill>
              <w14:schemeClr w14:val="tx1"/>
            </w14:solidFill>
          </w14:textFill>
        </w:rPr>
        <w:t>。</w:t>
      </w:r>
      <w:r>
        <w:rPr>
          <w:rFonts w:hint="default" w:ascii="Times New Roman" w:hAnsi="Times New Roman" w:eastAsia="仿宋_GB2312" w:cs="Times New Roman"/>
          <w:color w:val="000000" w:themeColor="text1"/>
          <w:kern w:val="0"/>
          <w:sz w:val="32"/>
          <w:szCs w:val="32"/>
          <w14:textFill>
            <w14:solidFill>
              <w14:schemeClr w14:val="tx1"/>
            </w14:solidFill>
          </w14:textFill>
        </w:rPr>
        <w:t>积极向上争取资金和政策扶持。通过政府引导扶持，吸引更多银行信贷资金和社会资金投入服务业，引导业主通过项目融资、资产重组等各种形式等筹集资金，加快全县服务业发展。引导商业银行在防范资金风险的前提下，放宽物流企业贷款融资条件，降低其融资成本；建立物流业融资担保体系，协助中小物流企业取得贷款。支持服务业企业创新发展，鼓励培育平台经济、创意经济、体验经济和分享经济。推动产业结构优化升级，促进经济发展提质增效。</w:t>
      </w:r>
    </w:p>
    <w:p>
      <w:pPr>
        <w:pStyle w:val="4"/>
        <w:keepNext w:val="0"/>
        <w:keepLines w:val="0"/>
        <w:spacing w:before="0" w:after="0" w:line="560" w:lineRule="exact"/>
        <w:ind w:firstLine="640" w:firstLineChars="200"/>
        <w:rPr>
          <w:rFonts w:hint="default" w:ascii="Times New Roman" w:hAnsi="Times New Roman" w:eastAsia="黑体" w:cs="Times New Roman"/>
          <w:b w:val="0"/>
          <w:bCs w:val="0"/>
          <w:color w:val="000000" w:themeColor="text1"/>
          <w14:textFill>
            <w14:solidFill>
              <w14:schemeClr w14:val="tx1"/>
            </w14:solidFill>
          </w14:textFill>
        </w:rPr>
      </w:pPr>
      <w:bookmarkStart w:id="147" w:name="_Toc8102"/>
      <w:bookmarkStart w:id="148" w:name="_Toc7250"/>
      <w:bookmarkStart w:id="149" w:name="_Toc83296413"/>
      <w:r>
        <w:rPr>
          <w:rFonts w:hint="default" w:ascii="Times New Roman" w:hAnsi="Times New Roman" w:eastAsia="黑体" w:cs="Times New Roman"/>
          <w:b w:val="0"/>
          <w:bCs w:val="0"/>
          <w:color w:val="000000" w:themeColor="text1"/>
          <w14:textFill>
            <w14:solidFill>
              <w14:schemeClr w14:val="tx1"/>
            </w14:solidFill>
          </w14:textFill>
        </w:rPr>
        <w:t>四、品牌品质塑造工程</w:t>
      </w:r>
      <w:bookmarkEnd w:id="147"/>
      <w:bookmarkEnd w:id="148"/>
      <w:bookmarkEnd w:id="149"/>
    </w:p>
    <w:p>
      <w:pPr>
        <w:widowControl w:val="0"/>
        <w:spacing w:line="560" w:lineRule="exact"/>
        <w:ind w:firstLine="640" w:firstLineChars="200"/>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仿宋_GB2312" w:cs="Times New Roman"/>
          <w:color w:val="000000" w:themeColor="text1"/>
          <w:kern w:val="0"/>
          <w:sz w:val="32"/>
          <w:szCs w:val="32"/>
          <w14:textFill>
            <w14:solidFill>
              <w14:schemeClr w14:val="tx1"/>
            </w14:solidFill>
          </w14:textFill>
        </w:rPr>
        <w:t>积极推进品牌强县建设，打造一批特色鲜明、示范性强的服务业品牌样板。抓好模式创新及服务业标准化和品牌建设，开展服务质量满意度测评，促进全县服务业发展质量整体上升。坚持品牌化目标，做大做强柳孜运河遗址景区、淮海战役总前委旧址红色景区、临涣历史文化古城品牌，做特做优安徽淮北濉溪柳孜大运河文化艺术节、临涣棒棒</w:t>
      </w:r>
      <w:r>
        <w:rPr>
          <w:rFonts w:hint="default" w:ascii="Times New Roman" w:hAnsi="Times New Roman" w:eastAsia="仿宋_GB2312" w:cs="Times New Roman"/>
          <w:color w:val="000000" w:themeColor="text1"/>
          <w:kern w:val="0"/>
          <w:sz w:val="32"/>
          <w:szCs w:val="32"/>
          <w:highlight w:val="none"/>
          <w14:textFill>
            <w14:solidFill>
              <w14:schemeClr w14:val="tx1"/>
            </w14:solidFill>
          </w14:textFill>
        </w:rPr>
        <w:t>茶饮文化、民俗踩街展示活动、朱务平故居及纪念馆、蹇叔故里、嵇康故里等品牌。</w:t>
      </w:r>
      <w:r>
        <w:rPr>
          <w:rFonts w:ascii="Times New Roman" w:hAnsi="Times New Roman" w:eastAsia="仿宋_GB2312" w:cs="Times New Roman"/>
          <w:color w:val="000000" w:themeColor="text1"/>
          <w:sz w:val="32"/>
          <w:szCs w:val="32"/>
          <w:highlight w:val="none"/>
          <w14:textFill>
            <w14:solidFill>
              <w14:schemeClr w14:val="tx1"/>
            </w14:solidFill>
          </w14:textFill>
        </w:rPr>
        <w:t>引导企业树立品牌意识，健全品牌</w:t>
      </w:r>
      <w:r>
        <w:rPr>
          <w:rFonts w:hint="default" w:ascii="Times New Roman" w:hAnsi="Times New Roman" w:eastAsia="仿宋_GB2312" w:cs="Times New Roman"/>
          <w:color w:val="000000" w:themeColor="text1"/>
          <w:sz w:val="32"/>
          <w:szCs w:val="32"/>
          <w14:textFill>
            <w14:solidFill>
              <w14:schemeClr w14:val="tx1"/>
            </w14:solidFill>
          </w14:textFill>
        </w:rPr>
        <w:t>管理体系，提升品牌认可度和品牌价值。落实淮北质量品牌升级工程，积极开展区域品牌提升行动</w:t>
      </w:r>
      <w:r>
        <w:rPr>
          <w:rFonts w:hint="default" w:ascii="Times New Roman" w:hAnsi="Times New Roman" w:eastAsia="仿宋_GB2312" w:cs="Times New Roman"/>
          <w:color w:val="000000" w:themeColor="text1"/>
          <w:kern w:val="0"/>
          <w:sz w:val="32"/>
          <w:szCs w:val="32"/>
          <w14:textFill>
            <w14:solidFill>
              <w14:schemeClr w14:val="tx1"/>
            </w14:solidFill>
          </w14:textFill>
        </w:rPr>
        <w:t>，打造一批地理标志性商标和知名品牌，支持创建省、市服务名牌、3A级以上物流企业、3星级以上文明规范市场、国家绿色饭店及钻级酒店等。</w:t>
      </w:r>
    </w:p>
    <w:p>
      <w:pPr>
        <w:pStyle w:val="4"/>
        <w:keepNext w:val="0"/>
        <w:keepLines w:val="0"/>
        <w:spacing w:before="0" w:after="0" w:line="560" w:lineRule="exact"/>
        <w:ind w:firstLine="640" w:firstLineChars="200"/>
        <w:rPr>
          <w:rFonts w:hint="default" w:ascii="Times New Roman" w:hAnsi="Times New Roman" w:eastAsia="黑体" w:cs="Times New Roman"/>
          <w:b w:val="0"/>
          <w:bCs w:val="0"/>
          <w:color w:val="000000" w:themeColor="text1"/>
          <w14:textFill>
            <w14:solidFill>
              <w14:schemeClr w14:val="tx1"/>
            </w14:solidFill>
          </w14:textFill>
        </w:rPr>
      </w:pPr>
      <w:bookmarkStart w:id="150" w:name="_Toc83296414"/>
      <w:bookmarkStart w:id="151" w:name="_Toc21056"/>
      <w:bookmarkStart w:id="152" w:name="_Toc5894"/>
      <w:r>
        <w:rPr>
          <w:rFonts w:hint="default" w:ascii="Times New Roman" w:hAnsi="Times New Roman" w:eastAsia="黑体" w:cs="Times New Roman"/>
          <w:b w:val="0"/>
          <w:bCs w:val="0"/>
          <w:color w:val="000000" w:themeColor="text1"/>
          <w14:textFill>
            <w14:solidFill>
              <w14:schemeClr w14:val="tx1"/>
            </w14:solidFill>
          </w14:textFill>
        </w:rPr>
        <w:t>五、人力资源保障工程</w:t>
      </w:r>
      <w:bookmarkEnd w:id="150"/>
      <w:bookmarkEnd w:id="151"/>
      <w:bookmarkEnd w:id="152"/>
    </w:p>
    <w:p>
      <w:pPr>
        <w:widowControl w:val="0"/>
        <w:shd w:val="clear" w:color="auto" w:fill="FFFFFF"/>
        <w:spacing w:line="560" w:lineRule="exact"/>
        <w:ind w:firstLine="640" w:firstLineChars="200"/>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仿宋_GB2312" w:cs="Times New Roman"/>
          <w:color w:val="000000" w:themeColor="text1"/>
          <w:kern w:val="0"/>
          <w:sz w:val="32"/>
          <w:szCs w:val="32"/>
          <w14:textFill>
            <w14:solidFill>
              <w14:schemeClr w14:val="tx1"/>
            </w14:solidFill>
          </w14:textFill>
        </w:rPr>
        <w:t>创新高端人才引进模式，实施“人才引进”工程，采取高校合作、核心人物带动、高新技术项目开发等多种方式，</w:t>
      </w:r>
      <w:r>
        <w:rPr>
          <w:rFonts w:hint="default" w:ascii="Times New Roman" w:hAnsi="Times New Roman" w:eastAsia="仿宋_GB2312" w:cs="Times New Roman"/>
          <w:smallCaps/>
          <w:color w:val="000000" w:themeColor="text1"/>
          <w:sz w:val="32"/>
          <w:szCs w:val="32"/>
          <w14:textFill>
            <w14:solidFill>
              <w14:schemeClr w14:val="tx1"/>
            </w14:solidFill>
          </w14:textFill>
        </w:rPr>
        <w:t>建立柔性引才引智机制，畅通人才服务绿色通道，</w:t>
      </w:r>
      <w:r>
        <w:rPr>
          <w:rFonts w:hint="default" w:ascii="Times New Roman" w:hAnsi="Times New Roman" w:eastAsia="仿宋_GB2312" w:cs="Times New Roman"/>
          <w:color w:val="000000" w:themeColor="text1"/>
          <w:kern w:val="0"/>
          <w:sz w:val="32"/>
          <w:szCs w:val="32"/>
          <w14:textFill>
            <w14:solidFill>
              <w14:schemeClr w14:val="tx1"/>
            </w14:solidFill>
          </w14:textFill>
        </w:rPr>
        <w:t>发挥高校、科研院所、龙头企业自身及其合作单位以及商会、老乡会等作用，积极引进符合濉溪县服务业发展需要的各类创新人才；积极和知名高校、科研院所、行业专家学者进行战略合作，采用订单式教育、定制式培养等方式，为服务业发展输送高端人才；制定和落实惠及领军人才的优惠政策，对团队优、能力强、技术新、成果好的企业及项目给予支持，扩大领军人才规模，全力促进领军人才企业发展壮大；加强人才服务体系建设，实施开放、灵活的人才流动政策，出台社会保障等生活方面配套政策，加快提升满足外来人才在医疗保健、居住、子女就学、文化等方面消费需求水平，解决引进人才后顾之忧，逐步建立完善的人才配套服务体系；健全人才激励机制，完善自主创新和科技成果转化的激励分配机制，探索建立股权期权激励、创业融资、中介服务、知识产权管理等多元化、复合型的激励发展机制；强化技能人才培养。加强职业教育，加大政府投入，推行职业技能培训制度，广泛开展各种形式的职业技能培训、再就业培训、创业培训；吸引鼓励在外创业的濉溪籍的尖端人才、知名专家、企业家和创业能人回归家乡、创业家乡、置业家乡、投资家乡。</w:t>
      </w:r>
    </w:p>
    <w:p>
      <w:pPr>
        <w:widowControl w:val="0"/>
        <w:shd w:val="clear" w:color="auto" w:fill="FFFFFF"/>
        <w:spacing w:line="560" w:lineRule="exact"/>
        <w:ind w:firstLine="640" w:firstLineChars="200"/>
        <w:rPr>
          <w:rFonts w:hint="default" w:ascii="Times New Roman" w:hAnsi="Times New Roman" w:eastAsia="仿宋_GB2312" w:cs="Times New Roman"/>
          <w:color w:val="000000" w:themeColor="text1"/>
          <w:kern w:val="0"/>
          <w:sz w:val="32"/>
          <w:szCs w:val="32"/>
          <w14:textFill>
            <w14:solidFill>
              <w14:schemeClr w14:val="tx1"/>
            </w14:solidFill>
          </w14:textFill>
        </w:rPr>
      </w:pPr>
    </w:p>
    <w:p>
      <w:pPr>
        <w:widowControl w:val="0"/>
        <w:shd w:val="clear" w:color="auto" w:fill="FFFFFF"/>
        <w:spacing w:line="560" w:lineRule="exact"/>
        <w:ind w:firstLine="640" w:firstLineChars="200"/>
        <w:rPr>
          <w:rFonts w:hint="default" w:ascii="Times New Roman" w:hAnsi="Times New Roman" w:eastAsia="仿宋_GB2312" w:cs="Times New Roman"/>
          <w:color w:val="000000" w:themeColor="text1"/>
          <w:kern w:val="0"/>
          <w:sz w:val="32"/>
          <w:szCs w:val="32"/>
          <w14:textFill>
            <w14:solidFill>
              <w14:schemeClr w14:val="tx1"/>
            </w14:solidFill>
          </w14:textFill>
        </w:rPr>
      </w:pPr>
    </w:p>
    <w:p>
      <w:pPr>
        <w:widowControl w:val="0"/>
        <w:shd w:val="clear" w:color="auto" w:fill="FFFFFF"/>
        <w:spacing w:line="560" w:lineRule="exact"/>
        <w:ind w:firstLine="640" w:firstLineChars="200"/>
        <w:rPr>
          <w:rFonts w:hint="default" w:ascii="Times New Roman" w:hAnsi="Times New Roman" w:eastAsia="仿宋_GB2312" w:cs="Times New Roman"/>
          <w:color w:val="000000" w:themeColor="text1"/>
          <w:kern w:val="0"/>
          <w:sz w:val="32"/>
          <w:szCs w:val="32"/>
          <w14:textFill>
            <w14:solidFill>
              <w14:schemeClr w14:val="tx1"/>
            </w14:solidFill>
          </w14:textFill>
        </w:rPr>
      </w:pPr>
    </w:p>
    <w:p>
      <w:pPr>
        <w:widowControl w:val="0"/>
        <w:shd w:val="clear" w:color="auto" w:fill="FFFFFF"/>
        <w:spacing w:line="560" w:lineRule="exact"/>
        <w:ind w:firstLine="640" w:firstLineChars="200"/>
        <w:rPr>
          <w:rFonts w:hint="default" w:ascii="Times New Roman" w:hAnsi="Times New Roman" w:eastAsia="仿宋_GB2312" w:cs="Times New Roman"/>
          <w:color w:val="000000" w:themeColor="text1"/>
          <w:kern w:val="0"/>
          <w:sz w:val="32"/>
          <w:szCs w:val="32"/>
          <w14:textFill>
            <w14:solidFill>
              <w14:schemeClr w14:val="tx1"/>
            </w14:solidFill>
          </w14:textFill>
        </w:rPr>
      </w:pPr>
    </w:p>
    <w:p>
      <w:pPr>
        <w:widowControl w:val="0"/>
        <w:shd w:val="clear" w:color="auto" w:fill="FFFFFF"/>
        <w:spacing w:line="560" w:lineRule="exact"/>
        <w:ind w:firstLine="640" w:firstLineChars="200"/>
        <w:rPr>
          <w:rFonts w:hint="default" w:ascii="Times New Roman" w:hAnsi="Times New Roman" w:eastAsia="仿宋_GB2312" w:cs="Times New Roman"/>
          <w:color w:val="000000" w:themeColor="text1"/>
          <w:kern w:val="0"/>
          <w:sz w:val="32"/>
          <w:szCs w:val="32"/>
          <w14:textFill>
            <w14:solidFill>
              <w14:schemeClr w14:val="tx1"/>
            </w14:solidFill>
          </w14:textFill>
        </w:rPr>
      </w:pPr>
    </w:p>
    <w:p>
      <w:pPr>
        <w:widowControl w:val="0"/>
        <w:shd w:val="clear" w:color="auto" w:fill="FFFFFF"/>
        <w:spacing w:line="560" w:lineRule="exact"/>
        <w:ind w:firstLine="640" w:firstLineChars="200"/>
        <w:rPr>
          <w:rFonts w:hint="default" w:ascii="Times New Roman" w:hAnsi="Times New Roman" w:eastAsia="仿宋_GB2312" w:cs="Times New Roman"/>
          <w:color w:val="000000" w:themeColor="text1"/>
          <w:kern w:val="0"/>
          <w:sz w:val="32"/>
          <w:szCs w:val="32"/>
          <w14:textFill>
            <w14:solidFill>
              <w14:schemeClr w14:val="tx1"/>
            </w14:solidFill>
          </w14:textFill>
        </w:rPr>
      </w:pPr>
    </w:p>
    <w:p>
      <w:pPr>
        <w:widowControl w:val="0"/>
        <w:shd w:val="clear" w:color="auto" w:fill="FFFFFF"/>
        <w:spacing w:line="560" w:lineRule="exact"/>
        <w:ind w:firstLine="640" w:firstLineChars="200"/>
        <w:rPr>
          <w:rFonts w:hint="default" w:ascii="Times New Roman" w:hAnsi="Times New Roman" w:eastAsia="仿宋_GB2312" w:cs="Times New Roman"/>
          <w:color w:val="000000" w:themeColor="text1"/>
          <w:kern w:val="0"/>
          <w:sz w:val="32"/>
          <w:szCs w:val="32"/>
          <w14:textFill>
            <w14:solidFill>
              <w14:schemeClr w14:val="tx1"/>
            </w14:solidFill>
          </w14:textFill>
        </w:rPr>
      </w:pPr>
    </w:p>
    <w:p>
      <w:pPr>
        <w:widowControl w:val="0"/>
        <w:shd w:val="clear" w:color="auto" w:fill="FFFFFF"/>
        <w:spacing w:line="560" w:lineRule="exact"/>
        <w:ind w:firstLine="640" w:firstLineChars="200"/>
        <w:rPr>
          <w:rFonts w:hint="default" w:ascii="Times New Roman" w:hAnsi="Times New Roman" w:eastAsia="仿宋_GB2312" w:cs="Times New Roman"/>
          <w:color w:val="000000" w:themeColor="text1"/>
          <w:kern w:val="0"/>
          <w:sz w:val="32"/>
          <w:szCs w:val="32"/>
          <w14:textFill>
            <w14:solidFill>
              <w14:schemeClr w14:val="tx1"/>
            </w14:solidFill>
          </w14:textFill>
        </w:rPr>
      </w:pPr>
    </w:p>
    <w:p>
      <w:pPr>
        <w:widowControl w:val="0"/>
        <w:shd w:val="clear" w:color="auto" w:fill="FFFFFF"/>
        <w:spacing w:line="560" w:lineRule="exact"/>
        <w:ind w:firstLine="640" w:firstLineChars="200"/>
        <w:rPr>
          <w:rFonts w:hint="default" w:ascii="Times New Roman" w:hAnsi="Times New Roman" w:eastAsia="仿宋_GB2312" w:cs="Times New Roman"/>
          <w:color w:val="000000" w:themeColor="text1"/>
          <w:kern w:val="0"/>
          <w:sz w:val="32"/>
          <w:szCs w:val="32"/>
          <w14:textFill>
            <w14:solidFill>
              <w14:schemeClr w14:val="tx1"/>
            </w14:solidFill>
          </w14:textFill>
        </w:rPr>
      </w:pPr>
    </w:p>
    <w:p>
      <w:pPr>
        <w:widowControl w:val="0"/>
        <w:shd w:val="clear" w:color="auto" w:fill="FFFFFF"/>
        <w:spacing w:line="560" w:lineRule="exact"/>
        <w:ind w:firstLine="640" w:firstLineChars="200"/>
        <w:rPr>
          <w:rFonts w:hint="default" w:ascii="Times New Roman" w:hAnsi="Times New Roman" w:eastAsia="仿宋_GB2312" w:cs="Times New Roman"/>
          <w:color w:val="000000" w:themeColor="text1"/>
          <w:kern w:val="0"/>
          <w:sz w:val="32"/>
          <w:szCs w:val="32"/>
          <w14:textFill>
            <w14:solidFill>
              <w14:schemeClr w14:val="tx1"/>
            </w14:solidFill>
          </w14:textFill>
        </w:rPr>
      </w:pPr>
    </w:p>
    <w:p>
      <w:pPr>
        <w:widowControl w:val="0"/>
        <w:shd w:val="clear" w:color="auto" w:fill="FFFFFF"/>
        <w:spacing w:line="560" w:lineRule="exact"/>
        <w:ind w:firstLine="640" w:firstLineChars="200"/>
        <w:rPr>
          <w:rFonts w:hint="default" w:ascii="Times New Roman" w:hAnsi="Times New Roman" w:eastAsia="仿宋_GB2312" w:cs="Times New Roman"/>
          <w:color w:val="000000" w:themeColor="text1"/>
          <w:kern w:val="0"/>
          <w:sz w:val="32"/>
          <w:szCs w:val="32"/>
          <w14:textFill>
            <w14:solidFill>
              <w14:schemeClr w14:val="tx1"/>
            </w14:solidFill>
          </w14:textFill>
        </w:rPr>
      </w:pPr>
    </w:p>
    <w:p>
      <w:pPr>
        <w:pStyle w:val="3"/>
        <w:keepNext w:val="0"/>
        <w:keepLines w:val="0"/>
        <w:pageBreakBefore w:val="0"/>
        <w:widowControl w:val="0"/>
        <w:kinsoku/>
        <w:wordWrap/>
        <w:overflowPunct/>
        <w:topLinePunct w:val="0"/>
        <w:autoSpaceDE/>
        <w:autoSpaceDN/>
        <w:bidi w:val="0"/>
        <w:spacing w:before="0" w:after="0" w:line="560" w:lineRule="exact"/>
        <w:jc w:val="center"/>
        <w:textAlignment w:val="auto"/>
        <w:rPr>
          <w:rFonts w:hint="default" w:ascii="Times New Roman" w:hAnsi="Times New Roman" w:cs="Times New Roman"/>
          <w:color w:val="000000" w:themeColor="text1"/>
          <w:sz w:val="32"/>
          <w:szCs w:val="32"/>
          <w14:textFill>
            <w14:solidFill>
              <w14:schemeClr w14:val="tx1"/>
            </w14:solidFill>
          </w14:textFill>
        </w:rPr>
      </w:pPr>
      <w:bookmarkStart w:id="153" w:name="_Toc83296415"/>
      <w:bookmarkStart w:id="154" w:name="_Toc29118"/>
    </w:p>
    <w:p>
      <w:pPr>
        <w:rPr>
          <w:rFonts w:hint="default" w:ascii="Times New Roman" w:hAnsi="Times New Roman" w:cs="Times New Roman"/>
          <w:color w:val="000000" w:themeColor="text1"/>
          <w:sz w:val="32"/>
          <w:szCs w:val="32"/>
          <w14:textFill>
            <w14:solidFill>
              <w14:schemeClr w14:val="tx1"/>
            </w14:solidFill>
          </w14:textFill>
        </w:rPr>
      </w:pPr>
    </w:p>
    <w:p>
      <w:pPr>
        <w:pStyle w:val="4"/>
        <w:rPr>
          <w:rFonts w:hint="default"/>
        </w:rPr>
      </w:pPr>
    </w:p>
    <w:p>
      <w:pPr>
        <w:pStyle w:val="3"/>
        <w:keepNext w:val="0"/>
        <w:keepLines w:val="0"/>
        <w:pageBreakBefore w:val="0"/>
        <w:widowControl w:val="0"/>
        <w:kinsoku/>
        <w:wordWrap/>
        <w:overflowPunct/>
        <w:topLinePunct w:val="0"/>
        <w:autoSpaceDE/>
        <w:autoSpaceDN/>
        <w:bidi w:val="0"/>
        <w:spacing w:before="0" w:after="0" w:line="560" w:lineRule="exact"/>
        <w:jc w:val="center"/>
        <w:textAlignment w:val="auto"/>
        <w:rPr>
          <w:rFonts w:hint="default" w:ascii="Times New Roman" w:hAnsi="Times New Roman" w:cs="Times New Roman"/>
          <w:color w:val="000000" w:themeColor="text1"/>
          <w:sz w:val="32"/>
          <w:szCs w:val="32"/>
          <w14:textFill>
            <w14:solidFill>
              <w14:schemeClr w14:val="tx1"/>
            </w14:solidFill>
          </w14:textFill>
        </w:rPr>
      </w:pPr>
    </w:p>
    <w:p>
      <w:pPr>
        <w:pStyle w:val="3"/>
        <w:keepNext w:val="0"/>
        <w:keepLines w:val="0"/>
        <w:pageBreakBefore w:val="0"/>
        <w:widowControl w:val="0"/>
        <w:kinsoku/>
        <w:wordWrap/>
        <w:overflowPunct/>
        <w:topLinePunct w:val="0"/>
        <w:autoSpaceDE/>
        <w:autoSpaceDN/>
        <w:bidi w:val="0"/>
        <w:spacing w:before="0" w:after="0" w:line="560" w:lineRule="exact"/>
        <w:jc w:val="center"/>
        <w:textAlignment w:val="auto"/>
        <w:rPr>
          <w:rFonts w:hint="default" w:ascii="Times New Roman" w:hAnsi="Times New Roman" w:cs="Times New Roman"/>
          <w:color w:val="000000" w:themeColor="text1"/>
          <w:sz w:val="32"/>
          <w:szCs w:val="32"/>
          <w14:textFill>
            <w14:solidFill>
              <w14:schemeClr w14:val="tx1"/>
            </w14:solidFill>
          </w14:textFill>
        </w:rPr>
      </w:pPr>
    </w:p>
    <w:p>
      <w:pPr>
        <w:pStyle w:val="3"/>
        <w:keepNext w:val="0"/>
        <w:keepLines w:val="0"/>
        <w:pageBreakBefore w:val="0"/>
        <w:widowControl w:val="0"/>
        <w:kinsoku/>
        <w:wordWrap/>
        <w:overflowPunct/>
        <w:topLinePunct w:val="0"/>
        <w:autoSpaceDE/>
        <w:autoSpaceDN/>
        <w:bidi w:val="0"/>
        <w:spacing w:before="0" w:after="0" w:line="560" w:lineRule="exact"/>
        <w:jc w:val="center"/>
        <w:textAlignment w:val="auto"/>
        <w:rPr>
          <w:rFonts w:hint="default" w:ascii="Times New Roman" w:hAnsi="Times New Roman" w:cs="Times New Roman"/>
          <w:color w:val="000000" w:themeColor="text1"/>
          <w:sz w:val="32"/>
          <w:szCs w:val="32"/>
          <w14:textFill>
            <w14:solidFill>
              <w14:schemeClr w14:val="tx1"/>
            </w14:solidFill>
          </w14:textFill>
        </w:rPr>
      </w:pPr>
    </w:p>
    <w:p>
      <w:pPr>
        <w:pStyle w:val="3"/>
        <w:keepNext w:val="0"/>
        <w:keepLines w:val="0"/>
        <w:pageBreakBefore w:val="0"/>
        <w:widowControl w:val="0"/>
        <w:kinsoku/>
        <w:wordWrap/>
        <w:overflowPunct/>
        <w:topLinePunct w:val="0"/>
        <w:autoSpaceDE/>
        <w:autoSpaceDN/>
        <w:bidi w:val="0"/>
        <w:spacing w:before="0" w:after="0" w:line="560" w:lineRule="exact"/>
        <w:jc w:val="center"/>
        <w:textAlignment w:val="auto"/>
        <w:rPr>
          <w:rFonts w:hint="default" w:ascii="Times New Roman" w:hAnsi="Times New Roman" w:eastAsia="方正小标宋简体" w:cs="Times New Roman"/>
          <w:b w:val="0"/>
          <w:bCs w:val="0"/>
          <w:color w:val="000000" w:themeColor="text1"/>
          <w:sz w:val="44"/>
          <w:szCs w:val="44"/>
          <w14:textFill>
            <w14:solidFill>
              <w14:schemeClr w14:val="tx1"/>
            </w14:solidFill>
          </w14:textFill>
        </w:rPr>
      </w:pPr>
      <w:bookmarkStart w:id="155" w:name="_Toc5301"/>
      <w:r>
        <w:rPr>
          <w:rFonts w:hint="default" w:ascii="Times New Roman" w:hAnsi="Times New Roman" w:eastAsia="方正小标宋简体" w:cs="Times New Roman"/>
          <w:b w:val="0"/>
          <w:bCs w:val="0"/>
          <w:color w:val="000000" w:themeColor="text1"/>
          <w:sz w:val="44"/>
          <w:szCs w:val="44"/>
          <w14:textFill>
            <w14:solidFill>
              <w14:schemeClr w14:val="tx1"/>
            </w14:solidFill>
          </w14:textFill>
        </w:rPr>
        <w:t>第五章  服务业空间布局</w:t>
      </w:r>
      <w:bookmarkEnd w:id="153"/>
      <w:bookmarkEnd w:id="154"/>
      <w:bookmarkEnd w:id="155"/>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楷体_GB2312" w:cs="Times New Roman"/>
          <w:b/>
          <w:bCs/>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“十四五”时期，濉溪县深度融入长三角一体化发展战略，优化服务业区域分工，形成区域协调发展的服务业格局。</w:t>
      </w:r>
    </w:p>
    <w:p>
      <w:pPr>
        <w:pStyle w:val="4"/>
        <w:keepNext w:val="0"/>
        <w:keepLines w:val="0"/>
        <w:spacing w:before="0" w:after="0" w:line="560" w:lineRule="exact"/>
        <w:ind w:firstLine="640" w:firstLineChars="200"/>
        <w:rPr>
          <w:rFonts w:hint="default" w:ascii="Times New Roman" w:hAnsi="Times New Roman" w:eastAsia="黑体" w:cs="Times New Roman"/>
          <w:b w:val="0"/>
          <w:bCs w:val="0"/>
          <w:color w:val="000000" w:themeColor="text1"/>
          <w14:textFill>
            <w14:solidFill>
              <w14:schemeClr w14:val="tx1"/>
            </w14:solidFill>
          </w14:textFill>
        </w:rPr>
      </w:pPr>
      <w:bookmarkStart w:id="156" w:name="_Toc83296416"/>
      <w:bookmarkStart w:id="157" w:name="_Toc25209"/>
      <w:bookmarkStart w:id="158" w:name="_Toc17031"/>
      <w:r>
        <w:rPr>
          <w:rFonts w:hint="default" w:ascii="Times New Roman" w:hAnsi="Times New Roman" w:eastAsia="黑体" w:cs="Times New Roman"/>
          <w:b w:val="0"/>
          <w:bCs w:val="0"/>
          <w:color w:val="000000" w:themeColor="text1"/>
          <w14:textFill>
            <w14:solidFill>
              <w14:schemeClr w14:val="tx1"/>
            </w14:solidFill>
          </w14:textFill>
        </w:rPr>
        <w:t>一、总体布局</w:t>
      </w:r>
      <w:bookmarkEnd w:id="156"/>
      <w:bookmarkEnd w:id="157"/>
      <w:bookmarkEnd w:id="158"/>
    </w:p>
    <w:p>
      <w:pPr>
        <w:widowControl w:val="0"/>
        <w:numPr>
          <w:ilvl w:val="255"/>
          <w:numId w:val="0"/>
        </w:numPr>
        <w:shd w:val="clear" w:color="auto" w:fill="FFFFFF"/>
        <w:spacing w:line="560" w:lineRule="exact"/>
        <w:ind w:firstLine="640" w:firstLineChars="200"/>
        <w:rPr>
          <w:rFonts w:hint="default" w:ascii="Times New Roman" w:hAnsi="Times New Roman" w:eastAsia="仿宋_GB2312" w:cs="Times New Roman"/>
          <w:b/>
          <w:bCs/>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依据全省服务业规划“双核一带三区”和淮北市服务业规划“一主一副、两轴一带”的空间布局和打造“两淮一蚌服务业引领转型区”的要求，遵循“产业集聚、布局集中、资源集约”的原则，基于濉溪县“一心两极多基点”的产业发展、城镇空间格局和各镇区服务业发展基础，依托老城升级、南部次中心建设、双堆集新城建设、临涣古镇建设、省级服务业集聚区提升、园区两业融合发展，增强完善城市服务功能，形成一批产业集聚、特色鲜明、功能完善的服务业发展集聚区，引导商贸商务、文化旅游、现代物流等现代服务业在全县范围内进行科学布局。</w:t>
      </w:r>
    </w:p>
    <w:p>
      <w:pPr>
        <w:pStyle w:val="4"/>
        <w:keepNext w:val="0"/>
        <w:keepLines w:val="0"/>
        <w:spacing w:before="0" w:after="0" w:line="560" w:lineRule="exact"/>
        <w:ind w:firstLine="640" w:firstLineChars="200"/>
        <w:rPr>
          <w:rFonts w:hint="default" w:ascii="Times New Roman" w:hAnsi="Times New Roman" w:eastAsia="黑体" w:cs="Times New Roman"/>
          <w:b w:val="0"/>
          <w:bCs w:val="0"/>
          <w:color w:val="000000" w:themeColor="text1"/>
          <w14:textFill>
            <w14:solidFill>
              <w14:schemeClr w14:val="tx1"/>
            </w14:solidFill>
          </w14:textFill>
        </w:rPr>
      </w:pPr>
      <w:bookmarkStart w:id="159" w:name="_Toc83296417"/>
      <w:bookmarkStart w:id="160" w:name="_Toc851"/>
      <w:bookmarkStart w:id="161" w:name="_Toc13232"/>
      <w:r>
        <w:rPr>
          <w:rFonts w:hint="default" w:ascii="Times New Roman" w:hAnsi="Times New Roman" w:eastAsia="黑体" w:cs="Times New Roman"/>
          <w:b w:val="0"/>
          <w:bCs w:val="0"/>
          <w:color w:val="000000" w:themeColor="text1"/>
          <w14:textFill>
            <w14:solidFill>
              <w14:schemeClr w14:val="tx1"/>
            </w14:solidFill>
          </w14:textFill>
        </w:rPr>
        <w:t>二、生产性服务业布局</w:t>
      </w:r>
      <w:bookmarkEnd w:id="159"/>
      <w:bookmarkEnd w:id="160"/>
      <w:bookmarkEnd w:id="161"/>
    </w:p>
    <w:p>
      <w:pPr>
        <w:widowControl w:val="0"/>
        <w:shd w:val="clear" w:color="auto" w:fill="FFFFFF"/>
        <w:spacing w:line="56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围绕现有省级服务业集聚区升级和濉溪经开区、濉芜产业园及各镇区工业园两业融合发展，布局现代服务业。</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服务业集聚区升级。落实现有省级服务业集聚区的规划定位，濉溪县百善物流园重点发展煤炭、煤化工、农副产品等专业物流；濉溪县电子商务产业园，坚持传统电商、产业电商、电商配套、仓储物流四大电商模块一体，以生产型、农副产品深加工配套电商技术服务、电商项目运营、互联网+酒业创客工厂、智能仓储中心、品牌运营中心于一体的综合电子商务产业聚集区；濉溪县电子商务产业园（淮海壹号），坚持以电子商务产业孵化基地为中心、互联网信息技术研发基地、电子商务、创客空间、濉溪文化创意园区、互联网金融、智能化仓储物流中心与一体的互联网综合型小微企业创业基地，加快基础设施建设，实现集聚区升级发展；中瑞新型农产品批发市场新型专业市场，持续推进农产品交易、仓储物流、冷链物流、加工配送、商务服务、检测检疫、农产品展示等能力建设。争创省级服务业综合改革试点、濉溪县公铁水多式联运现代物流集聚区、农产品冷链现代物流集聚区等，形成一批产业集聚、特色鲜明、功能完善的现代服务业发展集聚区。</w:t>
      </w:r>
    </w:p>
    <w:p>
      <w:pPr>
        <w:widowControl w:val="0"/>
        <w:shd w:val="clear" w:color="auto" w:fill="FFFFFF"/>
        <w:spacing w:line="56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园区配套发展现代服务业。濉溪经开区聚焦铝基新材料、高端装备制造、新能源新材料、汽车部件等主导产业；濉芜产业园聚焦装备制造、新能源新材料产业；安徽（淮北）新型煤化工合成材料基地聚焦甲醇主导产业，延伸产业链；百善现代农业综合开发示范区聚焦粮食产业；濉溪镇、百善镇、刘桥镇、临涣镇、南坪镇、韩村镇工业园区聚焦主导产业，有序发展现代服务业，尤其是生产性服务业，促进先进制造业、现代农业与现代服务业的深度融合发展。</w:t>
      </w:r>
      <w:bookmarkStart w:id="162" w:name="_Toc490259490"/>
      <w:bookmarkStart w:id="163" w:name="_Toc488224108"/>
      <w:r>
        <w:rPr>
          <w:rFonts w:hint="default" w:ascii="Times New Roman" w:hAnsi="Times New Roman" w:eastAsia="仿宋_GB2312" w:cs="Times New Roman"/>
          <w:color w:val="000000" w:themeColor="text1"/>
          <w:sz w:val="32"/>
          <w:szCs w:val="32"/>
          <w14:textFill>
            <w14:solidFill>
              <w14:schemeClr w14:val="tx1"/>
            </w14:solidFill>
          </w14:textFill>
        </w:rPr>
        <w:t>其他各镇区依据资源禀赋、产业基础、经济发展水平等，立足农副产品、工业消费品、生产资料和特种商品市场，完善基础设施配套，打造新型专业市场集聚区和现代物流集聚区，突出特色、错位发展，有选择、有重点、分层次地推进区域现代服务业重点领域的发展。</w:t>
      </w:r>
    </w:p>
    <w:p>
      <w:pPr>
        <w:pStyle w:val="4"/>
        <w:keepNext w:val="0"/>
        <w:keepLines w:val="0"/>
        <w:spacing w:before="0" w:after="0" w:line="560" w:lineRule="exact"/>
        <w:ind w:firstLine="640" w:firstLineChars="200"/>
        <w:rPr>
          <w:rFonts w:hint="default" w:ascii="Times New Roman" w:hAnsi="Times New Roman" w:eastAsia="黑体" w:cs="Times New Roman"/>
          <w:b w:val="0"/>
          <w:bCs w:val="0"/>
          <w:color w:val="000000" w:themeColor="text1"/>
          <w14:textFill>
            <w14:solidFill>
              <w14:schemeClr w14:val="tx1"/>
            </w14:solidFill>
          </w14:textFill>
        </w:rPr>
      </w:pPr>
      <w:bookmarkStart w:id="164" w:name="_Toc9876"/>
      <w:bookmarkStart w:id="165" w:name="_Toc8651"/>
      <w:bookmarkStart w:id="166" w:name="_Toc83296418"/>
      <w:r>
        <w:rPr>
          <w:rFonts w:hint="default" w:ascii="Times New Roman" w:hAnsi="Times New Roman" w:eastAsia="黑体" w:cs="Times New Roman"/>
          <w:b w:val="0"/>
          <w:bCs w:val="0"/>
          <w:color w:val="000000" w:themeColor="text1"/>
          <w14:textFill>
            <w14:solidFill>
              <w14:schemeClr w14:val="tx1"/>
            </w14:solidFill>
          </w14:textFill>
        </w:rPr>
        <w:t>三、生活性服务业布局</w:t>
      </w:r>
      <w:bookmarkEnd w:id="164"/>
      <w:bookmarkEnd w:id="165"/>
      <w:bookmarkEnd w:id="166"/>
    </w:p>
    <w:p>
      <w:pPr>
        <w:widowControl w:val="0"/>
        <w:shd w:val="clear" w:color="auto" w:fill="FFFFFF"/>
        <w:spacing w:line="56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结合老城改造、新城完善、新区建设，重点围绕河西新区、南部次中心、双堆集新城，以及县城到临涣古镇一线，打造“三片一线”布局，重点布局生活性服务业。</w:t>
      </w:r>
    </w:p>
    <w:p>
      <w:pPr>
        <w:widowControl w:val="0"/>
        <w:shd w:val="clear" w:color="auto" w:fill="FFFFFF"/>
        <w:spacing w:line="560" w:lineRule="exact"/>
        <w:ind w:firstLine="640" w:firstLineChars="20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老城河西新区作为濉溪“宜居新城”板块，打造集政务、教育、文体、居住等功能为一体的高品质健康生活区，规划在主城、河西、濉芜产业园区建设商业综合体等。南部次中心地处县域中心位置，实现综合功能、生态绿化、建设品质、文化内涵和服务水平等“五大提升”，打造成为皖北地区以煤化为特色的产业新城、皖北生态文明建设样板、淮北都市区“南下”战略的核心增长极、濉溪县县域新中心，成为淮北南部乐业宜居、创新活力的新型城市，到“十四五”末，南部次中心起步区基本建成，集聚人口超过6万人，同时大力培育新型煤化工、碳科技产业和现代服务业、现代农产品加工业，打造新的人口聚集区、经济增长极，辐射带动县域南部地区全面发展。双堆集新城，依托高铁双堆集站的建设，承担淮北市南部交通枢纽功能，辐射带动双堆集、南坪聚集发展，打造成宜业宜居、创新开放的现代新城。同时从县城到临涣古镇沿线</w:t>
      </w:r>
      <w:r>
        <w:rPr>
          <w:rFonts w:hint="default" w:ascii="Times New Roman" w:hAnsi="Times New Roman" w:eastAsia="宋体" w:cs="Times New Roman"/>
          <w:color w:val="000000" w:themeColor="text1"/>
          <w:sz w:val="32"/>
          <w:szCs w:val="32"/>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依托濉溪良好的文化、旅游资源（临涣文昌宫、小李庄前委旧址、双堆集烈士陵园红色旅游线和濉溪老城石板街、乾隆湖风景区、柳孜运河遗址等旅游线），大力发展特色餐饮和旅游业等。</w:t>
      </w:r>
      <w:bookmarkEnd w:id="162"/>
      <w:bookmarkEnd w:id="163"/>
    </w:p>
    <w:p>
      <w:pPr>
        <w:pStyle w:val="3"/>
        <w:keepNext w:val="0"/>
        <w:keepLines w:val="0"/>
        <w:pageBreakBefore w:val="0"/>
        <w:widowControl w:val="0"/>
        <w:kinsoku/>
        <w:wordWrap/>
        <w:overflowPunct/>
        <w:topLinePunct w:val="0"/>
        <w:autoSpaceDE/>
        <w:autoSpaceDN/>
        <w:bidi w:val="0"/>
        <w:spacing w:before="0" w:after="0" w:line="560" w:lineRule="exact"/>
        <w:jc w:val="center"/>
        <w:textAlignment w:val="auto"/>
        <w:rPr>
          <w:rFonts w:hint="default" w:ascii="Times New Roman" w:hAnsi="Times New Roman" w:eastAsia="方正小标宋简体" w:cs="Times New Roman"/>
          <w:b w:val="0"/>
          <w:bCs w:val="0"/>
          <w:color w:val="000000" w:themeColor="text1"/>
          <w:sz w:val="44"/>
          <w:szCs w:val="44"/>
          <w14:textFill>
            <w14:solidFill>
              <w14:schemeClr w14:val="tx1"/>
            </w14:solidFill>
          </w14:textFill>
        </w:rPr>
      </w:pPr>
      <w:bookmarkStart w:id="167" w:name="_Toc20117"/>
      <w:bookmarkStart w:id="168" w:name="_Toc15972"/>
      <w:bookmarkStart w:id="169" w:name="_Toc83296419"/>
      <w:r>
        <w:rPr>
          <w:rFonts w:hint="default" w:ascii="Times New Roman" w:hAnsi="Times New Roman" w:eastAsia="方正小标宋简体" w:cs="Times New Roman"/>
          <w:b w:val="0"/>
          <w:bCs w:val="0"/>
          <w:color w:val="000000" w:themeColor="text1"/>
          <w:sz w:val="44"/>
          <w:szCs w:val="44"/>
          <w14:textFill>
            <w14:solidFill>
              <w14:schemeClr w14:val="tx1"/>
            </w14:solidFill>
          </w14:textFill>
        </w:rPr>
        <w:t>第六章  保障措施</w:t>
      </w:r>
      <w:bookmarkEnd w:id="167"/>
      <w:bookmarkEnd w:id="168"/>
      <w:bookmarkEnd w:id="169"/>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以习近平</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新时代</w:t>
      </w:r>
      <w:r>
        <w:rPr>
          <w:rFonts w:hint="default" w:ascii="Times New Roman" w:hAnsi="Times New Roman" w:eastAsia="仿宋_GB2312" w:cs="Times New Roman"/>
          <w:color w:val="000000" w:themeColor="text1"/>
          <w:sz w:val="32"/>
          <w:szCs w:val="32"/>
          <w14:textFill>
            <w14:solidFill>
              <w14:schemeClr w14:val="tx1"/>
            </w14:solidFill>
          </w14:textFill>
        </w:rPr>
        <w:t>中国特色社会主义思想为指导，建立健全党领导服务业发展的体制机制，确保目标任务顺利完成。</w:t>
      </w:r>
    </w:p>
    <w:p>
      <w:pPr>
        <w:pStyle w:val="4"/>
        <w:keepNext w:val="0"/>
        <w:keepLines w:val="0"/>
        <w:spacing w:before="0" w:after="0" w:line="560" w:lineRule="exact"/>
        <w:ind w:firstLine="640" w:firstLineChars="200"/>
        <w:rPr>
          <w:rFonts w:hint="default" w:ascii="Times New Roman" w:hAnsi="Times New Roman" w:eastAsia="黑体" w:cs="Times New Roman"/>
          <w:b w:val="0"/>
          <w:bCs w:val="0"/>
          <w:color w:val="000000" w:themeColor="text1"/>
          <w14:textFill>
            <w14:solidFill>
              <w14:schemeClr w14:val="tx1"/>
            </w14:solidFill>
          </w14:textFill>
        </w:rPr>
      </w:pPr>
      <w:bookmarkStart w:id="170" w:name="_Toc28875"/>
      <w:bookmarkStart w:id="171" w:name="_Toc83296420"/>
      <w:bookmarkStart w:id="172" w:name="_Toc30648"/>
      <w:r>
        <w:rPr>
          <w:rFonts w:hint="default" w:ascii="Times New Roman" w:hAnsi="Times New Roman" w:eastAsia="黑体" w:cs="Times New Roman"/>
          <w:b w:val="0"/>
          <w:bCs w:val="0"/>
          <w:color w:val="000000" w:themeColor="text1"/>
          <w14:textFill>
            <w14:solidFill>
              <w14:schemeClr w14:val="tx1"/>
            </w14:solidFill>
          </w14:textFill>
        </w:rPr>
        <w:t>一、加强组织协调</w:t>
      </w:r>
      <w:bookmarkEnd w:id="170"/>
      <w:bookmarkEnd w:id="171"/>
      <w:bookmarkEnd w:id="172"/>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坚持党总揽全局、协调各方，发挥各级党委（党组）领导核心作用，</w:t>
      </w:r>
      <w:r>
        <w:rPr>
          <w:rFonts w:hint="default" w:ascii="Times New Roman" w:hAnsi="Times New Roman" w:eastAsia="仿宋_GB2312" w:cs="Times New Roman"/>
          <w:color w:val="000000" w:themeColor="text1"/>
          <w:spacing w:val="6"/>
          <w:sz w:val="32"/>
          <w:szCs w:val="32"/>
          <w14:textFill>
            <w14:solidFill>
              <w14:schemeClr w14:val="tx1"/>
            </w14:solidFill>
          </w14:textFill>
        </w:rPr>
        <w:t>将招商引资和服务业发展作为党政“一把手”工程，</w:t>
      </w:r>
      <w:r>
        <w:rPr>
          <w:rFonts w:hint="default" w:ascii="Times New Roman" w:hAnsi="Times New Roman" w:eastAsia="仿宋_GB2312" w:cs="Times New Roman"/>
          <w:color w:val="000000" w:themeColor="text1"/>
          <w:sz w:val="32"/>
          <w:szCs w:val="32"/>
          <w14:textFill>
            <w14:solidFill>
              <w14:schemeClr w14:val="tx1"/>
            </w14:solidFill>
          </w14:textFill>
        </w:rPr>
        <w:t>由县主要领导牵头成立县服务业发展领导小组，统筹推进服务业发展，协调解决发展中存在的主要问题。领导小组各成员单位负责制定各领域发展规划或计划，研究制定相关行业政策，推进服务业集聚区和重大项目建设。领导小组办公室设在县发展改革委，具体负责领导小组的日常工作。各行业主管部门各负其责，加强配合，积极开展工作，积极发挥行业主管优势，加强对服务企业管理。</w:t>
      </w:r>
      <w:r>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t>充分发挥行业协会等的桥梁纽带作用，做好调查研究、技术推广、标准制修订和宣传推广、信息统计、人才培养等方面工作。</w:t>
      </w:r>
      <w:r>
        <w:rPr>
          <w:rFonts w:hint="default" w:ascii="Times New Roman" w:hAnsi="Times New Roman" w:eastAsia="仿宋_GB2312" w:cs="Times New Roman"/>
          <w:color w:val="000000" w:themeColor="text1"/>
          <w:sz w:val="32"/>
          <w:szCs w:val="32"/>
          <w14:textFill>
            <w14:solidFill>
              <w14:schemeClr w14:val="tx1"/>
            </w14:solidFill>
          </w14:textFill>
        </w:rPr>
        <w:t>加大对服务业企业统计人员的培训</w:t>
      </w:r>
      <w:r>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t>力度和宣传范围，</w:t>
      </w:r>
      <w:r>
        <w:rPr>
          <w:rFonts w:hint="default" w:ascii="Times New Roman" w:hAnsi="Times New Roman" w:eastAsia="仿宋_GB2312" w:cs="Times New Roman"/>
          <w:sz w:val="32"/>
          <w:szCs w:val="32"/>
        </w:rPr>
        <w:t>充分调动全社会加快发展服务业的积极性、主动性和创造性。</w:t>
      </w:r>
      <w:r>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t>同时强化考核奖惩，制定并严格落实年度服务业发展任务。</w:t>
      </w:r>
    </w:p>
    <w:p>
      <w:pPr>
        <w:pStyle w:val="4"/>
        <w:keepNext w:val="0"/>
        <w:keepLines w:val="0"/>
        <w:spacing w:before="0" w:after="0" w:line="560" w:lineRule="exact"/>
        <w:ind w:firstLine="640" w:firstLineChars="200"/>
        <w:rPr>
          <w:rFonts w:hint="default" w:ascii="Times New Roman" w:hAnsi="Times New Roman" w:eastAsia="黑体" w:cs="Times New Roman"/>
          <w:b w:val="0"/>
          <w:bCs w:val="0"/>
          <w:color w:val="000000" w:themeColor="text1"/>
          <w14:textFill>
            <w14:solidFill>
              <w14:schemeClr w14:val="tx1"/>
            </w14:solidFill>
          </w14:textFill>
        </w:rPr>
      </w:pPr>
      <w:bookmarkStart w:id="173" w:name="_Toc83296421"/>
      <w:bookmarkStart w:id="174" w:name="_Toc18995"/>
      <w:bookmarkStart w:id="175" w:name="_Toc21896"/>
      <w:r>
        <w:rPr>
          <w:rFonts w:hint="default" w:ascii="Times New Roman" w:hAnsi="Times New Roman" w:eastAsia="黑体" w:cs="Times New Roman"/>
          <w:b w:val="0"/>
          <w:bCs w:val="0"/>
          <w:color w:val="000000" w:themeColor="text1"/>
          <w14:textFill>
            <w14:solidFill>
              <w14:schemeClr w14:val="tx1"/>
            </w14:solidFill>
          </w14:textFill>
        </w:rPr>
        <w:t>二、聚焦政策扶持</w:t>
      </w:r>
      <w:bookmarkEnd w:id="173"/>
      <w:bookmarkEnd w:id="174"/>
      <w:bookmarkEnd w:id="175"/>
    </w:p>
    <w:p>
      <w:pPr>
        <w:keepNext w:val="0"/>
        <w:keepLines w:val="0"/>
        <w:pageBreakBefore w:val="0"/>
        <w:widowControl w:val="0"/>
        <w:shd w:val="clear" w:color="auto" w:fill="FFFFFF"/>
        <w:kinsoku/>
        <w:wordWrap/>
        <w:overflowPunct/>
        <w:topLinePunct w:val="0"/>
        <w:autoSpaceDE/>
        <w:autoSpaceDN/>
        <w:bidi w:val="0"/>
        <w:spacing w:line="560" w:lineRule="exact"/>
        <w:ind w:firstLine="640" w:firstLineChars="200"/>
        <w:textAlignment w:val="auto"/>
        <w:rPr>
          <w:rFonts w:hint="default" w:ascii="Times New Roman" w:hAnsi="Times New Roman" w:eastAsia="宋体" w:cs="Times New Roman"/>
          <w:color w:val="000000" w:themeColor="text1"/>
          <w:kern w:val="0"/>
          <w:szCs w:val="21"/>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全面梳理并用足用好现有的国家、省、市服务业政策，制定落实符合县服务业发展各项政策措施，</w:t>
      </w:r>
      <w:r>
        <w:rPr>
          <w:rFonts w:hint="default" w:ascii="Times New Roman" w:hAnsi="Times New Roman" w:eastAsia="仿宋_GB2312" w:cs="Times New Roman"/>
          <w:sz w:val="32"/>
          <w:szCs w:val="32"/>
        </w:rPr>
        <w:t>努力形成政策洼地效应，为服务业创造最佳发展环境。</w:t>
      </w:r>
      <w:r>
        <w:rPr>
          <w:rFonts w:hint="default" w:ascii="Times New Roman" w:hAnsi="Times New Roman" w:eastAsia="仿宋_GB2312" w:cs="Times New Roman"/>
          <w:color w:val="000000" w:themeColor="text1"/>
          <w:sz w:val="32"/>
          <w:szCs w:val="32"/>
          <w14:textFill>
            <w14:solidFill>
              <w14:schemeClr w14:val="tx1"/>
            </w14:solidFill>
          </w14:textFill>
        </w:rPr>
        <w:t>加大对服务业集聚区、重点平台、重点项目和创新型企业的扶持力度。加强政策导向，重点支持生产性服务业、新兴服务业、服务业新模式新业态发展。拓宽政府采购范围，加大公共服务、专业服务、环境服务等政府购买服务力度。健全并落实各类所有制主体统一适用的制度政策，切实解决产业发展过程中存在的不平等问题，促进服务业企业公平竞争。出台奖励政策，整合资源，优化组合，鼓励和培育现有小企业、产业单位、个体经营户发展为规上服务业企业，鼓励现有企业主体设立专门的服务业企业，增加规模以上服务企业数量，提升规上服务企业入库质量。拓宽对外开放政策体系，主动融入长江经济带和长三角经济圈。</w:t>
      </w:r>
    </w:p>
    <w:p>
      <w:pPr>
        <w:pStyle w:val="4"/>
        <w:keepNext w:val="0"/>
        <w:keepLines w:val="0"/>
        <w:spacing w:before="0" w:after="0" w:line="560" w:lineRule="exact"/>
        <w:ind w:firstLine="640" w:firstLineChars="200"/>
        <w:rPr>
          <w:rFonts w:hint="default" w:ascii="Times New Roman" w:hAnsi="Times New Roman" w:eastAsia="黑体" w:cs="Times New Roman"/>
          <w:b w:val="0"/>
          <w:bCs w:val="0"/>
          <w:color w:val="000000" w:themeColor="text1"/>
          <w14:textFill>
            <w14:solidFill>
              <w14:schemeClr w14:val="tx1"/>
            </w14:solidFill>
          </w14:textFill>
        </w:rPr>
      </w:pPr>
      <w:bookmarkStart w:id="176" w:name="_Toc14939"/>
      <w:bookmarkStart w:id="177" w:name="_Toc4240"/>
      <w:bookmarkStart w:id="178" w:name="_Toc83296422"/>
      <w:r>
        <w:rPr>
          <w:rFonts w:hint="default" w:ascii="Times New Roman" w:hAnsi="Times New Roman" w:eastAsia="黑体" w:cs="Times New Roman"/>
          <w:b w:val="0"/>
          <w:bCs w:val="0"/>
          <w:color w:val="000000" w:themeColor="text1"/>
          <w14:textFill>
            <w14:solidFill>
              <w14:schemeClr w14:val="tx1"/>
            </w14:solidFill>
          </w14:textFill>
        </w:rPr>
        <w:t>三、强化要素保障</w:t>
      </w:r>
      <w:bookmarkEnd w:id="176"/>
      <w:bookmarkEnd w:id="177"/>
      <w:bookmarkEnd w:id="178"/>
    </w:p>
    <w:p>
      <w:pPr>
        <w:spacing w:line="560" w:lineRule="exact"/>
        <w:ind w:firstLine="643" w:firstLineChars="200"/>
        <w:outlineLvl w:val="2"/>
        <w:rPr>
          <w:rFonts w:hint="default" w:ascii="Times New Roman" w:hAnsi="Times New Roman" w:eastAsia="楷体_GB2312" w:cs="Times New Roman"/>
          <w:b/>
          <w:color w:val="000000" w:themeColor="text1"/>
          <w:sz w:val="32"/>
          <w:szCs w:val="32"/>
          <w14:textFill>
            <w14:solidFill>
              <w14:schemeClr w14:val="tx1"/>
            </w14:solidFill>
          </w14:textFill>
        </w:rPr>
      </w:pPr>
      <w:bookmarkStart w:id="179" w:name="_Toc31792"/>
      <w:bookmarkStart w:id="180" w:name="_Toc6250"/>
      <w:bookmarkStart w:id="181" w:name="_Toc13132"/>
      <w:bookmarkStart w:id="182" w:name="_Toc71164876"/>
      <w:bookmarkStart w:id="183" w:name="_Toc83296423"/>
      <w:bookmarkStart w:id="184" w:name="_Toc3382"/>
      <w:bookmarkStart w:id="185" w:name="_Toc71728331"/>
      <w:bookmarkStart w:id="186" w:name="_Toc71708652"/>
      <w:bookmarkStart w:id="187" w:name="_Toc71709049"/>
      <w:bookmarkStart w:id="188" w:name="_Toc71175376"/>
      <w:bookmarkStart w:id="189" w:name="_Toc15310"/>
      <w:r>
        <w:rPr>
          <w:rFonts w:hint="default" w:ascii="Times New Roman" w:hAnsi="Times New Roman" w:eastAsia="楷体_GB2312" w:cs="Times New Roman"/>
          <w:b/>
          <w:color w:val="000000" w:themeColor="text1"/>
          <w:sz w:val="32"/>
          <w:szCs w:val="32"/>
          <w14:textFill>
            <w14:solidFill>
              <w14:schemeClr w14:val="tx1"/>
            </w14:solidFill>
          </w14:textFill>
        </w:rPr>
        <w:t>1.保障土地供应</w:t>
      </w:r>
      <w:bookmarkEnd w:id="179"/>
      <w:bookmarkEnd w:id="180"/>
      <w:bookmarkEnd w:id="181"/>
      <w:bookmarkEnd w:id="182"/>
      <w:bookmarkEnd w:id="183"/>
      <w:bookmarkEnd w:id="184"/>
      <w:bookmarkEnd w:id="185"/>
      <w:bookmarkEnd w:id="186"/>
      <w:bookmarkEnd w:id="187"/>
      <w:bookmarkEnd w:id="188"/>
    </w:p>
    <w:p>
      <w:pPr>
        <w:keepNext w:val="0"/>
        <w:keepLines w:val="0"/>
        <w:pageBreakBefore w:val="0"/>
        <w:widowControl w:val="0"/>
        <w:shd w:val="clear" w:color="auto" w:fill="FFFFFF"/>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与国土空间规划充分衔接，加强服务</w:t>
      </w:r>
      <w:r>
        <w:rPr>
          <w:rFonts w:hint="default" w:ascii="Times New Roman" w:hAnsi="Times New Roman" w:eastAsia="仿宋_GB2312" w:cs="Times New Roman"/>
          <w:color w:val="000000" w:themeColor="text1"/>
          <w:sz w:val="32"/>
          <w:szCs w:val="32"/>
          <w14:textFill>
            <w14:solidFill>
              <w14:schemeClr w14:val="tx1"/>
            </w14:solidFill>
          </w14:textFill>
        </w:rPr>
        <w:t>业用地规划、储备和供应保障，建立健全服务业用地保障机制，适度扩大现代服务业发展规划控制范围和预留空间。争取省级预留建设用地指标优先安排解决重大项目建设用地，提高现代服务业规划用地权重，在安排现代服务业重点项目建设用地计划时实行适度倾斜。优先满足现代服务业重大项目的用地需求。落实国家支持新产业新业态发展用地政策，鼓励服务业项目盘活利用存量建设用地，鼓励企业利用现有</w:t>
      </w:r>
      <w:r>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t>存量房产</w:t>
      </w:r>
      <w:r>
        <w:rPr>
          <w:rFonts w:hint="default" w:ascii="Times New Roman" w:hAnsi="Times New Roman" w:eastAsia="仿宋_GB2312" w:cs="Times New Roman"/>
          <w:color w:val="000000" w:themeColor="text1"/>
          <w:sz w:val="32"/>
          <w:szCs w:val="32"/>
          <w14:textFill>
            <w14:solidFill>
              <w14:schemeClr w14:val="tx1"/>
            </w14:solidFill>
          </w14:textFill>
        </w:rPr>
        <w:t>和土地</w:t>
      </w:r>
      <w:r>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t>资源</w:t>
      </w:r>
      <w:r>
        <w:rPr>
          <w:rFonts w:hint="default" w:ascii="Times New Roman" w:hAnsi="Times New Roman" w:eastAsia="仿宋_GB2312" w:cs="Times New Roman"/>
          <w:color w:val="000000" w:themeColor="text1"/>
          <w:sz w:val="32"/>
          <w:szCs w:val="32"/>
          <w14:textFill>
            <w14:solidFill>
              <w14:schemeClr w14:val="tx1"/>
            </w14:solidFill>
          </w14:textFill>
        </w:rPr>
        <w:t>，兴办文化创意、科研、健康养老、房屋租赁、工业旅游、众创空间、现代服务业、“互联网+”等新业态。有效整合村级存量集体建设用地，提升现有土地集约利用程度，向土地利用效率高、社会效益好的优质型服务业行业倾斜。推进服务业用地多功能开发和地上地下立体综合开发利用。探索投资者可通过出让、转让、划拨、租赁等方式取得土地使用权。</w:t>
      </w:r>
    </w:p>
    <w:p>
      <w:pPr>
        <w:spacing w:line="560" w:lineRule="exact"/>
        <w:ind w:firstLine="643" w:firstLineChars="200"/>
        <w:outlineLvl w:val="2"/>
        <w:rPr>
          <w:rFonts w:hint="default" w:ascii="Times New Roman" w:hAnsi="Times New Roman" w:eastAsia="楷体_GB2312" w:cs="Times New Roman"/>
          <w:b/>
          <w:color w:val="000000" w:themeColor="text1"/>
          <w:sz w:val="32"/>
          <w:szCs w:val="32"/>
          <w14:textFill>
            <w14:solidFill>
              <w14:schemeClr w14:val="tx1"/>
            </w14:solidFill>
          </w14:textFill>
        </w:rPr>
      </w:pPr>
      <w:bookmarkStart w:id="190" w:name="_Toc14329"/>
      <w:bookmarkStart w:id="191" w:name="_Toc71175377"/>
      <w:bookmarkStart w:id="192" w:name="_Toc11185"/>
      <w:bookmarkStart w:id="193" w:name="_Toc71164877"/>
      <w:bookmarkStart w:id="194" w:name="_Toc83296424"/>
      <w:bookmarkStart w:id="195" w:name="_Toc71709050"/>
      <w:bookmarkStart w:id="196" w:name="_Toc71708653"/>
      <w:bookmarkStart w:id="197" w:name="_Toc16021"/>
      <w:bookmarkStart w:id="198" w:name="_Toc1332"/>
      <w:bookmarkStart w:id="199" w:name="_Toc25055"/>
      <w:bookmarkStart w:id="200" w:name="_Toc71728332"/>
      <w:r>
        <w:rPr>
          <w:rFonts w:hint="default" w:ascii="Times New Roman" w:hAnsi="Times New Roman" w:eastAsia="楷体_GB2312" w:cs="Times New Roman"/>
          <w:b/>
          <w:color w:val="000000" w:themeColor="text1"/>
          <w:sz w:val="32"/>
          <w:szCs w:val="32"/>
          <w14:textFill>
            <w14:solidFill>
              <w14:schemeClr w14:val="tx1"/>
            </w14:solidFill>
          </w14:textFill>
        </w:rPr>
        <w:t>2.落实金融财税政策</w:t>
      </w:r>
      <w:bookmarkEnd w:id="190"/>
      <w:bookmarkEnd w:id="191"/>
      <w:bookmarkEnd w:id="192"/>
      <w:bookmarkEnd w:id="193"/>
      <w:bookmarkEnd w:id="194"/>
      <w:bookmarkEnd w:id="195"/>
      <w:bookmarkEnd w:id="196"/>
      <w:bookmarkEnd w:id="197"/>
      <w:bookmarkEnd w:id="198"/>
      <w:bookmarkEnd w:id="199"/>
      <w:bookmarkEnd w:id="200"/>
    </w:p>
    <w:p>
      <w:pPr>
        <w:keepNext w:val="0"/>
        <w:keepLines w:val="0"/>
        <w:pageBreakBefore w:val="0"/>
        <w:widowControl w:val="0"/>
        <w:shd w:val="clear" w:color="auto" w:fill="FFFFFF"/>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发挥财政资金的引导带动作用，加大财政资金对服务业各重点行业和领域的支持力度，探索建立现代服务业产业投资基金，培育发展新兴服务业，县财政根据资金使用情况和财力的增长情况逐年予以充实。研究制定具体管理使用办法，落实服务业引导资金采取贴补、贴息以及对国家、省、市有关扶持资金配套等方式对服务业重点企业进行扶持。协调解决企业融资难问题，降低其融资成本，引导社会资本投向服务业，支持服务业企业运用发行债券、股权融资、投贷联动、融资租赁等方式筹集资金，鼓励各类股权投资基金、信托投资机构、金融租赁机构、信用担保机构加大对生产性服务业企业和中小微服务业企业的支持力度。深化跨境人民币业务试点，促进跨境投融资便利化，鼓励服务业企业充分利用境内和境外两种资源、两个市场拓展自身业务。</w:t>
      </w:r>
    </w:p>
    <w:p>
      <w:pPr>
        <w:spacing w:line="560" w:lineRule="exact"/>
        <w:ind w:firstLine="643" w:firstLineChars="200"/>
        <w:outlineLvl w:val="2"/>
        <w:rPr>
          <w:rFonts w:hint="default" w:ascii="Times New Roman" w:hAnsi="Times New Roman" w:eastAsia="楷体_GB2312" w:cs="Times New Roman"/>
          <w:b/>
          <w:color w:val="000000" w:themeColor="text1"/>
          <w:sz w:val="32"/>
          <w:szCs w:val="32"/>
          <w14:textFill>
            <w14:solidFill>
              <w14:schemeClr w14:val="tx1"/>
            </w14:solidFill>
          </w14:textFill>
        </w:rPr>
      </w:pPr>
      <w:bookmarkStart w:id="201" w:name="_Toc71709051"/>
      <w:bookmarkStart w:id="202" w:name="_Toc30100"/>
      <w:bookmarkStart w:id="203" w:name="_Toc4285"/>
      <w:bookmarkStart w:id="204" w:name="_Toc83296425"/>
      <w:bookmarkStart w:id="205" w:name="_Toc71728333"/>
      <w:bookmarkStart w:id="206" w:name="_Toc71175378"/>
      <w:bookmarkStart w:id="207" w:name="_Toc71164878"/>
      <w:bookmarkStart w:id="208" w:name="_Toc28055"/>
      <w:bookmarkStart w:id="209" w:name="_Toc71708654"/>
      <w:bookmarkStart w:id="210" w:name="_Toc19590"/>
      <w:bookmarkStart w:id="211" w:name="_Toc7206"/>
      <w:r>
        <w:rPr>
          <w:rFonts w:hint="default" w:ascii="Times New Roman" w:hAnsi="Times New Roman" w:eastAsia="楷体_GB2312" w:cs="Times New Roman"/>
          <w:b/>
          <w:color w:val="000000" w:themeColor="text1"/>
          <w:sz w:val="32"/>
          <w:szCs w:val="32"/>
          <w14:textFill>
            <w14:solidFill>
              <w14:schemeClr w14:val="tx1"/>
            </w14:solidFill>
          </w14:textFill>
        </w:rPr>
        <w:t>3.强化</w:t>
      </w:r>
      <w:bookmarkStart w:id="212" w:name="_Toc83296426"/>
      <w:bookmarkStart w:id="213" w:name="_Toc71709052"/>
      <w:bookmarkStart w:id="214" w:name="_Toc71175379"/>
      <w:bookmarkStart w:id="215" w:name="_Toc71708655"/>
      <w:bookmarkStart w:id="216" w:name="_Toc24221"/>
      <w:bookmarkStart w:id="217" w:name="_Toc22659"/>
      <w:bookmarkStart w:id="218" w:name="_Toc71164879"/>
      <w:bookmarkStart w:id="219" w:name="_Toc25473"/>
      <w:bookmarkStart w:id="220" w:name="_Toc71728334"/>
      <w:bookmarkEnd w:id="201"/>
      <w:bookmarkEnd w:id="202"/>
      <w:bookmarkEnd w:id="203"/>
      <w:bookmarkEnd w:id="204"/>
      <w:bookmarkEnd w:id="205"/>
      <w:bookmarkEnd w:id="206"/>
      <w:bookmarkEnd w:id="207"/>
      <w:bookmarkEnd w:id="208"/>
      <w:bookmarkEnd w:id="209"/>
      <w:r>
        <w:rPr>
          <w:rFonts w:hint="default" w:ascii="Times New Roman" w:hAnsi="Times New Roman" w:eastAsia="楷体_GB2312" w:cs="Times New Roman"/>
          <w:b/>
          <w:color w:val="000000" w:themeColor="text1"/>
          <w:sz w:val="32"/>
          <w:szCs w:val="32"/>
          <w14:textFill>
            <w14:solidFill>
              <w14:schemeClr w14:val="tx1"/>
            </w14:solidFill>
          </w14:textFill>
        </w:rPr>
        <w:t>人才保障</w:t>
      </w:r>
      <w:bookmarkEnd w:id="210"/>
      <w:bookmarkEnd w:id="211"/>
      <w:bookmarkEnd w:id="212"/>
      <w:bookmarkEnd w:id="213"/>
      <w:bookmarkEnd w:id="214"/>
      <w:bookmarkEnd w:id="215"/>
      <w:bookmarkEnd w:id="216"/>
      <w:bookmarkEnd w:id="217"/>
      <w:bookmarkEnd w:id="218"/>
      <w:bookmarkEnd w:id="219"/>
      <w:bookmarkEnd w:id="220"/>
    </w:p>
    <w:p>
      <w:pPr>
        <w:widowControl w:val="0"/>
        <w:shd w:val="clear" w:color="auto" w:fill="FFFFFF"/>
        <w:spacing w:line="56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强化人才支撑和智库引进，推动服务业人才结构战略性调整，实施领军人才引进培养计划，积极引进服务业亟需的高端人才和高技能人才，加强人才服务体系建设，对引进的高层次人才，及时兑现安家、子女入园入学、社会保障等方面政策待遇。强化专业型服务人才培养，鼓励高校、专业培训机构与服务业企业合作，开展各种职业技能培训，建立公共职业训练基地，集成利用政产学研及社会培训资源，提高专业型服务人才培养效率。健全人才激励机制，构筑多样化众创空间，营造“引得来、留得住、用得好、能创业”的人才发展环境，为全县服务业跨越发展提供智力支持和人才支撑。加快建立服务创新发展的科技创新智库，深化智库人才岗位聘用等制度改革。</w:t>
      </w:r>
    </w:p>
    <w:p>
      <w:pPr>
        <w:spacing w:line="560" w:lineRule="exact"/>
        <w:ind w:firstLine="643" w:firstLineChars="200"/>
        <w:outlineLvl w:val="2"/>
        <w:rPr>
          <w:rFonts w:hint="default" w:ascii="Times New Roman" w:hAnsi="Times New Roman" w:eastAsia="楷体_GB2312" w:cs="Times New Roman"/>
          <w:b/>
          <w:color w:val="000000" w:themeColor="text1"/>
          <w:sz w:val="32"/>
          <w:szCs w:val="32"/>
          <w:highlight w:val="none"/>
          <w14:textFill>
            <w14:solidFill>
              <w14:schemeClr w14:val="tx1"/>
            </w14:solidFill>
          </w14:textFill>
        </w:rPr>
      </w:pPr>
      <w:bookmarkStart w:id="221" w:name="_Toc11902"/>
      <w:bookmarkStart w:id="222" w:name="_Toc28907"/>
      <w:r>
        <w:rPr>
          <w:rFonts w:hint="default" w:ascii="Times New Roman" w:hAnsi="Times New Roman" w:eastAsia="楷体_GB2312" w:cs="Times New Roman"/>
          <w:b/>
          <w:color w:val="000000" w:themeColor="text1"/>
          <w:sz w:val="32"/>
          <w:szCs w:val="32"/>
          <w:highlight w:val="none"/>
          <w14:textFill>
            <w14:solidFill>
              <w14:schemeClr w14:val="tx1"/>
            </w14:solidFill>
          </w14:textFill>
        </w:rPr>
        <w:t>4.</w:t>
      </w:r>
      <w:r>
        <w:rPr>
          <w:rFonts w:hint="default" w:ascii="Times New Roman" w:hAnsi="Times New Roman" w:eastAsia="楷体_GB2312" w:cs="Times New Roman"/>
          <w:b/>
          <w:color w:val="000000" w:themeColor="text1"/>
          <w:sz w:val="32"/>
          <w:szCs w:val="32"/>
          <w14:textFill>
            <w14:solidFill>
              <w14:schemeClr w14:val="tx1"/>
            </w14:solidFill>
          </w14:textFill>
        </w:rPr>
        <w:t>优化</w:t>
      </w:r>
      <w:r>
        <w:rPr>
          <w:rFonts w:hint="default" w:ascii="Times New Roman" w:hAnsi="Times New Roman" w:eastAsia="楷体_GB2312" w:cs="Times New Roman"/>
          <w:b/>
          <w:color w:val="000000" w:themeColor="text1"/>
          <w:sz w:val="32"/>
          <w:szCs w:val="32"/>
          <w:highlight w:val="none"/>
          <w14:textFill>
            <w14:solidFill>
              <w14:schemeClr w14:val="tx1"/>
            </w14:solidFill>
          </w14:textFill>
        </w:rPr>
        <w:t>数据资源</w:t>
      </w:r>
      <w:r>
        <w:rPr>
          <w:rFonts w:hint="default" w:ascii="Times New Roman" w:hAnsi="Times New Roman" w:eastAsia="楷体_GB2312" w:cs="Times New Roman"/>
          <w:b/>
          <w:color w:val="000000" w:themeColor="text1"/>
          <w:sz w:val="32"/>
          <w:szCs w:val="32"/>
          <w14:textFill>
            <w14:solidFill>
              <w14:schemeClr w14:val="tx1"/>
            </w14:solidFill>
          </w14:textFill>
        </w:rPr>
        <w:t>应用</w:t>
      </w:r>
      <w:bookmarkEnd w:id="221"/>
      <w:bookmarkEnd w:id="222"/>
    </w:p>
    <w:p>
      <w:pPr>
        <w:widowControl w:val="0"/>
        <w:shd w:val="clear" w:color="auto" w:fill="FFFFFF"/>
        <w:spacing w:line="560" w:lineRule="exact"/>
        <w:ind w:firstLine="640" w:firstLineChars="200"/>
        <w:rPr>
          <w:rFonts w:ascii="Times New Roman" w:hAnsi="Times New Roman" w:eastAsia="仿宋_GB2312" w:cs="Times New Roman"/>
          <w:color w:val="000000" w:themeColor="text1"/>
          <w:kern w:val="2"/>
          <w:sz w:val="32"/>
          <w:szCs w:val="32"/>
          <w:highlight w:val="none"/>
          <w14:textFill>
            <w14:solidFill>
              <w14:schemeClr w14:val="tx1"/>
            </w14:solidFill>
          </w14:textFill>
        </w:rPr>
      </w:pPr>
      <w:r>
        <w:rPr>
          <w:rFonts w:hint="default" w:ascii="Times New Roman" w:hAnsi="Times New Roman" w:eastAsia="仿宋_GB2312" w:cs="Times New Roman"/>
          <w:color w:val="000000" w:themeColor="text1"/>
          <w:kern w:val="2"/>
          <w:sz w:val="32"/>
          <w:szCs w:val="32"/>
          <w:highlight w:val="none"/>
          <w14:textFill>
            <w14:solidFill>
              <w14:schemeClr w14:val="tx1"/>
            </w14:solidFill>
          </w14:textFill>
        </w:rPr>
        <w:t>建立服务业数据库，加快培育服务业数据要素市场，培育和引进一批服务经济和社会发展的数据挖掘、数据分析行业的服务业企业，支持构建农业、工业、交通、教育、安防、城市管理、公共资源交易等领域规范化数据开发利用的场景。发挥企业主体和行业协会商会桥梁作用，落实适用于大数据环境下的数据分类分级保护和应用，加强数据资源整合和安全保护，加强对企业商业秘密和个人数据的保护。提高数据质量和规范性，做好数据平台对接，推进政府、部门和企业数据开放共享。</w:t>
      </w:r>
    </w:p>
    <w:bookmarkEnd w:id="189"/>
    <w:p>
      <w:pPr>
        <w:pStyle w:val="4"/>
        <w:keepNext w:val="0"/>
        <w:keepLines w:val="0"/>
        <w:spacing w:before="0" w:after="0" w:line="560" w:lineRule="exact"/>
        <w:ind w:firstLine="640" w:firstLineChars="200"/>
        <w:rPr>
          <w:rFonts w:hint="default" w:ascii="Times New Roman" w:hAnsi="Times New Roman" w:eastAsia="黑体" w:cs="Times New Roman"/>
          <w:b w:val="0"/>
          <w:bCs w:val="0"/>
          <w:color w:val="000000" w:themeColor="text1"/>
          <w14:textFill>
            <w14:solidFill>
              <w14:schemeClr w14:val="tx1"/>
            </w14:solidFill>
          </w14:textFill>
        </w:rPr>
      </w:pPr>
      <w:bookmarkStart w:id="223" w:name="_Toc25738"/>
      <w:bookmarkStart w:id="224" w:name="_Toc16451"/>
      <w:bookmarkStart w:id="225" w:name="_Toc83296427"/>
      <w:r>
        <w:rPr>
          <w:rFonts w:hint="default" w:ascii="Times New Roman" w:hAnsi="Times New Roman" w:eastAsia="黑体" w:cs="Times New Roman"/>
          <w:b w:val="0"/>
          <w:bCs w:val="0"/>
          <w:color w:val="000000" w:themeColor="text1"/>
          <w14:textFill>
            <w14:solidFill>
              <w14:schemeClr w14:val="tx1"/>
            </w14:solidFill>
          </w14:textFill>
        </w:rPr>
        <w:t>四、优化发展环境</w:t>
      </w:r>
      <w:bookmarkEnd w:id="223"/>
      <w:bookmarkEnd w:id="224"/>
      <w:bookmarkEnd w:id="225"/>
    </w:p>
    <w:p>
      <w:pPr>
        <w:spacing w:line="560" w:lineRule="exact"/>
        <w:ind w:firstLine="643" w:firstLineChars="200"/>
        <w:outlineLvl w:val="2"/>
        <w:rPr>
          <w:rFonts w:hint="default" w:ascii="Times New Roman" w:hAnsi="Times New Roman" w:eastAsia="楷体_GB2312" w:cs="Times New Roman"/>
          <w:b/>
          <w:color w:val="000000" w:themeColor="text1"/>
          <w:sz w:val="32"/>
          <w:szCs w:val="32"/>
          <w14:textFill>
            <w14:solidFill>
              <w14:schemeClr w14:val="tx1"/>
            </w14:solidFill>
          </w14:textFill>
        </w:rPr>
      </w:pPr>
      <w:bookmarkStart w:id="226" w:name="_Toc71709054"/>
      <w:bookmarkStart w:id="227" w:name="_Toc26898"/>
      <w:bookmarkStart w:id="228" w:name="_Toc15897"/>
      <w:bookmarkStart w:id="229" w:name="_Toc83296428"/>
      <w:bookmarkStart w:id="230" w:name="_Toc71175381"/>
      <w:bookmarkStart w:id="231" w:name="_Toc71164881"/>
      <w:bookmarkStart w:id="232" w:name="_Toc71708657"/>
      <w:bookmarkStart w:id="233" w:name="_Toc11643"/>
      <w:bookmarkStart w:id="234" w:name="_Toc71728336"/>
      <w:bookmarkStart w:id="235" w:name="_Toc16229"/>
      <w:r>
        <w:rPr>
          <w:rFonts w:hint="default" w:ascii="Times New Roman" w:hAnsi="Times New Roman" w:eastAsia="楷体_GB2312" w:cs="Times New Roman"/>
          <w:b/>
          <w:color w:val="000000" w:themeColor="text1"/>
          <w:sz w:val="32"/>
          <w:szCs w:val="32"/>
          <w14:textFill>
            <w14:solidFill>
              <w14:schemeClr w14:val="tx1"/>
            </w14:solidFill>
          </w14:textFill>
        </w:rPr>
        <w:t>1.推进社会信用体系建设</w:t>
      </w:r>
      <w:bookmarkEnd w:id="226"/>
      <w:bookmarkEnd w:id="227"/>
      <w:bookmarkEnd w:id="228"/>
      <w:bookmarkEnd w:id="229"/>
      <w:bookmarkEnd w:id="230"/>
      <w:bookmarkEnd w:id="231"/>
      <w:bookmarkEnd w:id="232"/>
      <w:bookmarkEnd w:id="233"/>
      <w:bookmarkEnd w:id="234"/>
      <w:bookmarkEnd w:id="235"/>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以诚信自律、守信受益、失信惩戒为导向，以信用之都建设为目标、以信用数据为基础，以信用服务行业为支撑，强化诚信记录查询和信用服务应用，示范推广全过程信用管理模式。大力宣传弘扬契约精神，对符合产业发展方向、信用良好的服务业企业，优先给予政策优惠、资金扶持和信贷支持，健全完善行政、市场、社会综合性信用奖惩机制，充分发挥信用建设规范市场秩序的作用，构建诚信、透明的市场环境。强化知识产权保护，加强对企业服务模式和服务内容等创新的保护，促进知识产权创造和运用，进一步保护创新创业积极性。</w:t>
      </w:r>
      <w:r>
        <w:rPr>
          <w:rFonts w:hint="default" w:ascii="Times New Roman" w:hAnsi="Times New Roman" w:eastAsia="仿宋_GB2312" w:cs="Times New Roman"/>
          <w:color w:val="000000" w:themeColor="text1"/>
          <w:kern w:val="0"/>
          <w:sz w:val="32"/>
          <w:szCs w:val="32"/>
          <w14:textFill>
            <w14:solidFill>
              <w14:schemeClr w14:val="tx1"/>
            </w14:solidFill>
          </w14:textFill>
        </w:rPr>
        <w:t>加快社会信用、经营异常企业名录、执法部门信息共享、知识产权保护等综合监管体系建设，形成国际化、法制化营商环境。</w:t>
      </w:r>
    </w:p>
    <w:p>
      <w:pPr>
        <w:spacing w:line="560" w:lineRule="exact"/>
        <w:ind w:firstLine="643" w:firstLineChars="200"/>
        <w:outlineLvl w:val="2"/>
        <w:rPr>
          <w:rFonts w:hint="default" w:ascii="Times New Roman" w:hAnsi="Times New Roman" w:eastAsia="楷体_GB2312" w:cs="Times New Roman"/>
          <w:b/>
          <w:color w:val="000000" w:themeColor="text1"/>
          <w:sz w:val="32"/>
          <w:szCs w:val="32"/>
          <w14:textFill>
            <w14:solidFill>
              <w14:schemeClr w14:val="tx1"/>
            </w14:solidFill>
          </w14:textFill>
        </w:rPr>
      </w:pPr>
      <w:bookmarkStart w:id="236" w:name="_Toc13697"/>
      <w:r>
        <w:rPr>
          <w:rFonts w:hint="default" w:ascii="Times New Roman" w:hAnsi="Times New Roman" w:eastAsia="楷体_GB2312" w:cs="Times New Roman"/>
          <w:b/>
          <w:color w:val="000000" w:themeColor="text1"/>
          <w:sz w:val="32"/>
          <w:szCs w:val="32"/>
          <w14:textFill>
            <w14:solidFill>
              <w14:schemeClr w14:val="tx1"/>
            </w14:solidFill>
          </w14:textFill>
        </w:rPr>
        <w:t>2.深化服务业领域改革创新</w:t>
      </w:r>
      <w:bookmarkEnd w:id="236"/>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优化政策体制环境，完善服务业政策体系，推动行业规范管理。进一步放宽行业准入限制，放宽服务业企业登记注册条件，简化相关审批手续。进一步规范审批程序，规范市场交易行为，规范市场竞争；加强服务业市场监管，加大工商行政管理、质量技术监督和城管监察力度，发挥消费者、媒体的监督和参与作用；强化社会诚信，引导企业依法经营，倡导公平竞争、透明优质服务。积极对接安徽自贸区建设，借鉴中国（安徽）自由贸易试验区试点经验，用足用好自由贸易试验区政策红利，探索建设联动创新体制机制。培育行业服务平台体系，快推进行业协会商会与行政机关脱钩工作，加大政府职能转移力度，逐步将政府事务性、辅助性等职能，依法转移，充分发挥行业协会在管理中的组织协调指导作用，规范行业秩序，切实加强与国内外相关部门的联系和沟通，更好地为企业服务。加快构建服务业多元化发展格局，推动民间资本参与服务业发展。深化公用事业和社会事业改革，推动非基本公共服务市场化改革，拓展社会资本服务业发展空间。建立服务业创新保障体系，加强信息化管理网络的建设，为服务业的发展提供及时、有效、科学的服务。建立健全服务保障体系，加强市场监管，规范行业秩序和市场行为，营造公平、公正、公开的竞争环境。</w:t>
      </w:r>
    </w:p>
    <w:p>
      <w:pPr>
        <w:widowControl w:val="0"/>
        <w:shd w:val="clear" w:color="auto" w:fill="auto"/>
        <w:spacing w:line="560" w:lineRule="exact"/>
        <w:ind w:firstLine="643" w:firstLineChars="200"/>
        <w:outlineLvl w:val="2"/>
        <w:rPr>
          <w:rFonts w:hint="default" w:ascii="Times New Roman" w:hAnsi="Times New Roman" w:eastAsia="楷体_GB2312" w:cs="Times New Roman"/>
          <w:b/>
          <w:color w:val="000000" w:themeColor="text1"/>
          <w:sz w:val="32"/>
          <w:szCs w:val="32"/>
          <w14:textFill>
            <w14:solidFill>
              <w14:schemeClr w14:val="tx1"/>
            </w14:solidFill>
          </w14:textFill>
        </w:rPr>
      </w:pPr>
      <w:bookmarkStart w:id="237" w:name="_Toc7551"/>
      <w:r>
        <w:rPr>
          <w:rFonts w:hint="default" w:ascii="Times New Roman" w:hAnsi="Times New Roman" w:eastAsia="楷体_GB2312" w:cs="Times New Roman"/>
          <w:b/>
          <w:color w:val="000000" w:themeColor="text1"/>
          <w:sz w:val="32"/>
          <w:szCs w:val="32"/>
          <w14:textFill>
            <w14:solidFill>
              <w14:schemeClr w14:val="tx1"/>
            </w14:solidFill>
          </w14:textFill>
        </w:rPr>
        <w:t>3.改善事中事后监管体制</w:t>
      </w:r>
      <w:bookmarkEnd w:id="237"/>
    </w:p>
    <w:p>
      <w:pPr>
        <w:keepNext w:val="0"/>
        <w:keepLines w:val="0"/>
        <w:pageBreakBefore w:val="0"/>
        <w:widowControl w:val="0"/>
        <w:shd w:val="clear" w:color="auto" w:fill="FFFFFF"/>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在监管环节上，探索完善“五证合一、一照一码”等机制，从事前审批向事后监管转变。进一步减少行政审批事项，优化工商登记与商事登记制度，放宽准入限制，加强事中事后经营行为对社会影响监管，建立动态监管与信用管理、安全监管及反垄断管理相结合的管理体系。在监管主体上，从政府主导向多元参与转变，加快推进第三方技术、评估、监测、仲裁机构发展，充分发挥社会组织和媒体行业监督职能。</w:t>
      </w:r>
    </w:p>
    <w:p>
      <w:pPr>
        <w:widowControl w:val="0"/>
        <w:shd w:val="clear" w:color="auto" w:fill="auto"/>
        <w:spacing w:line="560" w:lineRule="exact"/>
        <w:ind w:firstLine="643" w:firstLineChars="200"/>
        <w:outlineLvl w:val="2"/>
        <w:rPr>
          <w:rFonts w:hint="default" w:ascii="Times New Roman" w:hAnsi="Times New Roman" w:eastAsia="楷体_GB2312" w:cs="Times New Roman"/>
          <w:b/>
          <w:color w:val="000000" w:themeColor="text1"/>
          <w:sz w:val="32"/>
          <w:szCs w:val="32"/>
          <w14:textFill>
            <w14:solidFill>
              <w14:schemeClr w14:val="tx1"/>
            </w14:solidFill>
          </w14:textFill>
        </w:rPr>
      </w:pPr>
      <w:bookmarkStart w:id="238" w:name="_Toc11158"/>
      <w:r>
        <w:rPr>
          <w:rFonts w:hint="default" w:ascii="Times New Roman" w:hAnsi="Times New Roman" w:eastAsia="楷体_GB2312" w:cs="Times New Roman"/>
          <w:b/>
          <w:color w:val="000000" w:themeColor="text1"/>
          <w:sz w:val="32"/>
          <w:szCs w:val="32"/>
          <w14:textFill>
            <w14:solidFill>
              <w14:schemeClr w14:val="tx1"/>
            </w14:solidFill>
          </w14:textFill>
        </w:rPr>
        <w:t>4.加强市场监督管理和惩罚力度</w:t>
      </w:r>
      <w:bookmarkEnd w:id="238"/>
    </w:p>
    <w:p>
      <w:pPr>
        <w:keepNext w:val="0"/>
        <w:keepLines w:val="0"/>
        <w:pageBreakBefore w:val="0"/>
        <w:widowControl w:val="0"/>
        <w:shd w:val="clear" w:color="auto" w:fill="FFFFFF"/>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为保障服务业市场的良性发展，规范市场监督管理处罚程序，市场监督管理部门对依据监督检查职权或者通过投诉、举报、其他部门移送、上级交办等途径发现的违法行为线索，应当自发现线索或者收到材料之日起十五个工作日内予以核查。市场监督管理部门依照政府信息公开有关规定，及时公开行政处罚案件相关信息，接受社会公众监督。市场监督管理部门实施行政处罚，应当遵循公正、公开的原则，坚持处罚与教育相结合，做到事实清楚、证据确凿、适用依据正确、程序合法、处罚适当。</w:t>
      </w:r>
    </w:p>
    <w:p>
      <w:pPr>
        <w:pStyle w:val="4"/>
        <w:keepNext w:val="0"/>
        <w:keepLines w:val="0"/>
        <w:spacing w:before="0" w:after="0" w:line="560" w:lineRule="exact"/>
        <w:ind w:firstLine="640" w:firstLineChars="200"/>
        <w:rPr>
          <w:rFonts w:hint="default" w:ascii="Times New Roman" w:hAnsi="Times New Roman" w:eastAsia="黑体" w:cs="Times New Roman"/>
          <w:b w:val="0"/>
          <w:bCs w:val="0"/>
          <w:color w:val="000000" w:themeColor="text1"/>
          <w14:textFill>
            <w14:solidFill>
              <w14:schemeClr w14:val="tx1"/>
            </w14:solidFill>
          </w14:textFill>
        </w:rPr>
      </w:pPr>
      <w:bookmarkStart w:id="239" w:name="_Toc27878"/>
      <w:bookmarkStart w:id="240" w:name="_Toc97"/>
      <w:bookmarkStart w:id="241" w:name="_Toc24548"/>
      <w:bookmarkStart w:id="242" w:name="_Toc19984"/>
      <w:bookmarkStart w:id="243" w:name="_Toc25139"/>
      <w:bookmarkStart w:id="244" w:name="_Toc13996"/>
      <w:bookmarkStart w:id="245" w:name="_Toc3878"/>
      <w:bookmarkStart w:id="246" w:name="_Toc21814"/>
      <w:bookmarkStart w:id="247" w:name="_Toc1233"/>
      <w:bookmarkStart w:id="248" w:name="_Toc4455"/>
      <w:bookmarkStart w:id="249" w:name="_Toc18751"/>
      <w:bookmarkStart w:id="250" w:name="_Toc83296429"/>
      <w:bookmarkStart w:id="251" w:name="_Toc62198221"/>
      <w:bookmarkStart w:id="252" w:name="_Toc19791"/>
      <w:bookmarkStart w:id="253" w:name="_Toc23817"/>
      <w:bookmarkStart w:id="254" w:name="_Toc19596"/>
      <w:bookmarkStart w:id="255" w:name="_Toc19999"/>
      <w:r>
        <w:rPr>
          <w:rFonts w:hint="default" w:ascii="Times New Roman" w:hAnsi="Times New Roman" w:eastAsia="黑体" w:cs="Times New Roman"/>
          <w:b w:val="0"/>
          <w:bCs w:val="0"/>
          <w:color w:val="000000" w:themeColor="text1"/>
          <w14:textFill>
            <w14:solidFill>
              <w14:schemeClr w14:val="tx1"/>
            </w14:solidFill>
          </w14:textFill>
        </w:rPr>
        <w:t>五、强化项目支撑</w:t>
      </w:r>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p>
    <w:p>
      <w:pPr>
        <w:spacing w:line="560" w:lineRule="exact"/>
        <w:ind w:firstLine="643" w:firstLineChars="200"/>
        <w:outlineLvl w:val="2"/>
        <w:rPr>
          <w:rFonts w:hint="default" w:ascii="Times New Roman" w:hAnsi="Times New Roman" w:eastAsia="楷体_GB2312" w:cs="Times New Roman"/>
          <w:b/>
          <w:bCs w:val="0"/>
          <w:smallCaps w:val="0"/>
          <w:color w:val="000000" w:themeColor="text1"/>
          <w:sz w:val="32"/>
          <w:szCs w:val="32"/>
          <w14:textFill>
            <w14:solidFill>
              <w14:schemeClr w14:val="tx1"/>
            </w14:solidFill>
          </w14:textFill>
        </w:rPr>
      </w:pPr>
      <w:bookmarkStart w:id="256" w:name="_Toc27578"/>
      <w:r>
        <w:rPr>
          <w:rFonts w:hint="default" w:ascii="Times New Roman" w:hAnsi="Times New Roman" w:eastAsia="楷体_GB2312" w:cs="Times New Roman"/>
          <w:b/>
          <w:bCs w:val="0"/>
          <w:smallCaps w:val="0"/>
          <w:color w:val="000000" w:themeColor="text1"/>
          <w:sz w:val="32"/>
          <w:szCs w:val="32"/>
          <w14:textFill>
            <w14:solidFill>
              <w14:schemeClr w14:val="tx1"/>
            </w14:solidFill>
          </w14:textFill>
        </w:rPr>
        <w:t>1.坚持以项目为抓手</w:t>
      </w:r>
      <w:bookmarkEnd w:id="256"/>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smallCaps/>
          <w:color w:val="000000" w:themeColor="text1"/>
          <w:sz w:val="32"/>
          <w:szCs w:val="32"/>
          <w14:textFill>
            <w14:solidFill>
              <w14:schemeClr w14:val="tx1"/>
            </w14:solidFill>
          </w14:textFill>
        </w:rPr>
      </w:pPr>
      <w:r>
        <w:rPr>
          <w:rFonts w:hint="default" w:ascii="Times New Roman" w:hAnsi="Times New Roman" w:eastAsia="仿宋_GB2312" w:cs="Times New Roman"/>
          <w:smallCaps/>
          <w:color w:val="000000" w:themeColor="text1"/>
          <w:sz w:val="32"/>
          <w:szCs w:val="32"/>
          <w14:textFill>
            <w14:solidFill>
              <w14:schemeClr w14:val="tx1"/>
            </w14:solidFill>
          </w14:textFill>
        </w:rPr>
        <w:t>将实施项目作为推动服务业发展的抓手，充分发挥项目对规划实施的支撑作用。围绕服务业新业态新模式谋划、研究、论证、储备和建设项目，完善服务业重大项目库，实行动态管理、滚动推进，确保开工一批、建设一批、竣工一批、储备一批。同时加大招商引资力度，</w:t>
      </w:r>
      <w:r>
        <w:rPr>
          <w:rFonts w:hint="default" w:ascii="Times New Roman" w:hAnsi="Times New Roman" w:eastAsia="仿宋_GB2312" w:cs="Times New Roman"/>
          <w:color w:val="000000" w:themeColor="text1"/>
          <w:sz w:val="32"/>
          <w:szCs w:val="32"/>
          <w14:textFill>
            <w14:solidFill>
              <w14:schemeClr w14:val="tx1"/>
            </w14:solidFill>
          </w14:textFill>
        </w:rPr>
        <w:t>吸引现代服务业、零售业等领域服务业企业总部落户，并</w:t>
      </w:r>
      <w:r>
        <w:rPr>
          <w:rFonts w:hint="default" w:ascii="Times New Roman" w:hAnsi="Times New Roman" w:eastAsia="仿宋_GB2312" w:cs="Times New Roman"/>
          <w:smallCaps/>
          <w:color w:val="000000" w:themeColor="text1"/>
          <w:sz w:val="32"/>
          <w:szCs w:val="32"/>
          <w14:textFill>
            <w14:solidFill>
              <w14:schemeClr w14:val="tx1"/>
            </w14:solidFill>
          </w14:textFill>
        </w:rPr>
        <w:t>探索与发达地区园区、基金，以及科研院所，大院大所合作模式，推进产业链招商。</w:t>
      </w:r>
    </w:p>
    <w:p>
      <w:pPr>
        <w:spacing w:line="560" w:lineRule="exact"/>
        <w:ind w:firstLine="643" w:firstLineChars="200"/>
        <w:outlineLvl w:val="2"/>
        <w:rPr>
          <w:rFonts w:hint="default" w:ascii="Times New Roman" w:hAnsi="Times New Roman" w:eastAsia="楷体_GB2312" w:cs="Times New Roman"/>
          <w:b/>
          <w:bCs w:val="0"/>
          <w:smallCaps w:val="0"/>
          <w:color w:val="000000" w:themeColor="text1"/>
          <w:sz w:val="32"/>
          <w:szCs w:val="32"/>
          <w14:textFill>
            <w14:solidFill>
              <w14:schemeClr w14:val="tx1"/>
            </w14:solidFill>
          </w14:textFill>
        </w:rPr>
      </w:pPr>
      <w:bookmarkStart w:id="257" w:name="_Toc29693"/>
      <w:r>
        <w:rPr>
          <w:rFonts w:hint="default" w:ascii="Times New Roman" w:hAnsi="Times New Roman" w:eastAsia="楷体_GB2312" w:cs="Times New Roman"/>
          <w:b/>
          <w:bCs w:val="0"/>
          <w:smallCaps w:val="0"/>
          <w:color w:val="000000" w:themeColor="text1"/>
          <w:sz w:val="32"/>
          <w:szCs w:val="32"/>
          <w14:textFill>
            <w14:solidFill>
              <w14:schemeClr w14:val="tx1"/>
            </w14:solidFill>
          </w14:textFill>
        </w:rPr>
        <w:t>2.完善项目推进机制</w:t>
      </w:r>
      <w:bookmarkEnd w:id="257"/>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smallCaps/>
          <w:color w:val="000000" w:themeColor="text1"/>
          <w:sz w:val="32"/>
          <w:szCs w:val="32"/>
          <w14:textFill>
            <w14:solidFill>
              <w14:schemeClr w14:val="tx1"/>
            </w14:solidFill>
          </w14:textFill>
        </w:rPr>
        <w:t>实施重大项目目标责任制，严格落实“四督四保”要求，健全项目“载体单位全程代办、窗口单位无权否决”等制度，</w:t>
      </w:r>
      <w:r>
        <w:rPr>
          <w:rFonts w:hint="default" w:ascii="Times New Roman" w:hAnsi="Times New Roman" w:eastAsia="仿宋_GB2312" w:cs="Times New Roman"/>
          <w:color w:val="000000" w:themeColor="text1"/>
          <w:sz w:val="32"/>
          <w:szCs w:val="32"/>
          <w14:textFill>
            <w14:solidFill>
              <w14:schemeClr w14:val="tx1"/>
            </w14:solidFill>
          </w14:textFill>
        </w:rPr>
        <w:t>优化土地资源配置，加强金融支持，</w:t>
      </w:r>
      <w:r>
        <w:rPr>
          <w:rFonts w:hint="default" w:ascii="Times New Roman" w:hAnsi="Times New Roman" w:eastAsia="仿宋_GB2312" w:cs="Times New Roman"/>
          <w:smallCaps/>
          <w:color w:val="000000" w:themeColor="text1"/>
          <w:sz w:val="32"/>
          <w:szCs w:val="32"/>
          <w14:textFill>
            <w14:solidFill>
              <w14:schemeClr w14:val="tx1"/>
            </w14:solidFill>
          </w14:textFill>
        </w:rPr>
        <w:t>切实抓好项目选址、审批等各个环节的前期工作，加大重点项目建设的推进力度，</w:t>
      </w:r>
      <w:r>
        <w:rPr>
          <w:rFonts w:hint="default" w:ascii="Times New Roman" w:hAnsi="Times New Roman" w:eastAsia="仿宋_GB2312" w:cs="Times New Roman"/>
          <w:color w:val="000000" w:themeColor="text1"/>
          <w:sz w:val="32"/>
          <w:szCs w:val="32"/>
          <w14:textFill>
            <w14:solidFill>
              <w14:schemeClr w14:val="tx1"/>
            </w14:solidFill>
          </w14:textFill>
        </w:rPr>
        <w:t>全面提升重大项目要素保障水平</w:t>
      </w:r>
      <w:r>
        <w:rPr>
          <w:rFonts w:hint="default" w:ascii="Times New Roman" w:hAnsi="Times New Roman" w:eastAsia="仿宋_GB2312" w:cs="Times New Roman"/>
          <w:smallCaps/>
          <w:color w:val="000000" w:themeColor="text1"/>
          <w:sz w:val="32"/>
          <w:szCs w:val="32"/>
          <w14:textFill>
            <w14:solidFill>
              <w14:schemeClr w14:val="tx1"/>
            </w14:solidFill>
          </w14:textFill>
        </w:rPr>
        <w:t>。为企业发展提供“全生命周期”的优质服务，有效提高项目建设协调服务水平。</w:t>
      </w:r>
    </w:p>
    <w:p>
      <w:pPr>
        <w:pStyle w:val="4"/>
        <w:keepNext w:val="0"/>
        <w:keepLines w:val="0"/>
        <w:spacing w:before="0" w:after="0" w:line="560" w:lineRule="exact"/>
        <w:ind w:firstLine="640" w:firstLineChars="200"/>
        <w:rPr>
          <w:rFonts w:hint="default" w:ascii="Times New Roman" w:hAnsi="Times New Roman" w:eastAsia="黑体" w:cs="Times New Roman"/>
          <w:b w:val="0"/>
          <w:bCs w:val="0"/>
          <w:color w:val="000000" w:themeColor="text1"/>
          <w14:textFill>
            <w14:solidFill>
              <w14:schemeClr w14:val="tx1"/>
            </w14:solidFill>
          </w14:textFill>
        </w:rPr>
      </w:pPr>
      <w:bookmarkStart w:id="258" w:name="_Toc83296430"/>
      <w:bookmarkStart w:id="259" w:name="_Toc9696"/>
      <w:bookmarkStart w:id="260" w:name="_Toc7938"/>
      <w:r>
        <w:rPr>
          <w:rFonts w:hint="default" w:ascii="Times New Roman" w:hAnsi="Times New Roman" w:eastAsia="黑体" w:cs="Times New Roman"/>
          <w:b w:val="0"/>
          <w:bCs w:val="0"/>
          <w:color w:val="000000" w:themeColor="text1"/>
          <w14:textFill>
            <w14:solidFill>
              <w14:schemeClr w14:val="tx1"/>
            </w14:solidFill>
          </w14:textFill>
        </w:rPr>
        <w:t>六、抓好督促落实</w:t>
      </w:r>
      <w:bookmarkEnd w:id="258"/>
      <w:bookmarkEnd w:id="259"/>
      <w:bookmarkEnd w:id="260"/>
    </w:p>
    <w:p>
      <w:pPr>
        <w:spacing w:line="560" w:lineRule="exact"/>
        <w:ind w:firstLine="643" w:firstLineChars="200"/>
        <w:outlineLvl w:val="2"/>
        <w:rPr>
          <w:rFonts w:hint="default" w:ascii="Times New Roman" w:hAnsi="Times New Roman" w:eastAsia="楷体_GB2312" w:cs="Times New Roman"/>
          <w:b/>
          <w:bCs w:val="0"/>
          <w:smallCaps w:val="0"/>
          <w:color w:val="000000" w:themeColor="text1"/>
          <w:sz w:val="32"/>
          <w:szCs w:val="32"/>
          <w14:textFill>
            <w14:solidFill>
              <w14:schemeClr w14:val="tx1"/>
            </w14:solidFill>
          </w14:textFill>
        </w:rPr>
      </w:pPr>
      <w:bookmarkStart w:id="261" w:name="_Toc14623"/>
      <w:r>
        <w:rPr>
          <w:rFonts w:hint="default" w:ascii="Times New Roman" w:hAnsi="Times New Roman" w:eastAsia="楷体_GB2312" w:cs="Times New Roman"/>
          <w:b/>
          <w:bCs w:val="0"/>
          <w:smallCaps w:val="0"/>
          <w:color w:val="000000" w:themeColor="text1"/>
          <w:sz w:val="32"/>
          <w:szCs w:val="32"/>
          <w14:textFill>
            <w14:solidFill>
              <w14:schemeClr w14:val="tx1"/>
            </w14:solidFill>
          </w14:textFill>
        </w:rPr>
        <w:t>1.加强任务实施管理</w:t>
      </w:r>
      <w:bookmarkEnd w:id="261"/>
    </w:p>
    <w:p>
      <w:pPr>
        <w:keepNext w:val="0"/>
        <w:keepLines w:val="0"/>
        <w:pageBreakBefore w:val="0"/>
        <w:widowControl w:val="0"/>
        <w:shd w:val="clear" w:color="auto" w:fill="FFFFFF"/>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根据服务业发展规划和电商、商业布点等行业专项规划，按年度将主要目标和重大事项分解落实到具体部门，明确工作任务和实施主体责任。加强任务执行的跟踪检查，加强对服务经济财政扶持资金的跟踪，切实保障服务业政策规划的贯彻执行和具体落实。建立切实可行的指标考核体系，真实、全面、客观地反映政策实施效果和财政资金投入绩效，使政策和资金扶持领域更加贴近企业实际需求，更具科学性和绩效性。建立信息共享机制，完善统计信息发布制度，加强对服务业相关重点领域发展态势的监测、预测和分析。</w:t>
      </w:r>
    </w:p>
    <w:p>
      <w:pPr>
        <w:spacing w:line="560" w:lineRule="exact"/>
        <w:ind w:firstLine="643" w:firstLineChars="200"/>
        <w:outlineLvl w:val="2"/>
        <w:rPr>
          <w:rFonts w:hint="default" w:ascii="Times New Roman" w:hAnsi="Times New Roman" w:eastAsia="楷体_GB2312" w:cs="Times New Roman"/>
          <w:b/>
          <w:bCs w:val="0"/>
          <w:smallCaps w:val="0"/>
          <w:color w:val="000000" w:themeColor="text1"/>
          <w:sz w:val="32"/>
          <w:szCs w:val="32"/>
          <w14:textFill>
            <w14:solidFill>
              <w14:schemeClr w14:val="tx1"/>
            </w14:solidFill>
          </w14:textFill>
        </w:rPr>
      </w:pPr>
      <w:bookmarkStart w:id="262" w:name="_Toc10717"/>
      <w:r>
        <w:rPr>
          <w:rFonts w:hint="default" w:ascii="Times New Roman" w:hAnsi="Times New Roman" w:eastAsia="楷体_GB2312" w:cs="Times New Roman"/>
          <w:b/>
          <w:bCs w:val="0"/>
          <w:smallCaps w:val="0"/>
          <w:color w:val="000000" w:themeColor="text1"/>
          <w:sz w:val="32"/>
          <w:szCs w:val="32"/>
          <w:lang w:val="en-US" w:eastAsia="zh-CN"/>
          <w14:textFill>
            <w14:solidFill>
              <w14:schemeClr w14:val="tx1"/>
            </w14:solidFill>
          </w14:textFill>
        </w:rPr>
        <w:t>2</w:t>
      </w:r>
      <w:r>
        <w:rPr>
          <w:rFonts w:hint="default" w:ascii="Times New Roman" w:hAnsi="Times New Roman" w:eastAsia="楷体_GB2312" w:cs="Times New Roman"/>
          <w:b/>
          <w:bCs w:val="0"/>
          <w:smallCaps w:val="0"/>
          <w:color w:val="000000" w:themeColor="text1"/>
          <w:sz w:val="32"/>
          <w:szCs w:val="32"/>
          <w14:textFill>
            <w14:solidFill>
              <w14:schemeClr w14:val="tx1"/>
            </w14:solidFill>
          </w14:textFill>
        </w:rPr>
        <w:t>.强化规划实施监测评估</w:t>
      </w:r>
      <w:bookmarkEnd w:id="262"/>
    </w:p>
    <w:p>
      <w:pPr>
        <w:keepNext w:val="0"/>
        <w:keepLines w:val="0"/>
        <w:pageBreakBefore w:val="0"/>
        <w:widowControl w:val="0"/>
        <w:shd w:val="clear" w:color="auto" w:fill="FFFFFF"/>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sectPr>
          <w:footerReference r:id="rId5" w:type="default"/>
          <w:pgSz w:w="11906" w:h="16838"/>
          <w:pgMar w:top="2098" w:right="1474" w:bottom="1984" w:left="1587" w:header="851" w:footer="1389" w:gutter="0"/>
          <w:pgNumType w:fmt="decimal" w:start="1"/>
          <w:cols w:space="0" w:num="1"/>
          <w:rtlGutter w:val="0"/>
          <w:docGrid w:type="lines" w:linePitch="312" w:charSpace="0"/>
        </w:sectPr>
      </w:pPr>
      <w:r>
        <w:rPr>
          <w:rFonts w:hint="default" w:ascii="Times New Roman" w:hAnsi="Times New Roman" w:eastAsia="仿宋_GB2312" w:cs="Times New Roman"/>
          <w:color w:val="000000" w:themeColor="text1"/>
          <w:sz w:val="32"/>
          <w:szCs w:val="32"/>
          <w14:textFill>
            <w14:solidFill>
              <w14:schemeClr w14:val="tx1"/>
            </w14:solidFill>
          </w14:textFill>
        </w:rPr>
        <w:t>按照规划提出的发展目标、重点任务和推进措施，以及各专项规划，按年度将主要目标和重大事项分解落实到具体部门，明确工作任务和实施主体责任。探索建立第三方考核评价制度，跟踪规划执行情况。组织开展年度执行情况跟踪评估、中期实施情况评估和总结评估工作，并视评估情况，进行动态修订调整。</w:t>
      </w:r>
    </w:p>
    <w:p>
      <w:pPr>
        <w:pStyle w:val="4"/>
        <w:keepNext/>
        <w:keepLines/>
        <w:pageBreakBefore w:val="0"/>
        <w:widowControl w:val="0"/>
        <w:kinsoku/>
        <w:wordWrap/>
        <w:overflowPunct/>
        <w:topLinePunct w:val="0"/>
        <w:autoSpaceDE/>
        <w:autoSpaceDN/>
        <w:bidi w:val="0"/>
        <w:adjustRightInd w:val="0"/>
        <w:snapToGrid w:val="0"/>
        <w:spacing w:before="0" w:after="0"/>
        <w:textAlignment w:val="auto"/>
        <w:rPr>
          <w:rFonts w:hint="default" w:ascii="Times New Roman" w:hAnsi="Times New Roman" w:cs="Times New Roman"/>
          <w:color w:val="000000" w:themeColor="text1"/>
          <w14:textFill>
            <w14:solidFill>
              <w14:schemeClr w14:val="tx1"/>
            </w14:solidFill>
          </w14:textFill>
        </w:rPr>
      </w:pPr>
      <w:bookmarkStart w:id="263" w:name="_Toc10405"/>
      <w:bookmarkStart w:id="264" w:name="_Toc14420"/>
      <w:bookmarkStart w:id="265" w:name="_Toc83296431"/>
      <w:r>
        <w:rPr>
          <w:rFonts w:hint="default" w:ascii="Times New Roman" w:hAnsi="Times New Roman" w:cs="Times New Roman"/>
          <w:color w:val="000000" w:themeColor="text1"/>
          <w14:textFill>
            <w14:solidFill>
              <w14:schemeClr w14:val="tx1"/>
            </w14:solidFill>
          </w14:textFill>
        </w:rPr>
        <w:t>附件</w:t>
      </w:r>
      <w:bookmarkEnd w:id="263"/>
      <w:bookmarkEnd w:id="264"/>
    </w:p>
    <w:p>
      <w:pPr>
        <w:pStyle w:val="4"/>
        <w:spacing w:before="0"/>
        <w:jc w:val="center"/>
        <w:rPr>
          <w:rFonts w:hint="default" w:ascii="Times New Roman" w:hAnsi="Times New Roman" w:eastAsia="方正小标宋简体" w:cs="Times New Roman"/>
          <w:color w:val="0000FF"/>
          <w:sz w:val="44"/>
          <w:szCs w:val="44"/>
        </w:rPr>
      </w:pPr>
      <w:bookmarkStart w:id="266" w:name="_Toc25631"/>
      <w:bookmarkStart w:id="267" w:name="_Toc2034"/>
      <w:r>
        <w:rPr>
          <w:rFonts w:hint="default" w:ascii="Times New Roman" w:hAnsi="Times New Roman" w:eastAsia="方正小标宋简体" w:cs="Times New Roman"/>
          <w:color w:val="000000" w:themeColor="text1"/>
          <w:sz w:val="44"/>
          <w:szCs w:val="44"/>
          <w14:textFill>
            <w14:solidFill>
              <w14:schemeClr w14:val="tx1"/>
            </w14:solidFill>
          </w14:textFill>
        </w:rPr>
        <w:t>濉溪县“十四五”服务业发展重大项目一览表</w:t>
      </w:r>
      <w:bookmarkEnd w:id="265"/>
      <w:bookmarkEnd w:id="266"/>
      <w:bookmarkEnd w:id="267"/>
    </w:p>
    <w:tbl>
      <w:tblPr>
        <w:tblStyle w:val="22"/>
        <w:tblW w:w="13930" w:type="dxa"/>
        <w:jc w:val="center"/>
        <w:tblInd w:w="0" w:type="dxa"/>
        <w:tblLayout w:type="fixed"/>
        <w:tblCellMar>
          <w:top w:w="0" w:type="dxa"/>
          <w:left w:w="0" w:type="dxa"/>
          <w:bottom w:w="0" w:type="dxa"/>
          <w:right w:w="0" w:type="dxa"/>
        </w:tblCellMar>
      </w:tblPr>
      <w:tblGrid>
        <w:gridCol w:w="601"/>
        <w:gridCol w:w="2807"/>
        <w:gridCol w:w="1243"/>
        <w:gridCol w:w="1450"/>
        <w:gridCol w:w="1045"/>
        <w:gridCol w:w="4714"/>
        <w:gridCol w:w="1393"/>
        <w:gridCol w:w="677"/>
      </w:tblGrid>
      <w:tr>
        <w:tblPrEx>
          <w:tblLayout w:type="fixed"/>
          <w:tblCellMar>
            <w:top w:w="0" w:type="dxa"/>
            <w:left w:w="0" w:type="dxa"/>
            <w:bottom w:w="0" w:type="dxa"/>
            <w:right w:w="0" w:type="dxa"/>
          </w:tblCellMar>
        </w:tblPrEx>
        <w:trPr>
          <w:trHeight w:val="644" w:hRule="atLeast"/>
          <w:tblHeader/>
          <w:jc w:val="center"/>
        </w:trPr>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仿宋_GB2312" w:cs="Times New Roman"/>
                <w:b/>
                <w:bCs/>
                <w:color w:val="000000" w:themeColor="text1"/>
                <w:sz w:val="24"/>
                <w:szCs w:val="24"/>
                <w14:textFill>
                  <w14:solidFill>
                    <w14:schemeClr w14:val="tx1"/>
                  </w14:solidFill>
                </w14:textFill>
              </w:rPr>
            </w:pPr>
            <w:r>
              <w:rPr>
                <w:rFonts w:hint="default" w:ascii="Times New Roman" w:hAnsi="Times New Roman" w:eastAsia="仿宋_GB2312" w:cs="Times New Roman"/>
                <w:b/>
                <w:bCs/>
                <w:color w:val="000000" w:themeColor="text1"/>
                <w:sz w:val="24"/>
                <w:szCs w:val="24"/>
                <w14:textFill>
                  <w14:solidFill>
                    <w14:schemeClr w14:val="tx1"/>
                  </w14:solidFill>
                </w14:textFill>
              </w:rPr>
              <w:br w:type="page"/>
            </w:r>
            <w:r>
              <w:rPr>
                <w:rFonts w:hint="default" w:ascii="Times New Roman" w:hAnsi="Times New Roman" w:eastAsia="仿宋_GB2312" w:cs="Times New Roman"/>
                <w:b/>
                <w:bCs/>
                <w:color w:val="000000" w:themeColor="text1"/>
                <w:kern w:val="0"/>
                <w:sz w:val="24"/>
                <w:szCs w:val="24"/>
                <w:lang w:bidi="ar"/>
                <w14:textFill>
                  <w14:solidFill>
                    <w14:schemeClr w14:val="tx1"/>
                  </w14:solidFill>
                </w14:textFill>
              </w:rPr>
              <w:t>序号</w:t>
            </w:r>
          </w:p>
        </w:tc>
        <w:tc>
          <w:tcPr>
            <w:tcW w:w="2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仿宋_GB2312" w:cs="Times New Roman"/>
                <w:b/>
                <w:bCs/>
                <w:color w:val="000000" w:themeColor="text1"/>
                <w:sz w:val="24"/>
                <w:szCs w:val="24"/>
                <w14:textFill>
                  <w14:solidFill>
                    <w14:schemeClr w14:val="tx1"/>
                  </w14:solidFill>
                </w14:textFill>
              </w:rPr>
            </w:pPr>
            <w:r>
              <w:rPr>
                <w:rFonts w:hint="default" w:ascii="Times New Roman" w:hAnsi="Times New Roman" w:eastAsia="仿宋_GB2312" w:cs="Times New Roman"/>
                <w:b/>
                <w:bCs/>
                <w:color w:val="000000" w:themeColor="text1"/>
                <w:kern w:val="0"/>
                <w:sz w:val="24"/>
                <w:szCs w:val="24"/>
                <w:lang w:bidi="ar"/>
                <w14:textFill>
                  <w14:solidFill>
                    <w14:schemeClr w14:val="tx1"/>
                  </w14:solidFill>
                </w14:textFill>
              </w:rPr>
              <w:t>项目名称</w:t>
            </w:r>
          </w:p>
        </w:tc>
        <w:tc>
          <w:tcPr>
            <w:tcW w:w="12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仿宋_GB2312" w:cs="Times New Roman"/>
                <w:b/>
                <w:bCs/>
                <w:color w:val="000000" w:themeColor="text1"/>
                <w:sz w:val="24"/>
                <w:szCs w:val="24"/>
                <w14:textFill>
                  <w14:solidFill>
                    <w14:schemeClr w14:val="tx1"/>
                  </w14:solidFill>
                </w14:textFill>
              </w:rPr>
            </w:pPr>
            <w:r>
              <w:rPr>
                <w:rFonts w:hint="default" w:ascii="Times New Roman" w:hAnsi="Times New Roman" w:eastAsia="仿宋_GB2312" w:cs="Times New Roman"/>
                <w:b/>
                <w:bCs/>
                <w:color w:val="000000" w:themeColor="text1"/>
                <w:kern w:val="0"/>
                <w:sz w:val="24"/>
                <w:szCs w:val="24"/>
                <w:lang w:bidi="ar"/>
                <w14:textFill>
                  <w14:solidFill>
                    <w14:schemeClr w14:val="tx1"/>
                  </w14:solidFill>
                </w14:textFill>
              </w:rPr>
              <w:t>建设地点</w:t>
            </w:r>
          </w:p>
        </w:tc>
        <w:tc>
          <w:tcPr>
            <w:tcW w:w="1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仿宋_GB2312" w:cs="Times New Roman"/>
                <w:b/>
                <w:bCs/>
                <w:color w:val="000000" w:themeColor="text1"/>
                <w:kern w:val="0"/>
                <w:sz w:val="24"/>
                <w:szCs w:val="24"/>
                <w:lang w:bidi="ar"/>
                <w14:textFill>
                  <w14:solidFill>
                    <w14:schemeClr w14:val="tx1"/>
                  </w14:solidFill>
                </w14:textFill>
              </w:rPr>
            </w:pPr>
            <w:r>
              <w:rPr>
                <w:rFonts w:hint="default" w:ascii="Times New Roman" w:hAnsi="Times New Roman" w:eastAsia="仿宋_GB2312" w:cs="Times New Roman"/>
                <w:b/>
                <w:bCs/>
                <w:color w:val="000000" w:themeColor="text1"/>
                <w:kern w:val="0"/>
                <w:sz w:val="24"/>
                <w:szCs w:val="24"/>
                <w:lang w:bidi="ar"/>
                <w14:textFill>
                  <w14:solidFill>
                    <w14:schemeClr w14:val="tx1"/>
                  </w14:solidFill>
                </w14:textFill>
              </w:rPr>
              <w:t>建设起止</w:t>
            </w:r>
          </w:p>
          <w:p>
            <w:pPr>
              <w:widowControl/>
              <w:jc w:val="center"/>
              <w:textAlignment w:val="center"/>
              <w:rPr>
                <w:rFonts w:hint="default" w:ascii="Times New Roman" w:hAnsi="Times New Roman" w:eastAsia="仿宋_GB2312" w:cs="Times New Roman"/>
                <w:b/>
                <w:bCs/>
                <w:color w:val="000000" w:themeColor="text1"/>
                <w:sz w:val="24"/>
                <w:szCs w:val="24"/>
                <w14:textFill>
                  <w14:solidFill>
                    <w14:schemeClr w14:val="tx1"/>
                  </w14:solidFill>
                </w14:textFill>
              </w:rPr>
            </w:pPr>
            <w:r>
              <w:rPr>
                <w:rFonts w:hint="default" w:ascii="Times New Roman" w:hAnsi="Times New Roman" w:eastAsia="仿宋_GB2312" w:cs="Times New Roman"/>
                <w:b/>
                <w:bCs/>
                <w:color w:val="000000" w:themeColor="text1"/>
                <w:kern w:val="0"/>
                <w:sz w:val="24"/>
                <w:szCs w:val="24"/>
                <w:lang w:bidi="ar"/>
                <w14:textFill>
                  <w14:solidFill>
                    <w14:schemeClr w14:val="tx1"/>
                  </w14:solidFill>
                </w14:textFill>
              </w:rPr>
              <w:t>年限</w:t>
            </w:r>
          </w:p>
        </w:tc>
        <w:tc>
          <w:tcPr>
            <w:tcW w:w="10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仿宋_GB2312" w:cs="Times New Roman"/>
                <w:b/>
                <w:bCs/>
                <w:color w:val="000000" w:themeColor="text1"/>
                <w:sz w:val="24"/>
                <w:szCs w:val="24"/>
                <w14:textFill>
                  <w14:solidFill>
                    <w14:schemeClr w14:val="tx1"/>
                  </w14:solidFill>
                </w14:textFill>
              </w:rPr>
            </w:pPr>
            <w:r>
              <w:rPr>
                <w:rFonts w:hint="default" w:ascii="Times New Roman" w:hAnsi="Times New Roman" w:eastAsia="仿宋_GB2312" w:cs="Times New Roman"/>
                <w:b/>
                <w:bCs/>
                <w:color w:val="000000" w:themeColor="text1"/>
                <w:kern w:val="0"/>
                <w:sz w:val="24"/>
                <w:szCs w:val="24"/>
                <w:lang w:bidi="ar"/>
                <w14:textFill>
                  <w14:solidFill>
                    <w14:schemeClr w14:val="tx1"/>
                  </w14:solidFill>
                </w14:textFill>
              </w:rPr>
              <w:t>总投资（亿元）</w:t>
            </w:r>
          </w:p>
        </w:tc>
        <w:tc>
          <w:tcPr>
            <w:tcW w:w="4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仿宋_GB2312" w:cs="Times New Roman"/>
                <w:b/>
                <w:bCs/>
                <w:color w:val="000000" w:themeColor="text1"/>
                <w:sz w:val="24"/>
                <w:szCs w:val="24"/>
                <w14:textFill>
                  <w14:solidFill>
                    <w14:schemeClr w14:val="tx1"/>
                  </w14:solidFill>
                </w14:textFill>
              </w:rPr>
            </w:pPr>
            <w:r>
              <w:rPr>
                <w:rFonts w:hint="default" w:ascii="Times New Roman" w:hAnsi="Times New Roman" w:eastAsia="仿宋_GB2312" w:cs="Times New Roman"/>
                <w:b/>
                <w:bCs/>
                <w:color w:val="000000" w:themeColor="text1"/>
                <w:kern w:val="0"/>
                <w:sz w:val="24"/>
                <w:szCs w:val="24"/>
                <w:lang w:bidi="ar"/>
                <w14:textFill>
                  <w14:solidFill>
                    <w14:schemeClr w14:val="tx1"/>
                  </w14:solidFill>
                </w14:textFill>
              </w:rPr>
              <w:t>主要建设内容和建设规模</w:t>
            </w:r>
          </w:p>
        </w:tc>
        <w:tc>
          <w:tcPr>
            <w:tcW w:w="13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仿宋_GB2312" w:cs="Times New Roman"/>
                <w:b/>
                <w:bCs/>
                <w:color w:val="000000" w:themeColor="text1"/>
                <w:sz w:val="24"/>
                <w:szCs w:val="24"/>
                <w14:textFill>
                  <w14:solidFill>
                    <w14:schemeClr w14:val="tx1"/>
                  </w14:solidFill>
                </w14:textFill>
              </w:rPr>
            </w:pPr>
            <w:r>
              <w:rPr>
                <w:rFonts w:hint="default" w:ascii="Times New Roman" w:hAnsi="Times New Roman" w:eastAsia="仿宋_GB2312" w:cs="Times New Roman"/>
                <w:b/>
                <w:bCs/>
                <w:color w:val="000000" w:themeColor="text1"/>
                <w:kern w:val="0"/>
                <w:sz w:val="24"/>
                <w:szCs w:val="24"/>
                <w:lang w:bidi="ar"/>
                <w14:textFill>
                  <w14:solidFill>
                    <w14:schemeClr w14:val="tx1"/>
                  </w14:solidFill>
                </w14:textFill>
              </w:rPr>
              <w:t>责任单位</w:t>
            </w:r>
          </w:p>
        </w:tc>
        <w:tc>
          <w:tcPr>
            <w:tcW w:w="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仿宋_GB2312" w:cs="Times New Roman"/>
                <w:b/>
                <w:bCs/>
                <w:color w:val="000000" w:themeColor="text1"/>
                <w:kern w:val="0"/>
                <w:sz w:val="24"/>
                <w:szCs w:val="24"/>
                <w:lang w:bidi="ar"/>
                <w14:textFill>
                  <w14:solidFill>
                    <w14:schemeClr w14:val="tx1"/>
                  </w14:solidFill>
                </w14:textFill>
              </w:rPr>
            </w:pPr>
            <w:r>
              <w:rPr>
                <w:rFonts w:hint="default" w:ascii="Times New Roman" w:hAnsi="Times New Roman" w:eastAsia="仿宋_GB2312" w:cs="Times New Roman"/>
                <w:b/>
                <w:bCs/>
                <w:color w:val="000000" w:themeColor="text1"/>
                <w:kern w:val="0"/>
                <w:sz w:val="24"/>
                <w:szCs w:val="24"/>
                <w:lang w:bidi="ar"/>
                <w14:textFill>
                  <w14:solidFill>
                    <w14:schemeClr w14:val="tx1"/>
                  </w14:solidFill>
                </w14:textFill>
              </w:rPr>
              <w:t>备注</w:t>
            </w:r>
          </w:p>
        </w:tc>
      </w:tr>
      <w:tr>
        <w:tblPrEx>
          <w:tblLayout w:type="fixed"/>
          <w:tblCellMar>
            <w:top w:w="0" w:type="dxa"/>
            <w:left w:w="0" w:type="dxa"/>
            <w:bottom w:w="0" w:type="dxa"/>
            <w:right w:w="0" w:type="dxa"/>
          </w:tblCellMar>
        </w:tblPrEx>
        <w:trPr>
          <w:trHeight w:val="1127" w:hRule="atLeast"/>
          <w:jc w:val="center"/>
        </w:trPr>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1</w:t>
            </w:r>
          </w:p>
        </w:tc>
        <w:tc>
          <w:tcPr>
            <w:tcW w:w="2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淮北港韩村港区孙疃作业区综合码头工程</w:t>
            </w:r>
          </w:p>
        </w:tc>
        <w:tc>
          <w:tcPr>
            <w:tcW w:w="12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孙疃镇</w:t>
            </w:r>
          </w:p>
        </w:tc>
        <w:tc>
          <w:tcPr>
            <w:tcW w:w="1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2021年7月-2022年12月</w:t>
            </w:r>
          </w:p>
        </w:tc>
        <w:tc>
          <w:tcPr>
            <w:tcW w:w="10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5.80</w:t>
            </w:r>
          </w:p>
        </w:tc>
        <w:tc>
          <w:tcPr>
            <w:tcW w:w="4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themeColor="text1"/>
                <w:kern w:val="0"/>
                <w:sz w:val="24"/>
                <w:szCs w:val="24"/>
                <w14:textFill>
                  <w14:solidFill>
                    <w14:schemeClr w14:val="tx1"/>
                  </w14:solidFill>
                </w14:textFill>
              </w:rPr>
              <w:t>拟建设6个500吨级兼顾1000吨级的综合性泊位，设计年吞吐量540万吨。</w:t>
            </w:r>
          </w:p>
        </w:tc>
        <w:tc>
          <w:tcPr>
            <w:tcW w:w="13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孙疃镇人民政府</w:t>
            </w:r>
          </w:p>
        </w:tc>
        <w:tc>
          <w:tcPr>
            <w:tcW w:w="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仿宋_GB2312" w:cs="Times New Roman"/>
                <w:color w:val="000000"/>
                <w:sz w:val="24"/>
                <w:szCs w:val="24"/>
              </w:rPr>
            </w:pPr>
          </w:p>
        </w:tc>
      </w:tr>
      <w:tr>
        <w:tblPrEx>
          <w:tblLayout w:type="fixed"/>
          <w:tblCellMar>
            <w:top w:w="0" w:type="dxa"/>
            <w:left w:w="0" w:type="dxa"/>
            <w:bottom w:w="0" w:type="dxa"/>
            <w:right w:w="0" w:type="dxa"/>
          </w:tblCellMar>
        </w:tblPrEx>
        <w:trPr>
          <w:trHeight w:val="953" w:hRule="atLeast"/>
          <w:jc w:val="center"/>
        </w:trPr>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2</w:t>
            </w:r>
          </w:p>
        </w:tc>
        <w:tc>
          <w:tcPr>
            <w:tcW w:w="2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临涣闸至李口集段浍河航道项目</w:t>
            </w:r>
          </w:p>
        </w:tc>
        <w:tc>
          <w:tcPr>
            <w:tcW w:w="12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themeColor="text1"/>
                <w:kern w:val="0"/>
                <w:sz w:val="24"/>
                <w:szCs w:val="24"/>
                <w14:textFill>
                  <w14:solidFill>
                    <w14:schemeClr w14:val="tx1"/>
                  </w14:solidFill>
                </w14:textFill>
              </w:rPr>
              <w:t>临涣镇</w:t>
            </w:r>
          </w:p>
        </w:tc>
        <w:tc>
          <w:tcPr>
            <w:tcW w:w="1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2022年8月-2025年12月</w:t>
            </w:r>
          </w:p>
        </w:tc>
        <w:tc>
          <w:tcPr>
            <w:tcW w:w="10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themeColor="text1"/>
                <w:kern w:val="0"/>
                <w:sz w:val="24"/>
                <w:szCs w:val="24"/>
                <w14:textFill>
                  <w14:solidFill>
                    <w14:schemeClr w14:val="tx1"/>
                  </w14:solidFill>
                </w14:textFill>
              </w:rPr>
              <w:t>20.00</w:t>
            </w:r>
          </w:p>
        </w:tc>
        <w:tc>
          <w:tcPr>
            <w:tcW w:w="4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themeColor="text1"/>
                <w:kern w:val="0"/>
                <w:sz w:val="24"/>
                <w:szCs w:val="24"/>
                <w14:textFill>
                  <w14:solidFill>
                    <w14:schemeClr w14:val="tx1"/>
                  </w14:solidFill>
                </w14:textFill>
              </w:rPr>
              <w:t>临涣闸至李口集，全长35.5公里，四级航道。</w:t>
            </w:r>
          </w:p>
        </w:tc>
        <w:tc>
          <w:tcPr>
            <w:tcW w:w="13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themeColor="text1"/>
                <w:kern w:val="0"/>
                <w:sz w:val="24"/>
                <w:szCs w:val="24"/>
                <w14:textFill>
                  <w14:solidFill>
                    <w14:schemeClr w14:val="tx1"/>
                  </w14:solidFill>
                </w14:textFill>
              </w:rPr>
              <w:t>临涣镇人民政府</w:t>
            </w:r>
          </w:p>
        </w:tc>
        <w:tc>
          <w:tcPr>
            <w:tcW w:w="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仿宋_GB2312" w:cs="Times New Roman"/>
                <w:color w:val="000000"/>
                <w:sz w:val="24"/>
                <w:szCs w:val="24"/>
              </w:rPr>
            </w:pPr>
          </w:p>
        </w:tc>
      </w:tr>
      <w:tr>
        <w:tblPrEx>
          <w:tblLayout w:type="fixed"/>
          <w:tblCellMar>
            <w:top w:w="0" w:type="dxa"/>
            <w:left w:w="0" w:type="dxa"/>
            <w:bottom w:w="0" w:type="dxa"/>
            <w:right w:w="0" w:type="dxa"/>
          </w:tblCellMar>
        </w:tblPrEx>
        <w:trPr>
          <w:trHeight w:val="1606" w:hRule="atLeast"/>
          <w:jc w:val="center"/>
        </w:trPr>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3</w:t>
            </w:r>
          </w:p>
        </w:tc>
        <w:tc>
          <w:tcPr>
            <w:tcW w:w="2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39"/>
              <w:spacing w:line="240" w:lineRule="auto"/>
              <w:ind w:firstLine="0" w:firstLineChars="0"/>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沱浍河航道临涣船闸工程</w:t>
            </w:r>
          </w:p>
        </w:tc>
        <w:tc>
          <w:tcPr>
            <w:tcW w:w="12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仿宋_GB2312" w:cs="Times New Roman"/>
                <w:kern w:val="0"/>
                <w:sz w:val="24"/>
                <w:szCs w:val="24"/>
                <w:lang w:bidi="ar"/>
              </w:rPr>
            </w:pPr>
            <w:r>
              <w:rPr>
                <w:rFonts w:hint="default" w:ascii="Times New Roman" w:hAnsi="Times New Roman" w:eastAsia="仿宋_GB2312" w:cs="Times New Roman"/>
                <w:kern w:val="0"/>
                <w:sz w:val="24"/>
                <w:szCs w:val="24"/>
              </w:rPr>
              <w:t>韩村镇</w:t>
            </w:r>
          </w:p>
        </w:tc>
        <w:tc>
          <w:tcPr>
            <w:tcW w:w="1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仿宋_GB2312" w:cs="Times New Roman"/>
                <w:kern w:val="0"/>
                <w:sz w:val="24"/>
                <w:szCs w:val="24"/>
                <w:lang w:bidi="ar"/>
              </w:rPr>
            </w:pPr>
            <w:r>
              <w:rPr>
                <w:rFonts w:hint="default" w:ascii="Times New Roman" w:hAnsi="Times New Roman" w:eastAsia="仿宋_GB2312" w:cs="Times New Roman"/>
                <w:kern w:val="0"/>
                <w:sz w:val="24"/>
                <w:szCs w:val="24"/>
                <w:lang w:bidi="ar"/>
              </w:rPr>
              <w:t>2020年5月-2023年5月</w:t>
            </w:r>
          </w:p>
        </w:tc>
        <w:tc>
          <w:tcPr>
            <w:tcW w:w="10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仿宋_GB2312" w:cs="Times New Roman"/>
                <w:kern w:val="0"/>
                <w:sz w:val="24"/>
                <w:szCs w:val="24"/>
                <w:lang w:bidi="ar"/>
              </w:rPr>
            </w:pPr>
            <w:r>
              <w:rPr>
                <w:rFonts w:hint="default" w:ascii="Times New Roman" w:hAnsi="Times New Roman" w:eastAsia="仿宋_GB2312" w:cs="Times New Roman"/>
                <w:kern w:val="0"/>
                <w:sz w:val="24"/>
                <w:szCs w:val="24"/>
              </w:rPr>
              <w:t>5.68</w:t>
            </w:r>
          </w:p>
        </w:tc>
        <w:tc>
          <w:tcPr>
            <w:tcW w:w="4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该项目按IV级通航标准建设，设计最大船型为500吨级（兼顾1000吨级）货船。主要建设内容包括闸首，闸室，引航道、导航建筑物、靠船建筑物、桥梁改建及配套工程等</w:t>
            </w:r>
          </w:p>
        </w:tc>
        <w:tc>
          <w:tcPr>
            <w:tcW w:w="13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kern w:val="0"/>
                <w:sz w:val="24"/>
                <w:szCs w:val="24"/>
              </w:rPr>
              <w:t>韩村镇人民政府</w:t>
            </w:r>
          </w:p>
        </w:tc>
        <w:tc>
          <w:tcPr>
            <w:tcW w:w="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仿宋_GB2312" w:cs="Times New Roman"/>
                <w:color w:val="000000"/>
                <w:sz w:val="24"/>
                <w:szCs w:val="24"/>
              </w:rPr>
            </w:pPr>
          </w:p>
        </w:tc>
      </w:tr>
      <w:tr>
        <w:tblPrEx>
          <w:tblLayout w:type="fixed"/>
          <w:tblCellMar>
            <w:top w:w="0" w:type="dxa"/>
            <w:left w:w="0" w:type="dxa"/>
            <w:bottom w:w="0" w:type="dxa"/>
            <w:right w:w="0" w:type="dxa"/>
          </w:tblCellMar>
        </w:tblPrEx>
        <w:trPr>
          <w:trHeight w:val="1070" w:hRule="atLeast"/>
          <w:jc w:val="center"/>
        </w:trPr>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4</w:t>
            </w:r>
          </w:p>
        </w:tc>
        <w:tc>
          <w:tcPr>
            <w:tcW w:w="2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仿宋_GB2312" w:cs="Times New Roman"/>
                <w:kern w:val="0"/>
                <w:sz w:val="24"/>
                <w:szCs w:val="24"/>
                <w:lang w:bidi="ar"/>
              </w:rPr>
            </w:pPr>
            <w:r>
              <w:rPr>
                <w:rFonts w:hint="default" w:ascii="Times New Roman" w:hAnsi="Times New Roman" w:eastAsia="仿宋_GB2312" w:cs="Times New Roman"/>
                <w:kern w:val="0"/>
                <w:sz w:val="24"/>
                <w:szCs w:val="24"/>
                <w:lang w:bidi="ar"/>
              </w:rPr>
              <w:t>韩村散货码头建设项目</w:t>
            </w:r>
          </w:p>
        </w:tc>
        <w:tc>
          <w:tcPr>
            <w:tcW w:w="12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仿宋_GB2312" w:cs="Times New Roman"/>
                <w:kern w:val="0"/>
                <w:sz w:val="24"/>
                <w:szCs w:val="24"/>
                <w:lang w:bidi="ar"/>
              </w:rPr>
            </w:pPr>
            <w:r>
              <w:rPr>
                <w:rFonts w:hint="default" w:ascii="Times New Roman" w:hAnsi="Times New Roman" w:eastAsia="仿宋_GB2312" w:cs="Times New Roman"/>
                <w:sz w:val="24"/>
                <w:szCs w:val="24"/>
              </w:rPr>
              <w:t>韩村镇</w:t>
            </w:r>
          </w:p>
        </w:tc>
        <w:tc>
          <w:tcPr>
            <w:tcW w:w="1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仿宋_GB2312" w:cs="Times New Roman"/>
                <w:kern w:val="0"/>
                <w:sz w:val="24"/>
                <w:szCs w:val="24"/>
                <w:lang w:bidi="ar"/>
              </w:rPr>
            </w:pPr>
            <w:r>
              <w:rPr>
                <w:rFonts w:hint="default" w:ascii="Times New Roman" w:hAnsi="Times New Roman" w:eastAsia="仿宋_GB2312" w:cs="Times New Roman"/>
                <w:kern w:val="0"/>
                <w:sz w:val="24"/>
                <w:szCs w:val="24"/>
                <w:lang w:bidi="ar"/>
              </w:rPr>
              <w:t>2024年5月-2025年5月</w:t>
            </w:r>
          </w:p>
        </w:tc>
        <w:tc>
          <w:tcPr>
            <w:tcW w:w="10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仿宋_GB2312" w:cs="Times New Roman"/>
                <w:kern w:val="0"/>
                <w:sz w:val="24"/>
                <w:szCs w:val="24"/>
                <w:lang w:bidi="ar"/>
              </w:rPr>
            </w:pPr>
            <w:r>
              <w:rPr>
                <w:rFonts w:hint="default" w:ascii="Times New Roman" w:hAnsi="Times New Roman" w:eastAsia="仿宋_GB2312" w:cs="Times New Roman"/>
                <w:kern w:val="0"/>
                <w:sz w:val="24"/>
                <w:szCs w:val="24"/>
              </w:rPr>
              <w:t>2.40</w:t>
            </w:r>
          </w:p>
        </w:tc>
        <w:tc>
          <w:tcPr>
            <w:tcW w:w="4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default" w:ascii="Times New Roman" w:hAnsi="Times New Roman" w:eastAsia="仿宋_GB2312" w:cs="Times New Roman"/>
                <w:kern w:val="0"/>
                <w:sz w:val="24"/>
                <w:szCs w:val="24"/>
                <w:lang w:bidi="ar"/>
              </w:rPr>
            </w:pPr>
            <w:r>
              <w:rPr>
                <w:rFonts w:hint="default" w:ascii="Times New Roman" w:hAnsi="Times New Roman" w:eastAsia="仿宋_GB2312" w:cs="Times New Roman"/>
                <w:kern w:val="0"/>
                <w:sz w:val="24"/>
                <w:szCs w:val="24"/>
                <w:lang w:bidi="ar"/>
              </w:rPr>
              <w:t>本项目拟建5个500吨级泊位，泊位长度390m。设计年吞吐量440万吨。建设进港公路一条，长500米，宽15米。</w:t>
            </w:r>
          </w:p>
        </w:tc>
        <w:tc>
          <w:tcPr>
            <w:tcW w:w="13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韩村镇人民政府</w:t>
            </w:r>
          </w:p>
        </w:tc>
        <w:tc>
          <w:tcPr>
            <w:tcW w:w="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仿宋_GB2312" w:cs="Times New Roman"/>
                <w:color w:val="000000"/>
                <w:sz w:val="24"/>
                <w:szCs w:val="24"/>
              </w:rPr>
            </w:pPr>
          </w:p>
        </w:tc>
      </w:tr>
      <w:tr>
        <w:tblPrEx>
          <w:tblLayout w:type="fixed"/>
          <w:tblCellMar>
            <w:top w:w="0" w:type="dxa"/>
            <w:left w:w="0" w:type="dxa"/>
            <w:bottom w:w="0" w:type="dxa"/>
            <w:right w:w="0" w:type="dxa"/>
          </w:tblCellMar>
        </w:tblPrEx>
        <w:trPr>
          <w:trHeight w:val="953" w:hRule="atLeast"/>
          <w:jc w:val="center"/>
        </w:trPr>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5</w:t>
            </w:r>
          </w:p>
        </w:tc>
        <w:tc>
          <w:tcPr>
            <w:tcW w:w="2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淮海中瑞农产品物流中心冷链物流园项目</w:t>
            </w:r>
          </w:p>
        </w:tc>
        <w:tc>
          <w:tcPr>
            <w:tcW w:w="12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濉溪经开区</w:t>
            </w:r>
          </w:p>
        </w:tc>
        <w:tc>
          <w:tcPr>
            <w:tcW w:w="1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kern w:val="0"/>
                <w:sz w:val="24"/>
                <w:szCs w:val="24"/>
              </w:rPr>
              <w:t>2021年10月-2022年12月</w:t>
            </w:r>
          </w:p>
        </w:tc>
        <w:tc>
          <w:tcPr>
            <w:tcW w:w="10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kern w:val="0"/>
                <w:sz w:val="24"/>
                <w:szCs w:val="24"/>
              </w:rPr>
              <w:t>2.085</w:t>
            </w:r>
          </w:p>
        </w:tc>
        <w:tc>
          <w:tcPr>
            <w:tcW w:w="4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kern w:val="0"/>
                <w:sz w:val="24"/>
                <w:szCs w:val="24"/>
              </w:rPr>
              <w:t>占地面积约99.79亩，建设冷链物流用冷库及冻品交易及其他配套用房等。</w:t>
            </w:r>
          </w:p>
        </w:tc>
        <w:tc>
          <w:tcPr>
            <w:tcW w:w="13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濉溪经开区</w:t>
            </w:r>
          </w:p>
        </w:tc>
        <w:tc>
          <w:tcPr>
            <w:tcW w:w="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仿宋_GB2312" w:cs="Times New Roman"/>
                <w:color w:val="000000"/>
                <w:sz w:val="24"/>
                <w:szCs w:val="24"/>
              </w:rPr>
            </w:pPr>
          </w:p>
        </w:tc>
      </w:tr>
      <w:tr>
        <w:tblPrEx>
          <w:tblLayout w:type="fixed"/>
          <w:tblCellMar>
            <w:top w:w="0" w:type="dxa"/>
            <w:left w:w="0" w:type="dxa"/>
            <w:bottom w:w="0" w:type="dxa"/>
            <w:right w:w="0" w:type="dxa"/>
          </w:tblCellMar>
        </w:tblPrEx>
        <w:trPr>
          <w:trHeight w:val="1043" w:hRule="atLeast"/>
          <w:jc w:val="center"/>
        </w:trPr>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6</w:t>
            </w:r>
          </w:p>
        </w:tc>
        <w:tc>
          <w:tcPr>
            <w:tcW w:w="2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themeColor="text1"/>
                <w:kern w:val="0"/>
                <w:sz w:val="24"/>
                <w:szCs w:val="24"/>
                <w14:textFill>
                  <w14:solidFill>
                    <w14:schemeClr w14:val="tx1"/>
                  </w14:solidFill>
                </w14:textFill>
              </w:rPr>
              <w:t>中德产业园子项目（智能快递物流中心建设项目）</w:t>
            </w:r>
          </w:p>
        </w:tc>
        <w:tc>
          <w:tcPr>
            <w:tcW w:w="12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濉溪经开区</w:t>
            </w:r>
          </w:p>
        </w:tc>
        <w:tc>
          <w:tcPr>
            <w:tcW w:w="1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rPr>
              <w:t>2021年5月-2023年5月</w:t>
            </w:r>
          </w:p>
        </w:tc>
        <w:tc>
          <w:tcPr>
            <w:tcW w:w="10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themeColor="text1"/>
                <w:kern w:val="0"/>
                <w:sz w:val="24"/>
                <w:szCs w:val="24"/>
                <w14:textFill>
                  <w14:solidFill>
                    <w14:schemeClr w14:val="tx1"/>
                  </w14:solidFill>
                </w14:textFill>
              </w:rPr>
              <w:t>1.50</w:t>
            </w:r>
          </w:p>
        </w:tc>
        <w:tc>
          <w:tcPr>
            <w:tcW w:w="4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themeColor="text1"/>
                <w:kern w:val="0"/>
                <w:sz w:val="24"/>
                <w:szCs w:val="24"/>
                <w14:textFill>
                  <w14:solidFill>
                    <w14:schemeClr w14:val="tx1"/>
                  </w14:solidFill>
                </w14:textFill>
              </w:rPr>
              <w:t>占地约70亩，总建筑面积约5.2万平方米，包括3栋两层仓储物流仓库、1栋业务综合楼以及其他相关配套设施。</w:t>
            </w:r>
          </w:p>
        </w:tc>
        <w:tc>
          <w:tcPr>
            <w:tcW w:w="13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濉溪经开区</w:t>
            </w:r>
          </w:p>
        </w:tc>
        <w:tc>
          <w:tcPr>
            <w:tcW w:w="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仿宋_GB2312" w:cs="Times New Roman"/>
                <w:color w:val="000000"/>
                <w:sz w:val="24"/>
                <w:szCs w:val="24"/>
              </w:rPr>
            </w:pPr>
          </w:p>
        </w:tc>
      </w:tr>
      <w:tr>
        <w:tblPrEx>
          <w:tblLayout w:type="fixed"/>
          <w:tblCellMar>
            <w:top w:w="0" w:type="dxa"/>
            <w:left w:w="0" w:type="dxa"/>
            <w:bottom w:w="0" w:type="dxa"/>
            <w:right w:w="0" w:type="dxa"/>
          </w:tblCellMar>
        </w:tblPrEx>
        <w:trPr>
          <w:trHeight w:val="1425" w:hRule="atLeast"/>
          <w:jc w:val="center"/>
        </w:trPr>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7</w:t>
            </w:r>
          </w:p>
        </w:tc>
        <w:tc>
          <w:tcPr>
            <w:tcW w:w="2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淮海京东现代物流产业园</w:t>
            </w:r>
            <w:r>
              <w:rPr>
                <w:rFonts w:hint="default" w:ascii="Times New Roman" w:hAnsi="Times New Roman" w:eastAsia="仿宋_GB2312" w:cs="Times New Roman"/>
                <w:color w:val="000000" w:themeColor="text1"/>
                <w:kern w:val="0"/>
                <w:sz w:val="24"/>
                <w:szCs w:val="24"/>
                <w14:textFill>
                  <w14:solidFill>
                    <w14:schemeClr w14:val="tx1"/>
                  </w14:solidFill>
                </w14:textFill>
              </w:rPr>
              <w:t>项目</w:t>
            </w:r>
          </w:p>
        </w:tc>
        <w:tc>
          <w:tcPr>
            <w:tcW w:w="12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濉溪镇</w:t>
            </w:r>
          </w:p>
        </w:tc>
        <w:tc>
          <w:tcPr>
            <w:tcW w:w="1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2022年3月-2024年3月</w:t>
            </w:r>
          </w:p>
        </w:tc>
        <w:tc>
          <w:tcPr>
            <w:tcW w:w="10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2.00</w:t>
            </w:r>
          </w:p>
        </w:tc>
        <w:tc>
          <w:tcPr>
            <w:tcW w:w="4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引进京东物流运营管理模式，建设集云计算、大数据、智能化于一体的现代物流产业园，全面整合提升濉溪县的物流产业，计划总投资2亿元，占地面积200亩左右。</w:t>
            </w:r>
          </w:p>
        </w:tc>
        <w:tc>
          <w:tcPr>
            <w:tcW w:w="13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lang w:bidi="ar"/>
              </w:rPr>
              <w:t>濉溪镇人民政府</w:t>
            </w:r>
          </w:p>
        </w:tc>
        <w:tc>
          <w:tcPr>
            <w:tcW w:w="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highlight w:val="none"/>
                <w:lang w:bidi="ar"/>
              </w:rPr>
              <w:t>洽谈</w:t>
            </w:r>
          </w:p>
        </w:tc>
      </w:tr>
      <w:tr>
        <w:tblPrEx>
          <w:tblLayout w:type="fixed"/>
          <w:tblCellMar>
            <w:top w:w="0" w:type="dxa"/>
            <w:left w:w="0" w:type="dxa"/>
            <w:bottom w:w="0" w:type="dxa"/>
            <w:right w:w="0" w:type="dxa"/>
          </w:tblCellMar>
        </w:tblPrEx>
        <w:trPr>
          <w:trHeight w:val="801" w:hRule="atLeast"/>
          <w:jc w:val="center"/>
        </w:trPr>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8</w:t>
            </w:r>
          </w:p>
        </w:tc>
        <w:tc>
          <w:tcPr>
            <w:tcW w:w="2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濉溪县粮食物流应急保障中心项目</w:t>
            </w:r>
          </w:p>
        </w:tc>
        <w:tc>
          <w:tcPr>
            <w:tcW w:w="12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南坪镇</w:t>
            </w:r>
          </w:p>
        </w:tc>
        <w:tc>
          <w:tcPr>
            <w:tcW w:w="1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2022年-2025年</w:t>
            </w:r>
          </w:p>
        </w:tc>
        <w:tc>
          <w:tcPr>
            <w:tcW w:w="10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2.60</w:t>
            </w:r>
          </w:p>
        </w:tc>
        <w:tc>
          <w:tcPr>
            <w:tcW w:w="4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项目新增土地仓储用地120亩，新建15万吨粮食和应急物资仓库及配套设施。</w:t>
            </w:r>
          </w:p>
        </w:tc>
        <w:tc>
          <w:tcPr>
            <w:tcW w:w="13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县发改委</w:t>
            </w:r>
          </w:p>
        </w:tc>
        <w:tc>
          <w:tcPr>
            <w:tcW w:w="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仿宋_GB2312" w:cs="Times New Roman"/>
                <w:color w:val="000000"/>
                <w:sz w:val="24"/>
                <w:szCs w:val="24"/>
              </w:rPr>
            </w:pPr>
          </w:p>
        </w:tc>
      </w:tr>
      <w:tr>
        <w:tblPrEx>
          <w:tblLayout w:type="fixed"/>
          <w:tblCellMar>
            <w:top w:w="0" w:type="dxa"/>
            <w:left w:w="0" w:type="dxa"/>
            <w:bottom w:w="0" w:type="dxa"/>
            <w:right w:w="0" w:type="dxa"/>
          </w:tblCellMar>
        </w:tblPrEx>
        <w:trPr>
          <w:trHeight w:val="800" w:hRule="atLeast"/>
          <w:jc w:val="center"/>
        </w:trPr>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9</w:t>
            </w:r>
          </w:p>
        </w:tc>
        <w:tc>
          <w:tcPr>
            <w:tcW w:w="2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铁佛镇浍河货运集散区项目</w:t>
            </w:r>
          </w:p>
        </w:tc>
        <w:tc>
          <w:tcPr>
            <w:tcW w:w="12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铁佛镇</w:t>
            </w:r>
          </w:p>
        </w:tc>
        <w:tc>
          <w:tcPr>
            <w:tcW w:w="1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2023年5月-2025年12月</w:t>
            </w:r>
          </w:p>
        </w:tc>
        <w:tc>
          <w:tcPr>
            <w:tcW w:w="10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0.70</w:t>
            </w:r>
          </w:p>
        </w:tc>
        <w:tc>
          <w:tcPr>
            <w:tcW w:w="4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建立一座占地约200亩，硬化面积39000平方米的物流集散区及相关办公楼等配套设施。</w:t>
            </w:r>
          </w:p>
        </w:tc>
        <w:tc>
          <w:tcPr>
            <w:tcW w:w="13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铁佛镇人民政府</w:t>
            </w:r>
          </w:p>
        </w:tc>
        <w:tc>
          <w:tcPr>
            <w:tcW w:w="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仿宋_GB2312" w:cs="Times New Roman"/>
                <w:color w:val="000000"/>
                <w:sz w:val="24"/>
                <w:szCs w:val="24"/>
              </w:rPr>
            </w:pPr>
          </w:p>
        </w:tc>
      </w:tr>
      <w:tr>
        <w:tblPrEx>
          <w:tblLayout w:type="fixed"/>
          <w:tblCellMar>
            <w:top w:w="0" w:type="dxa"/>
            <w:left w:w="0" w:type="dxa"/>
            <w:bottom w:w="0" w:type="dxa"/>
            <w:right w:w="0" w:type="dxa"/>
          </w:tblCellMar>
        </w:tblPrEx>
        <w:trPr>
          <w:trHeight w:val="953" w:hRule="atLeast"/>
          <w:jc w:val="center"/>
        </w:trPr>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10</w:t>
            </w:r>
          </w:p>
        </w:tc>
        <w:tc>
          <w:tcPr>
            <w:tcW w:w="2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铁佛镇茂铺物流园建设项目</w:t>
            </w:r>
          </w:p>
        </w:tc>
        <w:tc>
          <w:tcPr>
            <w:tcW w:w="12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铁佛镇</w:t>
            </w:r>
          </w:p>
        </w:tc>
        <w:tc>
          <w:tcPr>
            <w:tcW w:w="1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2023年5月-2025年10月</w:t>
            </w:r>
          </w:p>
        </w:tc>
        <w:tc>
          <w:tcPr>
            <w:tcW w:w="10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0.80</w:t>
            </w:r>
          </w:p>
        </w:tc>
        <w:tc>
          <w:tcPr>
            <w:tcW w:w="4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建设地面硬化6000平方米，管理办公区和配套功能区500平方米以及附属工程。节能型机械冷库：根据贮藏规模、自然气候和地质条件等，采用砖混结构或组装式建筑结构，配备机械制冷设备，新建保温隔热性能良好、低温环境适宜的冷库；配备必要的称量、除土、清洗、分级、愈伤、检测、干制、包装、移动式皮带输送、信息采集等设备以及立体式货架，配套设施等。</w:t>
            </w:r>
          </w:p>
        </w:tc>
        <w:tc>
          <w:tcPr>
            <w:tcW w:w="13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铁佛镇人民政府</w:t>
            </w:r>
          </w:p>
        </w:tc>
        <w:tc>
          <w:tcPr>
            <w:tcW w:w="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仿宋_GB2312" w:cs="Times New Roman"/>
                <w:color w:val="000000"/>
                <w:sz w:val="24"/>
                <w:szCs w:val="24"/>
              </w:rPr>
            </w:pPr>
          </w:p>
        </w:tc>
      </w:tr>
      <w:tr>
        <w:tblPrEx>
          <w:tblLayout w:type="fixed"/>
          <w:tblCellMar>
            <w:top w:w="0" w:type="dxa"/>
            <w:left w:w="0" w:type="dxa"/>
            <w:bottom w:w="0" w:type="dxa"/>
            <w:right w:w="0" w:type="dxa"/>
          </w:tblCellMar>
        </w:tblPrEx>
        <w:trPr>
          <w:trHeight w:val="850" w:hRule="atLeast"/>
          <w:jc w:val="center"/>
        </w:trPr>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11</w:t>
            </w:r>
          </w:p>
        </w:tc>
        <w:tc>
          <w:tcPr>
            <w:tcW w:w="2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39"/>
              <w:spacing w:line="240" w:lineRule="auto"/>
              <w:ind w:firstLine="0" w:firstLineChars="0"/>
              <w:jc w:val="center"/>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濉溪县南坪镇临港现代</w:t>
            </w:r>
          </w:p>
          <w:p>
            <w:pPr>
              <w:pStyle w:val="39"/>
              <w:spacing w:line="240" w:lineRule="auto"/>
              <w:ind w:firstLine="0" w:firstLineChars="0"/>
              <w:jc w:val="center"/>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物流园建设项目</w:t>
            </w:r>
          </w:p>
        </w:tc>
        <w:tc>
          <w:tcPr>
            <w:tcW w:w="12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themeColor="text1"/>
                <w:kern w:val="0"/>
                <w:sz w:val="24"/>
                <w:szCs w:val="24"/>
                <w14:textFill>
                  <w14:solidFill>
                    <w14:schemeClr w14:val="tx1"/>
                  </w14:solidFill>
                </w14:textFill>
              </w:rPr>
              <w:t>南坪镇</w:t>
            </w:r>
          </w:p>
        </w:tc>
        <w:tc>
          <w:tcPr>
            <w:tcW w:w="1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2022年10月-2025年12月</w:t>
            </w:r>
          </w:p>
        </w:tc>
        <w:tc>
          <w:tcPr>
            <w:tcW w:w="10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themeColor="text1"/>
                <w:kern w:val="0"/>
                <w:sz w:val="24"/>
                <w:szCs w:val="24"/>
                <w14:textFill>
                  <w14:solidFill>
                    <w14:schemeClr w14:val="tx1"/>
                  </w14:solidFill>
                </w14:textFill>
              </w:rPr>
              <w:t>20.00</w:t>
            </w:r>
          </w:p>
        </w:tc>
        <w:tc>
          <w:tcPr>
            <w:tcW w:w="4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themeColor="text1"/>
                <w:kern w:val="0"/>
                <w:sz w:val="24"/>
                <w:szCs w:val="24"/>
                <w14:textFill>
                  <w14:solidFill>
                    <w14:schemeClr w14:val="tx1"/>
                  </w14:solidFill>
                </w14:textFill>
              </w:rPr>
              <w:t>园区道路、下水管网，绿化、亮化、农贸商城、综合交易中心、现货交易中心、物流仓储、冷链物流、商场超市、电子商务创意文化园等。</w:t>
            </w:r>
          </w:p>
        </w:tc>
        <w:tc>
          <w:tcPr>
            <w:tcW w:w="13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南坪镇人民政府</w:t>
            </w:r>
          </w:p>
        </w:tc>
        <w:tc>
          <w:tcPr>
            <w:tcW w:w="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仿宋_GB2312" w:cs="Times New Roman"/>
                <w:color w:val="000000"/>
                <w:sz w:val="24"/>
                <w:szCs w:val="24"/>
              </w:rPr>
            </w:pPr>
          </w:p>
        </w:tc>
      </w:tr>
      <w:tr>
        <w:tblPrEx>
          <w:tblLayout w:type="fixed"/>
          <w:tblCellMar>
            <w:top w:w="0" w:type="dxa"/>
            <w:left w:w="0" w:type="dxa"/>
            <w:bottom w:w="0" w:type="dxa"/>
            <w:right w:w="0" w:type="dxa"/>
          </w:tblCellMar>
        </w:tblPrEx>
        <w:trPr>
          <w:trHeight w:val="953" w:hRule="atLeast"/>
          <w:jc w:val="center"/>
        </w:trPr>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12</w:t>
            </w:r>
          </w:p>
        </w:tc>
        <w:tc>
          <w:tcPr>
            <w:tcW w:w="2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孙疃港建材物流园项目</w:t>
            </w:r>
          </w:p>
        </w:tc>
        <w:tc>
          <w:tcPr>
            <w:tcW w:w="12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themeColor="text1"/>
                <w:kern w:val="0"/>
                <w:sz w:val="24"/>
                <w:szCs w:val="24"/>
                <w14:textFill>
                  <w14:solidFill>
                    <w14:schemeClr w14:val="tx1"/>
                  </w14:solidFill>
                </w14:textFill>
              </w:rPr>
              <w:t>孙疃镇</w:t>
            </w:r>
          </w:p>
        </w:tc>
        <w:tc>
          <w:tcPr>
            <w:tcW w:w="1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2023年1月-2025年12月</w:t>
            </w:r>
          </w:p>
        </w:tc>
        <w:tc>
          <w:tcPr>
            <w:tcW w:w="10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10.00</w:t>
            </w:r>
          </w:p>
        </w:tc>
        <w:tc>
          <w:tcPr>
            <w:tcW w:w="4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占地1000亩，分三期完成。一期项目计划投资0.7亿元，占地约70亩。主要建设物流园写字楼、员工宿舍、客户商务宾馆等，总建筑面积约45000平方米。二期为建材交易集散中心，计划投资4.3亿元，总占地面积约430亩。三期主要为建材成品来料加工存放区，总占地面积约500亩，投资约5亿元。</w:t>
            </w:r>
          </w:p>
        </w:tc>
        <w:tc>
          <w:tcPr>
            <w:tcW w:w="13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孙疃镇人民政府</w:t>
            </w:r>
          </w:p>
        </w:tc>
        <w:tc>
          <w:tcPr>
            <w:tcW w:w="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仿宋_GB2312" w:cs="Times New Roman"/>
                <w:color w:val="000000"/>
                <w:sz w:val="24"/>
                <w:szCs w:val="24"/>
              </w:rPr>
            </w:pPr>
          </w:p>
        </w:tc>
      </w:tr>
      <w:tr>
        <w:tblPrEx>
          <w:tblLayout w:type="fixed"/>
          <w:tblCellMar>
            <w:top w:w="0" w:type="dxa"/>
            <w:left w:w="0" w:type="dxa"/>
            <w:bottom w:w="0" w:type="dxa"/>
            <w:right w:w="0" w:type="dxa"/>
          </w:tblCellMar>
        </w:tblPrEx>
        <w:trPr>
          <w:trHeight w:val="641" w:hRule="atLeast"/>
          <w:jc w:val="center"/>
        </w:trPr>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1</w:t>
            </w:r>
            <w:r>
              <w:rPr>
                <w:rFonts w:hint="default" w:ascii="Times New Roman" w:hAnsi="Times New Roman" w:eastAsia="仿宋_GB2312" w:cs="Times New Roman"/>
                <w:color w:val="000000"/>
                <w:kern w:val="0"/>
                <w:sz w:val="24"/>
                <w:szCs w:val="24"/>
                <w:lang w:eastAsia="zh-CN" w:bidi="ar"/>
              </w:rPr>
              <w:t>3</w:t>
            </w:r>
          </w:p>
        </w:tc>
        <w:tc>
          <w:tcPr>
            <w:tcW w:w="2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泽源物流项目</w:t>
            </w:r>
          </w:p>
        </w:tc>
        <w:tc>
          <w:tcPr>
            <w:tcW w:w="12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濉溪经开区</w:t>
            </w:r>
          </w:p>
        </w:tc>
        <w:tc>
          <w:tcPr>
            <w:tcW w:w="1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rPr>
              <w:t>2022年5月-2025年5月</w:t>
            </w:r>
          </w:p>
        </w:tc>
        <w:tc>
          <w:tcPr>
            <w:tcW w:w="10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3.00</w:t>
            </w:r>
          </w:p>
        </w:tc>
        <w:tc>
          <w:tcPr>
            <w:tcW w:w="4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由国安能源投资建设，进行货物运输、仓储服务和建材、机械设备、零部件的销售</w:t>
            </w:r>
          </w:p>
        </w:tc>
        <w:tc>
          <w:tcPr>
            <w:tcW w:w="13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濉溪经开区</w:t>
            </w:r>
          </w:p>
        </w:tc>
        <w:tc>
          <w:tcPr>
            <w:tcW w:w="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仿宋_GB2312" w:cs="Times New Roman"/>
                <w:color w:val="000000"/>
                <w:sz w:val="24"/>
                <w:szCs w:val="24"/>
              </w:rPr>
            </w:pPr>
          </w:p>
        </w:tc>
      </w:tr>
      <w:tr>
        <w:tblPrEx>
          <w:tblLayout w:type="fixed"/>
          <w:tblCellMar>
            <w:top w:w="0" w:type="dxa"/>
            <w:left w:w="0" w:type="dxa"/>
            <w:bottom w:w="0" w:type="dxa"/>
            <w:right w:w="0" w:type="dxa"/>
          </w:tblCellMar>
        </w:tblPrEx>
        <w:trPr>
          <w:trHeight w:val="953" w:hRule="atLeast"/>
          <w:jc w:val="center"/>
        </w:trPr>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仿宋_GB2312" w:cs="Times New Roman"/>
                <w:color w:val="000000"/>
                <w:kern w:val="0"/>
                <w:sz w:val="24"/>
                <w:szCs w:val="24"/>
                <w:highlight w:val="none"/>
                <w:lang w:bidi="ar"/>
              </w:rPr>
            </w:pPr>
            <w:r>
              <w:rPr>
                <w:rFonts w:hint="default" w:ascii="Times New Roman" w:hAnsi="Times New Roman" w:eastAsia="仿宋_GB2312" w:cs="Times New Roman"/>
                <w:color w:val="000000"/>
                <w:kern w:val="0"/>
                <w:sz w:val="24"/>
                <w:szCs w:val="24"/>
                <w:highlight w:val="none"/>
                <w:lang w:bidi="ar"/>
              </w:rPr>
              <w:t>1</w:t>
            </w:r>
            <w:r>
              <w:rPr>
                <w:rFonts w:hint="default" w:ascii="Times New Roman" w:hAnsi="Times New Roman" w:eastAsia="仿宋_GB2312" w:cs="Times New Roman"/>
                <w:color w:val="000000"/>
                <w:kern w:val="0"/>
                <w:sz w:val="24"/>
                <w:szCs w:val="24"/>
                <w:highlight w:val="none"/>
                <w:lang w:eastAsia="zh-CN" w:bidi="ar"/>
              </w:rPr>
              <w:t>4</w:t>
            </w:r>
          </w:p>
        </w:tc>
        <w:tc>
          <w:tcPr>
            <w:tcW w:w="2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仿宋_GB2312" w:cs="Times New Roman"/>
                <w:color w:val="000000" w:themeColor="text1"/>
                <w:kern w:val="0"/>
                <w:sz w:val="24"/>
                <w:szCs w:val="24"/>
                <w:highlight w:val="none"/>
                <w14:textFill>
                  <w14:solidFill>
                    <w14:schemeClr w14:val="tx1"/>
                  </w14:solidFill>
                </w14:textFill>
              </w:rPr>
            </w:pPr>
            <w:r>
              <w:rPr>
                <w:rFonts w:hint="default" w:ascii="Times New Roman" w:hAnsi="Times New Roman" w:eastAsia="仿宋_GB2312" w:cs="Times New Roman"/>
                <w:color w:val="000000" w:themeColor="text1"/>
                <w:kern w:val="0"/>
                <w:sz w:val="24"/>
                <w:szCs w:val="24"/>
                <w:highlight w:val="none"/>
                <w14:textFill>
                  <w14:solidFill>
                    <w14:schemeClr w14:val="tx1"/>
                  </w14:solidFill>
                </w14:textFill>
              </w:rPr>
              <w:t>物流产业园项目</w:t>
            </w:r>
          </w:p>
        </w:tc>
        <w:tc>
          <w:tcPr>
            <w:tcW w:w="12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仿宋_GB2312" w:cs="Times New Roman"/>
                <w:color w:val="000000"/>
                <w:kern w:val="0"/>
                <w:sz w:val="24"/>
                <w:szCs w:val="24"/>
                <w:highlight w:val="none"/>
                <w:lang w:bidi="ar"/>
              </w:rPr>
            </w:pPr>
            <w:r>
              <w:rPr>
                <w:rFonts w:hint="default" w:ascii="Times New Roman" w:hAnsi="Times New Roman" w:eastAsia="仿宋_GB2312" w:cs="Times New Roman"/>
                <w:color w:val="000000"/>
                <w:kern w:val="0"/>
                <w:sz w:val="24"/>
                <w:szCs w:val="24"/>
                <w:highlight w:val="none"/>
                <w:lang w:bidi="ar"/>
              </w:rPr>
              <w:t>濉芜产业园</w:t>
            </w:r>
          </w:p>
        </w:tc>
        <w:tc>
          <w:tcPr>
            <w:tcW w:w="1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仿宋_GB2312" w:cs="Times New Roman"/>
                <w:color w:val="000000"/>
                <w:kern w:val="0"/>
                <w:sz w:val="24"/>
                <w:szCs w:val="24"/>
                <w:highlight w:val="none"/>
                <w:lang w:bidi="ar"/>
              </w:rPr>
            </w:pPr>
            <w:r>
              <w:rPr>
                <w:rFonts w:hint="default" w:ascii="Times New Roman" w:hAnsi="Times New Roman" w:eastAsia="仿宋_GB2312" w:cs="Times New Roman"/>
                <w:color w:val="000000"/>
                <w:kern w:val="0"/>
                <w:sz w:val="24"/>
                <w:szCs w:val="24"/>
                <w:highlight w:val="none"/>
                <w:lang w:bidi="ar"/>
              </w:rPr>
              <w:t>2022年9月-2024年8月</w:t>
            </w:r>
          </w:p>
        </w:tc>
        <w:tc>
          <w:tcPr>
            <w:tcW w:w="10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仿宋_GB2312" w:cs="Times New Roman"/>
                <w:color w:val="000000" w:themeColor="text1"/>
                <w:kern w:val="0"/>
                <w:sz w:val="24"/>
                <w:szCs w:val="24"/>
                <w:highlight w:val="none"/>
                <w14:textFill>
                  <w14:solidFill>
                    <w14:schemeClr w14:val="tx1"/>
                  </w14:solidFill>
                </w14:textFill>
              </w:rPr>
            </w:pPr>
            <w:r>
              <w:rPr>
                <w:rFonts w:hint="default" w:ascii="Times New Roman" w:hAnsi="Times New Roman" w:eastAsia="仿宋_GB2312" w:cs="Times New Roman"/>
                <w:color w:val="000000" w:themeColor="text1"/>
                <w:kern w:val="0"/>
                <w:sz w:val="24"/>
                <w:szCs w:val="24"/>
                <w:highlight w:val="none"/>
                <w14:textFill>
                  <w14:solidFill>
                    <w14:schemeClr w14:val="tx1"/>
                  </w14:solidFill>
                </w14:textFill>
              </w:rPr>
              <w:t>3.00</w:t>
            </w:r>
          </w:p>
        </w:tc>
        <w:tc>
          <w:tcPr>
            <w:tcW w:w="4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仿宋_GB2312" w:cs="Times New Roman"/>
                <w:color w:val="000000" w:themeColor="text1"/>
                <w:kern w:val="0"/>
                <w:sz w:val="24"/>
                <w:szCs w:val="24"/>
                <w:highlight w:val="none"/>
                <w14:textFill>
                  <w14:solidFill>
                    <w14:schemeClr w14:val="tx1"/>
                  </w14:solidFill>
                </w14:textFill>
              </w:rPr>
            </w:pPr>
            <w:r>
              <w:rPr>
                <w:rFonts w:hint="default" w:ascii="Times New Roman" w:hAnsi="Times New Roman" w:eastAsia="仿宋_GB2312" w:cs="Times New Roman"/>
                <w:color w:val="000000" w:themeColor="text1"/>
                <w:kern w:val="0"/>
                <w:sz w:val="24"/>
                <w:szCs w:val="24"/>
                <w:highlight w:val="none"/>
                <w14:textFill>
                  <w14:solidFill>
                    <w14:schemeClr w14:val="tx1"/>
                  </w14:solidFill>
                </w14:textFill>
              </w:rPr>
              <w:t>占地90亩，建设物流产业园，打造以顺达商贸、恒信物流为主，集仓储物流、贸易及配送的物流集散中心</w:t>
            </w:r>
          </w:p>
        </w:tc>
        <w:tc>
          <w:tcPr>
            <w:tcW w:w="13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仿宋_GB2312" w:cs="Times New Roman"/>
                <w:color w:val="000000"/>
                <w:kern w:val="0"/>
                <w:sz w:val="24"/>
                <w:szCs w:val="24"/>
                <w:highlight w:val="none"/>
                <w:lang w:bidi="ar"/>
              </w:rPr>
            </w:pPr>
            <w:r>
              <w:rPr>
                <w:rFonts w:hint="default" w:ascii="Times New Roman" w:hAnsi="Times New Roman" w:eastAsia="仿宋_GB2312" w:cs="Times New Roman"/>
                <w:color w:val="000000"/>
                <w:kern w:val="0"/>
                <w:sz w:val="24"/>
                <w:szCs w:val="24"/>
                <w:highlight w:val="none"/>
                <w:lang w:bidi="ar"/>
              </w:rPr>
              <w:t>濉芜产业园</w:t>
            </w:r>
          </w:p>
        </w:tc>
        <w:tc>
          <w:tcPr>
            <w:tcW w:w="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仿宋_GB2312" w:cs="Times New Roman"/>
                <w:color w:val="000000"/>
                <w:kern w:val="0"/>
                <w:sz w:val="24"/>
                <w:szCs w:val="24"/>
                <w:highlight w:val="none"/>
                <w:lang w:bidi="ar"/>
              </w:rPr>
            </w:pPr>
            <w:r>
              <w:rPr>
                <w:rFonts w:hint="default" w:ascii="Times New Roman" w:hAnsi="Times New Roman" w:eastAsia="仿宋_GB2312" w:cs="Times New Roman"/>
                <w:color w:val="000000"/>
                <w:kern w:val="0"/>
                <w:sz w:val="24"/>
                <w:szCs w:val="24"/>
                <w:highlight w:val="none"/>
                <w:lang w:bidi="ar"/>
              </w:rPr>
              <w:t>洽谈</w:t>
            </w:r>
          </w:p>
        </w:tc>
      </w:tr>
      <w:tr>
        <w:tblPrEx>
          <w:tblLayout w:type="fixed"/>
          <w:tblCellMar>
            <w:top w:w="0" w:type="dxa"/>
            <w:left w:w="0" w:type="dxa"/>
            <w:bottom w:w="0" w:type="dxa"/>
            <w:right w:w="0" w:type="dxa"/>
          </w:tblCellMar>
        </w:tblPrEx>
        <w:trPr>
          <w:trHeight w:val="171" w:hRule="atLeast"/>
          <w:jc w:val="center"/>
        </w:trPr>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1</w:t>
            </w:r>
            <w:r>
              <w:rPr>
                <w:rFonts w:hint="default" w:ascii="Times New Roman" w:hAnsi="Times New Roman" w:eastAsia="仿宋_GB2312" w:cs="Times New Roman"/>
                <w:color w:val="000000"/>
                <w:kern w:val="0"/>
                <w:sz w:val="24"/>
                <w:szCs w:val="24"/>
                <w:lang w:eastAsia="zh-CN" w:bidi="ar"/>
              </w:rPr>
              <w:t>5</w:t>
            </w:r>
          </w:p>
        </w:tc>
        <w:tc>
          <w:tcPr>
            <w:tcW w:w="2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孙疃镇冷链物流园项目</w:t>
            </w:r>
          </w:p>
        </w:tc>
        <w:tc>
          <w:tcPr>
            <w:tcW w:w="12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孙疃镇</w:t>
            </w:r>
          </w:p>
        </w:tc>
        <w:tc>
          <w:tcPr>
            <w:tcW w:w="1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2023年1月-2025年12月</w:t>
            </w:r>
          </w:p>
        </w:tc>
        <w:tc>
          <w:tcPr>
            <w:tcW w:w="10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2.00</w:t>
            </w:r>
          </w:p>
        </w:tc>
        <w:tc>
          <w:tcPr>
            <w:tcW w:w="4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位于宿涡路及尤沟村东大李三岔路口东，占地600亩，园区道路硬化、下水道、路面绿化、亮化、电力设施等基础配套，将众多冷链物流企业聚集在一起，实行专业化和规模化经营，作为城市物流功能区，物流园区包括物流中心、配送中心、运输枢纽设施、运输组织及管理中心和物流信息中心，以及适应城市物流管理与运作需要的物流基础设施。</w:t>
            </w:r>
          </w:p>
        </w:tc>
        <w:tc>
          <w:tcPr>
            <w:tcW w:w="13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孙疃镇人民政府</w:t>
            </w:r>
          </w:p>
        </w:tc>
        <w:tc>
          <w:tcPr>
            <w:tcW w:w="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仿宋_GB2312" w:cs="Times New Roman"/>
                <w:color w:val="000000"/>
                <w:sz w:val="24"/>
                <w:szCs w:val="24"/>
              </w:rPr>
            </w:pPr>
          </w:p>
        </w:tc>
      </w:tr>
      <w:tr>
        <w:tblPrEx>
          <w:tblLayout w:type="fixed"/>
          <w:tblCellMar>
            <w:top w:w="0" w:type="dxa"/>
            <w:left w:w="0" w:type="dxa"/>
            <w:bottom w:w="0" w:type="dxa"/>
            <w:right w:w="0" w:type="dxa"/>
          </w:tblCellMar>
        </w:tblPrEx>
        <w:trPr>
          <w:trHeight w:val="1767" w:hRule="atLeast"/>
          <w:jc w:val="center"/>
        </w:trPr>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1</w:t>
            </w:r>
            <w:r>
              <w:rPr>
                <w:rFonts w:hint="default" w:ascii="Times New Roman" w:hAnsi="Times New Roman" w:eastAsia="仿宋_GB2312" w:cs="Times New Roman"/>
                <w:color w:val="000000"/>
                <w:kern w:val="0"/>
                <w:sz w:val="24"/>
                <w:szCs w:val="24"/>
                <w:lang w:eastAsia="zh-CN" w:bidi="ar"/>
              </w:rPr>
              <w:t>6</w:t>
            </w:r>
          </w:p>
        </w:tc>
        <w:tc>
          <w:tcPr>
            <w:tcW w:w="2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濉溪县电子商务产业园（淮海壹号）二期</w:t>
            </w:r>
          </w:p>
        </w:tc>
        <w:tc>
          <w:tcPr>
            <w:tcW w:w="12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濉溪镇</w:t>
            </w:r>
          </w:p>
        </w:tc>
        <w:tc>
          <w:tcPr>
            <w:tcW w:w="1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lang w:bidi="ar"/>
              </w:rPr>
              <w:t>2022年9月-2023年9月</w:t>
            </w:r>
          </w:p>
        </w:tc>
        <w:tc>
          <w:tcPr>
            <w:tcW w:w="10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2.60</w:t>
            </w:r>
          </w:p>
        </w:tc>
        <w:tc>
          <w:tcPr>
            <w:tcW w:w="4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规划建设濉溪数字经济产业园，拟打造以电商产业、信息科技、现代服务、健康养老、科研教育、文化创意等为主的现代服务业集聚区二期。</w:t>
            </w:r>
          </w:p>
        </w:tc>
        <w:tc>
          <w:tcPr>
            <w:tcW w:w="13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lang w:bidi="ar"/>
              </w:rPr>
              <w:t>濉溪镇人民政府</w:t>
            </w:r>
          </w:p>
        </w:tc>
        <w:tc>
          <w:tcPr>
            <w:tcW w:w="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仿宋_GB2312" w:cs="Times New Roman"/>
                <w:color w:val="000000"/>
                <w:sz w:val="24"/>
                <w:szCs w:val="24"/>
              </w:rPr>
            </w:pPr>
          </w:p>
        </w:tc>
      </w:tr>
      <w:tr>
        <w:tblPrEx>
          <w:tblLayout w:type="fixed"/>
          <w:tblCellMar>
            <w:top w:w="0" w:type="dxa"/>
            <w:left w:w="0" w:type="dxa"/>
            <w:bottom w:w="0" w:type="dxa"/>
            <w:right w:w="0" w:type="dxa"/>
          </w:tblCellMar>
        </w:tblPrEx>
        <w:trPr>
          <w:trHeight w:val="1950" w:hRule="atLeast"/>
          <w:jc w:val="center"/>
        </w:trPr>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1</w:t>
            </w:r>
            <w:r>
              <w:rPr>
                <w:rFonts w:hint="default" w:ascii="Times New Roman" w:hAnsi="Times New Roman" w:eastAsia="仿宋_GB2312" w:cs="Times New Roman"/>
                <w:color w:val="000000"/>
                <w:kern w:val="0"/>
                <w:sz w:val="24"/>
                <w:szCs w:val="24"/>
                <w:lang w:eastAsia="zh-CN" w:bidi="ar"/>
              </w:rPr>
              <w:t>7</w:t>
            </w:r>
          </w:p>
        </w:tc>
        <w:tc>
          <w:tcPr>
            <w:tcW w:w="2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综合保税区建设项目</w:t>
            </w:r>
          </w:p>
        </w:tc>
        <w:tc>
          <w:tcPr>
            <w:tcW w:w="12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濉溪经开区</w:t>
            </w:r>
          </w:p>
        </w:tc>
        <w:tc>
          <w:tcPr>
            <w:tcW w:w="1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2023年2月-2024年12月</w:t>
            </w:r>
          </w:p>
        </w:tc>
        <w:tc>
          <w:tcPr>
            <w:tcW w:w="10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10.00</w:t>
            </w:r>
          </w:p>
        </w:tc>
        <w:tc>
          <w:tcPr>
            <w:tcW w:w="4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建设2.5平方公里保税加工、保税物流、保税服务等设施建设，并拓展研发、维修、检测、商品展示、国际中转、国际采购、跨境电子商务等业务，重点打造特色加工制造基地、高新技术产品研发生产基地、保税物流基地</w:t>
            </w:r>
          </w:p>
        </w:tc>
        <w:tc>
          <w:tcPr>
            <w:tcW w:w="13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县商务局</w:t>
            </w:r>
          </w:p>
        </w:tc>
        <w:tc>
          <w:tcPr>
            <w:tcW w:w="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仿宋_GB2312" w:cs="Times New Roman"/>
                <w:color w:val="000000"/>
                <w:sz w:val="24"/>
                <w:szCs w:val="24"/>
              </w:rPr>
            </w:pPr>
          </w:p>
        </w:tc>
      </w:tr>
      <w:tr>
        <w:tblPrEx>
          <w:tblLayout w:type="fixed"/>
          <w:tblCellMar>
            <w:top w:w="0" w:type="dxa"/>
            <w:left w:w="0" w:type="dxa"/>
            <w:bottom w:w="0" w:type="dxa"/>
            <w:right w:w="0" w:type="dxa"/>
          </w:tblCellMar>
        </w:tblPrEx>
        <w:trPr>
          <w:trHeight w:val="3097" w:hRule="atLeast"/>
          <w:jc w:val="center"/>
        </w:trPr>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1</w:t>
            </w:r>
            <w:r>
              <w:rPr>
                <w:rFonts w:hint="default" w:ascii="Times New Roman" w:hAnsi="Times New Roman" w:eastAsia="仿宋_GB2312" w:cs="Times New Roman"/>
                <w:color w:val="000000"/>
                <w:kern w:val="0"/>
                <w:sz w:val="24"/>
                <w:szCs w:val="24"/>
                <w:lang w:eastAsia="zh-CN" w:bidi="ar"/>
              </w:rPr>
              <w:t>8</w:t>
            </w:r>
          </w:p>
        </w:tc>
        <w:tc>
          <w:tcPr>
            <w:tcW w:w="2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濉芜现代产业园双创孵化园</w:t>
            </w:r>
            <w:r>
              <w:rPr>
                <w:rFonts w:hint="default" w:ascii="Times New Roman" w:hAnsi="Times New Roman" w:eastAsia="仿宋_GB2312" w:cs="Times New Roman"/>
                <w:color w:val="000000" w:themeColor="text1"/>
                <w:kern w:val="0"/>
                <w:sz w:val="24"/>
                <w:szCs w:val="24"/>
                <w14:textFill>
                  <w14:solidFill>
                    <w14:schemeClr w14:val="tx1"/>
                  </w14:solidFill>
                </w14:textFill>
              </w:rPr>
              <w:t>项目</w:t>
            </w:r>
          </w:p>
        </w:tc>
        <w:tc>
          <w:tcPr>
            <w:tcW w:w="12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濉芜产业园</w:t>
            </w:r>
          </w:p>
        </w:tc>
        <w:tc>
          <w:tcPr>
            <w:tcW w:w="1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2020年7月-2024年12月</w:t>
            </w:r>
          </w:p>
        </w:tc>
        <w:tc>
          <w:tcPr>
            <w:tcW w:w="10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31.60</w:t>
            </w:r>
          </w:p>
        </w:tc>
        <w:tc>
          <w:tcPr>
            <w:tcW w:w="4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主要建设一、综合服务中心建设项目，占地107亩，建设双创孵化园综合服务中心，总建筑面积12.5万平方米；二、氢能源产业园及配套建设项目。占地1800亩，建设标准化厂房115万平方米，主要包括仓储中心、生产、展示交易中心等三大功能区;三、生态及交通提升建设项目，建设3条人工渠道连接巴河及沱河，建设提升泵站，采购100辆氢能源公交车辆。</w:t>
            </w:r>
          </w:p>
        </w:tc>
        <w:tc>
          <w:tcPr>
            <w:tcW w:w="13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lang w:bidi="ar"/>
              </w:rPr>
              <w:t>濉芜产业园</w:t>
            </w:r>
          </w:p>
        </w:tc>
        <w:tc>
          <w:tcPr>
            <w:tcW w:w="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仿宋_GB2312" w:cs="Times New Roman"/>
                <w:color w:val="000000"/>
                <w:sz w:val="24"/>
                <w:szCs w:val="24"/>
              </w:rPr>
            </w:pPr>
          </w:p>
        </w:tc>
      </w:tr>
      <w:tr>
        <w:tblPrEx>
          <w:tblLayout w:type="fixed"/>
          <w:tblCellMar>
            <w:top w:w="0" w:type="dxa"/>
            <w:left w:w="0" w:type="dxa"/>
            <w:bottom w:w="0" w:type="dxa"/>
            <w:right w:w="0" w:type="dxa"/>
          </w:tblCellMar>
        </w:tblPrEx>
        <w:trPr>
          <w:trHeight w:val="1682" w:hRule="atLeast"/>
          <w:jc w:val="center"/>
        </w:trPr>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eastAsia="zh-CN" w:bidi="ar"/>
              </w:rPr>
              <w:t>1</w:t>
            </w:r>
            <w:r>
              <w:rPr>
                <w:rFonts w:hint="default" w:ascii="Times New Roman" w:hAnsi="Times New Roman" w:eastAsia="仿宋_GB2312" w:cs="Times New Roman"/>
                <w:color w:val="000000"/>
                <w:kern w:val="0"/>
                <w:sz w:val="24"/>
                <w:szCs w:val="24"/>
                <w:lang w:val="en-US" w:eastAsia="zh-CN" w:bidi="ar"/>
              </w:rPr>
              <w:t>9</w:t>
            </w:r>
          </w:p>
        </w:tc>
        <w:tc>
          <w:tcPr>
            <w:tcW w:w="2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新型金属铝材料公共服务平台项目</w:t>
            </w:r>
          </w:p>
        </w:tc>
        <w:tc>
          <w:tcPr>
            <w:tcW w:w="12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濉溪经开区</w:t>
            </w:r>
          </w:p>
        </w:tc>
        <w:tc>
          <w:tcPr>
            <w:tcW w:w="1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rPr>
              <w:t>2021年11月-2023年11月</w:t>
            </w:r>
          </w:p>
        </w:tc>
        <w:tc>
          <w:tcPr>
            <w:tcW w:w="10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themeColor="text1"/>
                <w:kern w:val="0"/>
                <w:sz w:val="24"/>
                <w:szCs w:val="24"/>
                <w14:textFill>
                  <w14:solidFill>
                    <w14:schemeClr w14:val="tx1"/>
                  </w14:solidFill>
                </w14:textFill>
              </w:rPr>
              <w:t>5.60</w:t>
            </w:r>
          </w:p>
        </w:tc>
        <w:tc>
          <w:tcPr>
            <w:tcW w:w="4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themeColor="text1"/>
                <w:kern w:val="0"/>
                <w:sz w:val="24"/>
                <w:szCs w:val="24"/>
                <w14:textFill>
                  <w14:solidFill>
                    <w14:schemeClr w14:val="tx1"/>
                  </w14:solidFill>
                </w14:textFill>
              </w:rPr>
              <w:t>占地约144亩，总建筑面积约10万平方米，包含院士工作站、铝产业研发中心、国家级铝制品检测中心、产业孵化期、众创空间、会展中心、科创中心及其他相关配套设施。</w:t>
            </w:r>
          </w:p>
        </w:tc>
        <w:tc>
          <w:tcPr>
            <w:tcW w:w="13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濉溪经开区</w:t>
            </w:r>
          </w:p>
        </w:tc>
        <w:tc>
          <w:tcPr>
            <w:tcW w:w="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仿宋_GB2312" w:cs="Times New Roman"/>
                <w:color w:val="000000"/>
                <w:sz w:val="24"/>
                <w:szCs w:val="24"/>
              </w:rPr>
            </w:pPr>
          </w:p>
        </w:tc>
      </w:tr>
      <w:tr>
        <w:tblPrEx>
          <w:tblLayout w:type="fixed"/>
          <w:tblCellMar>
            <w:top w:w="0" w:type="dxa"/>
            <w:left w:w="0" w:type="dxa"/>
            <w:bottom w:w="0" w:type="dxa"/>
            <w:right w:w="0" w:type="dxa"/>
          </w:tblCellMar>
        </w:tblPrEx>
        <w:trPr>
          <w:trHeight w:val="1430" w:hRule="atLeast"/>
          <w:jc w:val="center"/>
        </w:trPr>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2</w:t>
            </w:r>
            <w:r>
              <w:rPr>
                <w:rFonts w:hint="default" w:ascii="Times New Roman" w:hAnsi="Times New Roman" w:eastAsia="仿宋_GB2312" w:cs="Times New Roman"/>
                <w:color w:val="000000"/>
                <w:kern w:val="0"/>
                <w:sz w:val="24"/>
                <w:szCs w:val="24"/>
                <w:lang w:eastAsia="zh-CN" w:bidi="ar"/>
              </w:rPr>
              <w:t>0</w:t>
            </w:r>
          </w:p>
        </w:tc>
        <w:tc>
          <w:tcPr>
            <w:tcW w:w="2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企业安全培训基地项目(应急安全城）</w:t>
            </w:r>
          </w:p>
        </w:tc>
        <w:tc>
          <w:tcPr>
            <w:tcW w:w="12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濉溪经开区</w:t>
            </w:r>
          </w:p>
        </w:tc>
        <w:tc>
          <w:tcPr>
            <w:tcW w:w="1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rPr>
              <w:t>2021年11月-2023年6月</w:t>
            </w:r>
          </w:p>
        </w:tc>
        <w:tc>
          <w:tcPr>
            <w:tcW w:w="10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themeColor="text1"/>
                <w:kern w:val="0"/>
                <w:sz w:val="24"/>
                <w:szCs w:val="24"/>
                <w14:textFill>
                  <w14:solidFill>
                    <w14:schemeClr w14:val="tx1"/>
                  </w14:solidFill>
                </w14:textFill>
              </w:rPr>
              <w:t>3.00</w:t>
            </w:r>
          </w:p>
        </w:tc>
        <w:tc>
          <w:tcPr>
            <w:tcW w:w="4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themeColor="text1"/>
                <w:kern w:val="0"/>
                <w:sz w:val="24"/>
                <w:szCs w:val="24"/>
                <w14:textFill>
                  <w14:solidFill>
                    <w14:schemeClr w14:val="tx1"/>
                  </w14:solidFill>
                </w14:textFill>
              </w:rPr>
              <w:t>占地约76亩。总建筑面积约3万平方米，包含应急体验馆、应急指挥中心、应急物资储备库以及其他相关配套设施。</w:t>
            </w:r>
          </w:p>
        </w:tc>
        <w:tc>
          <w:tcPr>
            <w:tcW w:w="13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濉溪经开区</w:t>
            </w:r>
          </w:p>
        </w:tc>
        <w:tc>
          <w:tcPr>
            <w:tcW w:w="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仿宋_GB2312" w:cs="Times New Roman"/>
                <w:color w:val="000000"/>
                <w:sz w:val="24"/>
                <w:szCs w:val="24"/>
              </w:rPr>
            </w:pPr>
          </w:p>
        </w:tc>
      </w:tr>
      <w:tr>
        <w:tblPrEx>
          <w:tblLayout w:type="fixed"/>
          <w:tblCellMar>
            <w:top w:w="0" w:type="dxa"/>
            <w:left w:w="0" w:type="dxa"/>
            <w:bottom w:w="0" w:type="dxa"/>
            <w:right w:w="0" w:type="dxa"/>
          </w:tblCellMar>
        </w:tblPrEx>
        <w:trPr>
          <w:trHeight w:val="1451" w:hRule="atLeast"/>
          <w:jc w:val="center"/>
        </w:trPr>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2</w:t>
            </w:r>
            <w:r>
              <w:rPr>
                <w:rFonts w:hint="default" w:ascii="Times New Roman" w:hAnsi="Times New Roman" w:eastAsia="仿宋_GB2312" w:cs="Times New Roman"/>
                <w:color w:val="000000"/>
                <w:kern w:val="0"/>
                <w:sz w:val="24"/>
                <w:szCs w:val="24"/>
                <w:lang w:eastAsia="zh-CN" w:bidi="ar"/>
              </w:rPr>
              <w:t>1</w:t>
            </w:r>
          </w:p>
        </w:tc>
        <w:tc>
          <w:tcPr>
            <w:tcW w:w="2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知俐科技创新产业园项目</w:t>
            </w:r>
          </w:p>
        </w:tc>
        <w:tc>
          <w:tcPr>
            <w:tcW w:w="12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濉溪经开区</w:t>
            </w:r>
          </w:p>
        </w:tc>
        <w:tc>
          <w:tcPr>
            <w:tcW w:w="1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2022</w:t>
            </w:r>
            <w:r>
              <w:rPr>
                <w:rFonts w:hint="default" w:ascii="Times New Roman" w:hAnsi="Times New Roman" w:eastAsia="仿宋_GB2312" w:cs="Times New Roman"/>
                <w:color w:val="000000"/>
                <w:kern w:val="0"/>
                <w:sz w:val="24"/>
                <w:szCs w:val="24"/>
                <w:lang w:bidi="ar"/>
              </w:rPr>
              <w:t>年</w:t>
            </w:r>
            <w:r>
              <w:rPr>
                <w:rFonts w:hint="default" w:ascii="Times New Roman" w:hAnsi="Times New Roman" w:eastAsia="仿宋_GB2312" w:cs="Times New Roman"/>
                <w:color w:val="000000"/>
                <w:kern w:val="0"/>
                <w:sz w:val="24"/>
                <w:szCs w:val="24"/>
              </w:rPr>
              <w:t>9月-2023</w:t>
            </w:r>
            <w:r>
              <w:rPr>
                <w:rFonts w:hint="default" w:ascii="Times New Roman" w:hAnsi="Times New Roman" w:eastAsia="仿宋_GB2312" w:cs="Times New Roman"/>
                <w:color w:val="000000"/>
                <w:kern w:val="0"/>
                <w:sz w:val="24"/>
                <w:szCs w:val="24"/>
                <w:lang w:bidi="ar"/>
              </w:rPr>
              <w:t>年</w:t>
            </w:r>
            <w:r>
              <w:rPr>
                <w:rFonts w:hint="default" w:ascii="Times New Roman" w:hAnsi="Times New Roman" w:eastAsia="仿宋_GB2312" w:cs="Times New Roman"/>
                <w:color w:val="000000"/>
                <w:kern w:val="0"/>
                <w:sz w:val="24"/>
                <w:szCs w:val="24"/>
              </w:rPr>
              <w:t>8月</w:t>
            </w:r>
          </w:p>
        </w:tc>
        <w:tc>
          <w:tcPr>
            <w:tcW w:w="10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1.06</w:t>
            </w:r>
          </w:p>
        </w:tc>
        <w:tc>
          <w:tcPr>
            <w:tcW w:w="4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科创孵化器，目前拟入驻淮北维迪亚斯电子科技有限公司、淮北市速讯电子科技有限公司、安徽极讯自动化仪表有限公司</w:t>
            </w:r>
          </w:p>
        </w:tc>
        <w:tc>
          <w:tcPr>
            <w:tcW w:w="13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濉溪经开区</w:t>
            </w:r>
          </w:p>
        </w:tc>
        <w:tc>
          <w:tcPr>
            <w:tcW w:w="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仿宋_GB2312" w:cs="Times New Roman"/>
                <w:color w:val="000000"/>
                <w:sz w:val="24"/>
                <w:szCs w:val="24"/>
              </w:rPr>
            </w:pPr>
          </w:p>
        </w:tc>
      </w:tr>
      <w:tr>
        <w:tblPrEx>
          <w:tblLayout w:type="fixed"/>
          <w:tblCellMar>
            <w:top w:w="0" w:type="dxa"/>
            <w:left w:w="0" w:type="dxa"/>
            <w:bottom w:w="0" w:type="dxa"/>
            <w:right w:w="0" w:type="dxa"/>
          </w:tblCellMar>
        </w:tblPrEx>
        <w:trPr>
          <w:trHeight w:val="1258" w:hRule="atLeast"/>
          <w:jc w:val="center"/>
        </w:trPr>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2</w:t>
            </w:r>
            <w:r>
              <w:rPr>
                <w:rFonts w:hint="default" w:ascii="Times New Roman" w:hAnsi="Times New Roman" w:eastAsia="仿宋_GB2312" w:cs="Times New Roman"/>
                <w:color w:val="000000"/>
                <w:kern w:val="0"/>
                <w:sz w:val="24"/>
                <w:szCs w:val="24"/>
                <w:lang w:eastAsia="zh-CN" w:bidi="ar"/>
              </w:rPr>
              <w:t>2</w:t>
            </w:r>
          </w:p>
        </w:tc>
        <w:tc>
          <w:tcPr>
            <w:tcW w:w="2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濉溪镇失地农民创业园项目</w:t>
            </w:r>
          </w:p>
        </w:tc>
        <w:tc>
          <w:tcPr>
            <w:tcW w:w="12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濉溪镇</w:t>
            </w:r>
          </w:p>
        </w:tc>
        <w:tc>
          <w:tcPr>
            <w:tcW w:w="1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2022年12月-2025年12月</w:t>
            </w:r>
          </w:p>
        </w:tc>
        <w:tc>
          <w:tcPr>
            <w:tcW w:w="10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10.00</w:t>
            </w:r>
          </w:p>
        </w:tc>
        <w:tc>
          <w:tcPr>
            <w:tcW w:w="4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占地面积约500亩，建设标准化工业厂房4万平方米，以及园区路网、地下管网等配套工程，以及承载乾隆湖园区的搬迁安置。</w:t>
            </w:r>
          </w:p>
        </w:tc>
        <w:tc>
          <w:tcPr>
            <w:tcW w:w="13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濉溪镇</w:t>
            </w:r>
            <w:r>
              <w:rPr>
                <w:rFonts w:hint="default" w:ascii="Times New Roman" w:hAnsi="Times New Roman" w:eastAsia="仿宋_GB2312" w:cs="Times New Roman"/>
                <w:color w:val="000000"/>
                <w:sz w:val="24"/>
                <w:szCs w:val="24"/>
              </w:rPr>
              <w:t>人民政府</w:t>
            </w:r>
          </w:p>
        </w:tc>
        <w:tc>
          <w:tcPr>
            <w:tcW w:w="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仿宋_GB2312" w:cs="Times New Roman"/>
                <w:color w:val="000000"/>
                <w:sz w:val="24"/>
                <w:szCs w:val="24"/>
              </w:rPr>
            </w:pPr>
          </w:p>
        </w:tc>
      </w:tr>
      <w:tr>
        <w:tblPrEx>
          <w:tblLayout w:type="fixed"/>
          <w:tblCellMar>
            <w:top w:w="0" w:type="dxa"/>
            <w:left w:w="0" w:type="dxa"/>
            <w:bottom w:w="0" w:type="dxa"/>
            <w:right w:w="0" w:type="dxa"/>
          </w:tblCellMar>
        </w:tblPrEx>
        <w:trPr>
          <w:trHeight w:val="1194" w:hRule="atLeast"/>
          <w:jc w:val="center"/>
        </w:trPr>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2</w:t>
            </w:r>
            <w:r>
              <w:rPr>
                <w:rFonts w:hint="default" w:ascii="Times New Roman" w:hAnsi="Times New Roman" w:eastAsia="仿宋_GB2312" w:cs="Times New Roman"/>
                <w:color w:val="000000"/>
                <w:kern w:val="0"/>
                <w:sz w:val="24"/>
                <w:szCs w:val="24"/>
                <w:lang w:eastAsia="zh-CN" w:bidi="ar"/>
              </w:rPr>
              <w:t>3</w:t>
            </w:r>
          </w:p>
        </w:tc>
        <w:tc>
          <w:tcPr>
            <w:tcW w:w="2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汽车零部件综合提升工程项目</w:t>
            </w:r>
          </w:p>
        </w:tc>
        <w:tc>
          <w:tcPr>
            <w:tcW w:w="12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濉芜产业园</w:t>
            </w:r>
          </w:p>
        </w:tc>
        <w:tc>
          <w:tcPr>
            <w:tcW w:w="1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2024年3月-2025年12月</w:t>
            </w:r>
          </w:p>
        </w:tc>
        <w:tc>
          <w:tcPr>
            <w:tcW w:w="10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1.00</w:t>
            </w:r>
          </w:p>
        </w:tc>
        <w:tc>
          <w:tcPr>
            <w:tcW w:w="4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利用商贸基础现有办公楼，建设集园区汽车零部件研发中心、物流配套、公共服务及自主知识产权提升工程于一体的孵化基地。</w:t>
            </w:r>
          </w:p>
        </w:tc>
        <w:tc>
          <w:tcPr>
            <w:tcW w:w="13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濉芜产业园</w:t>
            </w:r>
          </w:p>
        </w:tc>
        <w:tc>
          <w:tcPr>
            <w:tcW w:w="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仿宋_GB2312" w:cs="Times New Roman"/>
                <w:color w:val="000000"/>
                <w:sz w:val="24"/>
                <w:szCs w:val="24"/>
              </w:rPr>
            </w:pPr>
          </w:p>
        </w:tc>
      </w:tr>
      <w:tr>
        <w:tblPrEx>
          <w:tblLayout w:type="fixed"/>
          <w:tblCellMar>
            <w:top w:w="0" w:type="dxa"/>
            <w:left w:w="0" w:type="dxa"/>
            <w:bottom w:w="0" w:type="dxa"/>
            <w:right w:w="0" w:type="dxa"/>
          </w:tblCellMar>
        </w:tblPrEx>
        <w:trPr>
          <w:trHeight w:val="7782" w:hRule="atLeast"/>
          <w:jc w:val="center"/>
        </w:trPr>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2</w:t>
            </w:r>
            <w:r>
              <w:rPr>
                <w:rFonts w:hint="default" w:ascii="Times New Roman" w:hAnsi="Times New Roman" w:eastAsia="仿宋_GB2312" w:cs="Times New Roman"/>
                <w:color w:val="000000"/>
                <w:kern w:val="0"/>
                <w:sz w:val="24"/>
                <w:szCs w:val="24"/>
                <w:lang w:eastAsia="zh-CN" w:bidi="ar"/>
              </w:rPr>
              <w:t>4</w:t>
            </w:r>
          </w:p>
        </w:tc>
        <w:tc>
          <w:tcPr>
            <w:tcW w:w="2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濉溪县城市智慧超脑运营中心项目</w:t>
            </w:r>
          </w:p>
        </w:tc>
        <w:tc>
          <w:tcPr>
            <w:tcW w:w="12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南部次中心</w:t>
            </w:r>
          </w:p>
        </w:tc>
        <w:tc>
          <w:tcPr>
            <w:tcW w:w="1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kern w:val="0"/>
                <w:sz w:val="24"/>
                <w:szCs w:val="24"/>
                <w:lang w:bidi="ar"/>
              </w:rPr>
              <w:t>2022年10月-2027年2月</w:t>
            </w:r>
          </w:p>
        </w:tc>
        <w:tc>
          <w:tcPr>
            <w:tcW w:w="10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6.00</w:t>
            </w:r>
          </w:p>
        </w:tc>
        <w:tc>
          <w:tcPr>
            <w:tcW w:w="4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1）基础设施部分，濉溪县城市智慧超脑运营中心项目场地使用土地面积约30亩，包括云数据中心，运营指挥中心、智慧政务服务中心，城市大脑展示中心；（2）城市大脑部分，濉溪县城市智慧超脑运营中心中城市大脑建设内容主要包括：数据中台、智慧中枢、业务中台、数字孪生城市，通过数据中台实现全县数据采集、治理、共享交换、可视化等；通过智慧中枢实现视频、图像、语音、NLP等能力的总集合，为智慧超脑提供能力服务；业务中台实现全县协同类场景事件协同处置能力；数字孪生城市实现濉溪县现实世界向虚拟事件精准映射的过程，同时依托数字孪生平台的建设，实现数字化操作界面，方便业务人员精准聚焦事件，领导决策方面更加精准；（3）场景应用部分，濉溪县城市智慧超脑运营中心N个场景应用主要包括：城市治理场景、社区治理场景、环境保护场景、民生服务场景、宏观决策场景等；通过城市大脑中数据能力、AI能力、数字孪生能力等实现城市运营过程中遇到的各类问题，总结成为具体的业务场景；（4）行业应用部分，濉溪县城市智慧超脑运营中心X个行业应用主要包括：智慧政务、智慧城管、智慧警务、智慧交通、智慧司法、智慧教育、智慧园区等。</w:t>
            </w:r>
          </w:p>
        </w:tc>
        <w:tc>
          <w:tcPr>
            <w:tcW w:w="13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濉溪县数据资源管理局</w:t>
            </w:r>
          </w:p>
        </w:tc>
        <w:tc>
          <w:tcPr>
            <w:tcW w:w="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仿宋_GB2312" w:cs="Times New Roman"/>
                <w:color w:val="000000"/>
                <w:sz w:val="24"/>
                <w:szCs w:val="24"/>
              </w:rPr>
            </w:pPr>
          </w:p>
        </w:tc>
      </w:tr>
      <w:tr>
        <w:tblPrEx>
          <w:tblLayout w:type="fixed"/>
          <w:tblCellMar>
            <w:top w:w="0" w:type="dxa"/>
            <w:left w:w="0" w:type="dxa"/>
            <w:bottom w:w="0" w:type="dxa"/>
            <w:right w:w="0" w:type="dxa"/>
          </w:tblCellMar>
        </w:tblPrEx>
        <w:trPr>
          <w:trHeight w:val="953" w:hRule="atLeast"/>
          <w:jc w:val="center"/>
        </w:trPr>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2</w:t>
            </w:r>
            <w:r>
              <w:rPr>
                <w:rFonts w:hint="default" w:ascii="Times New Roman" w:hAnsi="Times New Roman" w:eastAsia="仿宋_GB2312" w:cs="Times New Roman"/>
                <w:color w:val="000000"/>
                <w:kern w:val="0"/>
                <w:sz w:val="24"/>
                <w:szCs w:val="24"/>
                <w:lang w:eastAsia="zh-CN" w:bidi="ar"/>
              </w:rPr>
              <w:t>5</w:t>
            </w:r>
          </w:p>
        </w:tc>
        <w:tc>
          <w:tcPr>
            <w:tcW w:w="2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濉溪县大数据产业投资有限责任公司项目</w:t>
            </w:r>
          </w:p>
        </w:tc>
        <w:tc>
          <w:tcPr>
            <w:tcW w:w="12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themeColor="text1"/>
                <w:kern w:val="0"/>
                <w:sz w:val="24"/>
                <w:szCs w:val="24"/>
                <w14:textFill>
                  <w14:solidFill>
                    <w14:schemeClr w14:val="tx1"/>
                  </w14:solidFill>
                </w14:textFill>
              </w:rPr>
              <w:t>南部次中心</w:t>
            </w:r>
          </w:p>
        </w:tc>
        <w:tc>
          <w:tcPr>
            <w:tcW w:w="1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2022年6月-2023年5月</w:t>
            </w:r>
          </w:p>
        </w:tc>
        <w:tc>
          <w:tcPr>
            <w:tcW w:w="10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5.00</w:t>
            </w:r>
          </w:p>
        </w:tc>
        <w:tc>
          <w:tcPr>
            <w:tcW w:w="4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成立濉溪数投公司，构建以数据价值化为基础、数字产业化和产业数字化为核心、数字化治理为保障的协同发展生态，建设超大规模存储和超大规模计算的数字中心，重点围绕数字经济产业“建、投、扶”三个方面持续发力，完善数字经济产业链。</w:t>
            </w:r>
          </w:p>
        </w:tc>
        <w:tc>
          <w:tcPr>
            <w:tcW w:w="13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濉溪县数据资源管理局</w:t>
            </w:r>
          </w:p>
        </w:tc>
        <w:tc>
          <w:tcPr>
            <w:tcW w:w="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仿宋_GB2312" w:cs="Times New Roman"/>
                <w:color w:val="000000"/>
                <w:sz w:val="24"/>
                <w:szCs w:val="24"/>
              </w:rPr>
            </w:pPr>
          </w:p>
        </w:tc>
      </w:tr>
      <w:tr>
        <w:tblPrEx>
          <w:tblLayout w:type="fixed"/>
          <w:tblCellMar>
            <w:top w:w="0" w:type="dxa"/>
            <w:left w:w="0" w:type="dxa"/>
            <w:bottom w:w="0" w:type="dxa"/>
            <w:right w:w="0" w:type="dxa"/>
          </w:tblCellMar>
        </w:tblPrEx>
        <w:trPr>
          <w:trHeight w:val="953" w:hRule="atLeast"/>
          <w:jc w:val="center"/>
        </w:trPr>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2</w:t>
            </w:r>
            <w:r>
              <w:rPr>
                <w:rFonts w:hint="default" w:ascii="Times New Roman" w:hAnsi="Times New Roman" w:eastAsia="仿宋_GB2312" w:cs="Times New Roman"/>
                <w:color w:val="000000"/>
                <w:kern w:val="0"/>
                <w:sz w:val="24"/>
                <w:szCs w:val="24"/>
                <w:lang w:eastAsia="zh-CN" w:bidi="ar"/>
              </w:rPr>
              <w:t>6</w:t>
            </w:r>
          </w:p>
        </w:tc>
        <w:tc>
          <w:tcPr>
            <w:tcW w:w="2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猎鹰人力资源产业园项目</w:t>
            </w:r>
          </w:p>
        </w:tc>
        <w:tc>
          <w:tcPr>
            <w:tcW w:w="12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濉芜产业园</w:t>
            </w:r>
          </w:p>
        </w:tc>
        <w:tc>
          <w:tcPr>
            <w:tcW w:w="1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2021年6月-2022年6月</w:t>
            </w:r>
          </w:p>
        </w:tc>
        <w:tc>
          <w:tcPr>
            <w:tcW w:w="10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0.20</w:t>
            </w:r>
          </w:p>
        </w:tc>
        <w:tc>
          <w:tcPr>
            <w:tcW w:w="4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5年营业收入不低于42亿元企业管理顾问服务</w:t>
            </w:r>
          </w:p>
        </w:tc>
        <w:tc>
          <w:tcPr>
            <w:tcW w:w="13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lang w:bidi="ar"/>
              </w:rPr>
              <w:t>濉芜产业园</w:t>
            </w:r>
          </w:p>
        </w:tc>
        <w:tc>
          <w:tcPr>
            <w:tcW w:w="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仿宋_GB2312" w:cs="Times New Roman"/>
                <w:color w:val="000000"/>
                <w:kern w:val="0"/>
                <w:sz w:val="24"/>
                <w:szCs w:val="24"/>
                <w:lang w:bidi="ar"/>
              </w:rPr>
            </w:pPr>
          </w:p>
        </w:tc>
      </w:tr>
      <w:tr>
        <w:tblPrEx>
          <w:tblLayout w:type="fixed"/>
          <w:tblCellMar>
            <w:top w:w="0" w:type="dxa"/>
            <w:left w:w="0" w:type="dxa"/>
            <w:bottom w:w="0" w:type="dxa"/>
            <w:right w:w="0" w:type="dxa"/>
          </w:tblCellMar>
        </w:tblPrEx>
        <w:trPr>
          <w:trHeight w:val="953" w:hRule="atLeast"/>
          <w:jc w:val="center"/>
        </w:trPr>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2</w:t>
            </w:r>
            <w:r>
              <w:rPr>
                <w:rFonts w:hint="default" w:ascii="Times New Roman" w:hAnsi="Times New Roman" w:eastAsia="仿宋_GB2312" w:cs="Times New Roman"/>
                <w:color w:val="000000"/>
                <w:kern w:val="0"/>
                <w:sz w:val="24"/>
                <w:szCs w:val="24"/>
                <w:lang w:eastAsia="zh-CN" w:bidi="ar"/>
              </w:rPr>
              <w:t>7</w:t>
            </w:r>
          </w:p>
        </w:tc>
        <w:tc>
          <w:tcPr>
            <w:tcW w:w="2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国才人力资源服务项目</w:t>
            </w:r>
          </w:p>
        </w:tc>
        <w:tc>
          <w:tcPr>
            <w:tcW w:w="12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濉芜产业园</w:t>
            </w:r>
          </w:p>
        </w:tc>
        <w:tc>
          <w:tcPr>
            <w:tcW w:w="1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2022年5月-2023年6月</w:t>
            </w:r>
          </w:p>
        </w:tc>
        <w:tc>
          <w:tcPr>
            <w:tcW w:w="10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0.50</w:t>
            </w:r>
          </w:p>
        </w:tc>
        <w:tc>
          <w:tcPr>
            <w:tcW w:w="4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占地10亩，投资2000万元，建设人力资源服务项目</w:t>
            </w:r>
          </w:p>
        </w:tc>
        <w:tc>
          <w:tcPr>
            <w:tcW w:w="13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lang w:bidi="ar"/>
              </w:rPr>
              <w:t>濉芜产业园</w:t>
            </w:r>
          </w:p>
        </w:tc>
        <w:tc>
          <w:tcPr>
            <w:tcW w:w="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仿宋_GB2312" w:cs="Times New Roman"/>
                <w:color w:val="000000"/>
                <w:kern w:val="0"/>
                <w:sz w:val="24"/>
                <w:szCs w:val="24"/>
                <w:lang w:bidi="ar"/>
              </w:rPr>
            </w:pPr>
          </w:p>
        </w:tc>
      </w:tr>
      <w:tr>
        <w:tblPrEx>
          <w:tblLayout w:type="fixed"/>
          <w:tblCellMar>
            <w:top w:w="0" w:type="dxa"/>
            <w:left w:w="0" w:type="dxa"/>
            <w:bottom w:w="0" w:type="dxa"/>
            <w:right w:w="0" w:type="dxa"/>
          </w:tblCellMar>
        </w:tblPrEx>
        <w:trPr>
          <w:trHeight w:val="953" w:hRule="atLeast"/>
          <w:jc w:val="center"/>
        </w:trPr>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2</w:t>
            </w:r>
            <w:r>
              <w:rPr>
                <w:rFonts w:hint="default" w:ascii="Times New Roman" w:hAnsi="Times New Roman" w:eastAsia="仿宋_GB2312" w:cs="Times New Roman"/>
                <w:color w:val="000000"/>
                <w:kern w:val="0"/>
                <w:sz w:val="24"/>
                <w:szCs w:val="24"/>
                <w:lang w:eastAsia="zh-CN" w:bidi="ar"/>
              </w:rPr>
              <w:t>8</w:t>
            </w:r>
          </w:p>
        </w:tc>
        <w:tc>
          <w:tcPr>
            <w:tcW w:w="2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color w:val="000000" w:themeColor="text1"/>
                <w:kern w:val="0"/>
                <w:sz w:val="24"/>
                <w:szCs w:val="24"/>
                <w14:textFill>
                  <w14:solidFill>
                    <w14:schemeClr w14:val="tx1"/>
                  </w14:solidFill>
                </w14:textFill>
              </w:rPr>
              <w:t>濉溪县口子中等专业学校</w:t>
            </w:r>
          </w:p>
        </w:tc>
        <w:tc>
          <w:tcPr>
            <w:tcW w:w="12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仿宋_GB2312" w:cs="Times New Roman"/>
                <w:kern w:val="0"/>
                <w:sz w:val="24"/>
                <w:szCs w:val="24"/>
                <w:lang w:bidi="ar"/>
              </w:rPr>
            </w:pPr>
            <w:r>
              <w:rPr>
                <w:rFonts w:hint="default" w:ascii="Times New Roman" w:hAnsi="Times New Roman" w:eastAsia="仿宋_GB2312" w:cs="Times New Roman"/>
                <w:color w:val="000000"/>
                <w:kern w:val="0"/>
                <w:sz w:val="24"/>
                <w:szCs w:val="24"/>
                <w:lang w:bidi="ar"/>
              </w:rPr>
              <w:t>濉芜产业园</w:t>
            </w:r>
          </w:p>
        </w:tc>
        <w:tc>
          <w:tcPr>
            <w:tcW w:w="1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仿宋_GB2312" w:cs="Times New Roman"/>
                <w:kern w:val="0"/>
                <w:sz w:val="24"/>
                <w:szCs w:val="24"/>
                <w:lang w:bidi="ar"/>
              </w:rPr>
            </w:pPr>
            <w:r>
              <w:rPr>
                <w:rFonts w:hint="default" w:ascii="Times New Roman" w:hAnsi="Times New Roman" w:eastAsia="仿宋_GB2312" w:cs="Times New Roman"/>
                <w:color w:val="000000"/>
                <w:kern w:val="0"/>
                <w:sz w:val="24"/>
                <w:szCs w:val="24"/>
                <w:lang w:val="en-US" w:eastAsia="zh-CN" w:bidi="ar"/>
              </w:rPr>
              <w:t>2022年3月-2023年8月</w:t>
            </w:r>
          </w:p>
        </w:tc>
        <w:tc>
          <w:tcPr>
            <w:tcW w:w="10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color w:val="000000"/>
                <w:kern w:val="0"/>
                <w:sz w:val="24"/>
                <w:szCs w:val="24"/>
                <w:lang w:val="en-US" w:eastAsia="zh-CN" w:bidi="ar"/>
              </w:rPr>
              <w:t>1.50</w:t>
            </w:r>
          </w:p>
        </w:tc>
        <w:tc>
          <w:tcPr>
            <w:tcW w:w="4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color w:val="000000"/>
                <w:kern w:val="0"/>
                <w:sz w:val="24"/>
                <w:szCs w:val="24"/>
                <w:lang w:eastAsia="zh-CN" w:bidi="ar"/>
              </w:rPr>
              <w:t>项目占地共计</w:t>
            </w:r>
            <w:r>
              <w:rPr>
                <w:rFonts w:hint="default" w:ascii="Times New Roman" w:hAnsi="Times New Roman" w:eastAsia="仿宋_GB2312" w:cs="Times New Roman"/>
                <w:color w:val="000000"/>
                <w:kern w:val="0"/>
                <w:sz w:val="24"/>
                <w:szCs w:val="24"/>
                <w:lang w:val="en-US" w:eastAsia="zh-CN" w:bidi="ar"/>
              </w:rPr>
              <w:t>308.71亩，建筑面积9.9万平方米，建设项目包括</w:t>
            </w:r>
            <w:r>
              <w:rPr>
                <w:rFonts w:hint="default" w:ascii="Times New Roman" w:hAnsi="Times New Roman" w:eastAsia="仿宋_GB2312" w:cs="Times New Roman"/>
                <w:color w:val="000000"/>
                <w:kern w:val="0"/>
                <w:sz w:val="24"/>
                <w:szCs w:val="24"/>
                <w:lang w:eastAsia="zh-CN" w:bidi="ar"/>
              </w:rPr>
              <w:t>装修老校区、建设食堂、宿舍、装修教学楼、实验办公楼、实训大楼等。</w:t>
            </w:r>
          </w:p>
        </w:tc>
        <w:tc>
          <w:tcPr>
            <w:tcW w:w="13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color w:val="000000" w:themeColor="text1"/>
                <w:kern w:val="0"/>
                <w:sz w:val="24"/>
                <w:szCs w:val="24"/>
                <w:lang w:eastAsia="zh-CN"/>
                <w14:textFill>
                  <w14:solidFill>
                    <w14:schemeClr w14:val="tx1"/>
                  </w14:solidFill>
                </w14:textFill>
              </w:rPr>
              <w:t>县教育局</w:t>
            </w:r>
          </w:p>
        </w:tc>
        <w:tc>
          <w:tcPr>
            <w:tcW w:w="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仿宋_GB2312" w:cs="Times New Roman"/>
                <w:color w:val="000000"/>
                <w:kern w:val="0"/>
                <w:sz w:val="24"/>
                <w:szCs w:val="24"/>
                <w:lang w:bidi="ar"/>
              </w:rPr>
            </w:pPr>
          </w:p>
        </w:tc>
      </w:tr>
      <w:tr>
        <w:tblPrEx>
          <w:tblLayout w:type="fixed"/>
          <w:tblCellMar>
            <w:top w:w="0" w:type="dxa"/>
            <w:left w:w="0" w:type="dxa"/>
            <w:bottom w:w="0" w:type="dxa"/>
            <w:right w:w="0" w:type="dxa"/>
          </w:tblCellMar>
        </w:tblPrEx>
        <w:trPr>
          <w:trHeight w:val="953" w:hRule="atLeast"/>
          <w:jc w:val="center"/>
        </w:trPr>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eastAsia="zh-CN" w:bidi="ar"/>
              </w:rPr>
              <w:t>2</w:t>
            </w:r>
            <w:r>
              <w:rPr>
                <w:rFonts w:hint="default" w:ascii="Times New Roman" w:hAnsi="Times New Roman" w:eastAsia="仿宋_GB2312" w:cs="Times New Roman"/>
                <w:color w:val="000000"/>
                <w:kern w:val="0"/>
                <w:sz w:val="24"/>
                <w:szCs w:val="24"/>
                <w:lang w:val="en-US" w:eastAsia="zh-CN" w:bidi="ar"/>
              </w:rPr>
              <w:t>9</w:t>
            </w:r>
          </w:p>
        </w:tc>
        <w:tc>
          <w:tcPr>
            <w:tcW w:w="2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濉溪县凤栖湖湿地生态保护(采煤沉陷区生态保护)项目</w:t>
            </w:r>
          </w:p>
        </w:tc>
        <w:tc>
          <w:tcPr>
            <w:tcW w:w="12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刘桥镇</w:t>
            </w:r>
          </w:p>
        </w:tc>
        <w:tc>
          <w:tcPr>
            <w:tcW w:w="1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2019年2月至2022年10月</w:t>
            </w:r>
          </w:p>
        </w:tc>
        <w:tc>
          <w:tcPr>
            <w:tcW w:w="10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themeColor="text1"/>
                <w:kern w:val="0"/>
                <w:sz w:val="24"/>
                <w:szCs w:val="24"/>
                <w14:textFill>
                  <w14:solidFill>
                    <w14:schemeClr w14:val="tx1"/>
                  </w14:solidFill>
                </w14:textFill>
              </w:rPr>
              <w:t>2.10</w:t>
            </w:r>
          </w:p>
        </w:tc>
        <w:tc>
          <w:tcPr>
            <w:tcW w:w="4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themeColor="text1"/>
                <w:kern w:val="0"/>
                <w:sz w:val="24"/>
                <w:szCs w:val="24"/>
                <w14:textFill>
                  <w14:solidFill>
                    <w14:schemeClr w14:val="tx1"/>
                  </w14:solidFill>
                </w14:textFill>
              </w:rPr>
              <w:t>湿地恢复与保护工程总规划用地约12100亩（含水体）；交通工程总规划用地约420亩，主要建设内容包括环湖路、游步道、湿地栈道、码头、桥梁等。</w:t>
            </w:r>
          </w:p>
        </w:tc>
        <w:tc>
          <w:tcPr>
            <w:tcW w:w="13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lang w:bidi="ar"/>
              </w:rPr>
              <w:t>刘桥镇</w:t>
            </w:r>
            <w:r>
              <w:rPr>
                <w:rFonts w:hint="default" w:ascii="Times New Roman" w:hAnsi="Times New Roman" w:eastAsia="仿宋_GB2312" w:cs="Times New Roman"/>
                <w:color w:val="000000"/>
                <w:sz w:val="24"/>
                <w:szCs w:val="24"/>
              </w:rPr>
              <w:t>人民政府</w:t>
            </w:r>
          </w:p>
        </w:tc>
        <w:tc>
          <w:tcPr>
            <w:tcW w:w="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仿宋_GB2312" w:cs="Times New Roman"/>
                <w:color w:val="000000"/>
                <w:sz w:val="24"/>
                <w:szCs w:val="24"/>
              </w:rPr>
            </w:pPr>
          </w:p>
        </w:tc>
      </w:tr>
      <w:tr>
        <w:tblPrEx>
          <w:tblLayout w:type="fixed"/>
          <w:tblCellMar>
            <w:top w:w="0" w:type="dxa"/>
            <w:left w:w="0" w:type="dxa"/>
            <w:bottom w:w="0" w:type="dxa"/>
            <w:right w:w="0" w:type="dxa"/>
          </w:tblCellMar>
        </w:tblPrEx>
        <w:trPr>
          <w:trHeight w:val="953" w:hRule="atLeast"/>
          <w:jc w:val="center"/>
        </w:trPr>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3</w:t>
            </w:r>
            <w:r>
              <w:rPr>
                <w:rFonts w:hint="default" w:ascii="Times New Roman" w:hAnsi="Times New Roman" w:eastAsia="仿宋_GB2312" w:cs="Times New Roman"/>
                <w:color w:val="000000"/>
                <w:kern w:val="0"/>
                <w:sz w:val="24"/>
                <w:szCs w:val="24"/>
                <w:lang w:eastAsia="zh-CN" w:bidi="ar"/>
              </w:rPr>
              <w:t>0</w:t>
            </w:r>
          </w:p>
        </w:tc>
        <w:tc>
          <w:tcPr>
            <w:tcW w:w="2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安徽淮北濉溪县老城石板街历史街区保护与更新项目</w:t>
            </w:r>
          </w:p>
        </w:tc>
        <w:tc>
          <w:tcPr>
            <w:tcW w:w="12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濉溪镇</w:t>
            </w:r>
          </w:p>
        </w:tc>
        <w:tc>
          <w:tcPr>
            <w:tcW w:w="1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2020年1月-2023年6月</w:t>
            </w:r>
          </w:p>
        </w:tc>
        <w:tc>
          <w:tcPr>
            <w:tcW w:w="10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themeColor="text1"/>
                <w:kern w:val="0"/>
                <w:sz w:val="24"/>
                <w:szCs w:val="24"/>
                <w14:textFill>
                  <w14:solidFill>
                    <w14:schemeClr w14:val="tx1"/>
                  </w14:solidFill>
                </w14:textFill>
              </w:rPr>
              <w:t>5.72</w:t>
            </w:r>
          </w:p>
        </w:tc>
        <w:tc>
          <w:tcPr>
            <w:tcW w:w="4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themeColor="text1"/>
                <w:kern w:val="0"/>
                <w:sz w:val="24"/>
                <w:szCs w:val="24"/>
                <w14:textFill>
                  <w14:solidFill>
                    <w14:schemeClr w14:val="tx1"/>
                  </w14:solidFill>
                </w14:textFill>
              </w:rPr>
              <w:t>修复老城石板街长1000米，沿街门面400多间恢复旧时景象和重要景点十处，建设博物馆、公园以及基础配套设施等。</w:t>
            </w:r>
          </w:p>
        </w:tc>
        <w:tc>
          <w:tcPr>
            <w:tcW w:w="13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lang w:eastAsia="zh-CN" w:bidi="ar"/>
              </w:rPr>
              <w:t>县</w:t>
            </w:r>
            <w:r>
              <w:rPr>
                <w:rFonts w:hint="default" w:ascii="Times New Roman" w:hAnsi="Times New Roman" w:eastAsia="仿宋_GB2312" w:cs="Times New Roman"/>
                <w:color w:val="000000"/>
                <w:kern w:val="0"/>
                <w:sz w:val="24"/>
                <w:szCs w:val="24"/>
                <w:lang w:bidi="ar"/>
              </w:rPr>
              <w:t>建投集团</w:t>
            </w:r>
          </w:p>
        </w:tc>
        <w:tc>
          <w:tcPr>
            <w:tcW w:w="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仿宋_GB2312" w:cs="Times New Roman"/>
                <w:color w:val="000000"/>
                <w:sz w:val="24"/>
                <w:szCs w:val="24"/>
              </w:rPr>
            </w:pPr>
          </w:p>
        </w:tc>
      </w:tr>
      <w:tr>
        <w:tblPrEx>
          <w:tblLayout w:type="fixed"/>
          <w:tblCellMar>
            <w:top w:w="0" w:type="dxa"/>
            <w:left w:w="0" w:type="dxa"/>
            <w:bottom w:w="0" w:type="dxa"/>
            <w:right w:w="0" w:type="dxa"/>
          </w:tblCellMar>
        </w:tblPrEx>
        <w:trPr>
          <w:trHeight w:val="550" w:hRule="atLeast"/>
          <w:jc w:val="center"/>
        </w:trPr>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3</w:t>
            </w:r>
            <w:r>
              <w:rPr>
                <w:rFonts w:hint="default" w:ascii="Times New Roman" w:hAnsi="Times New Roman" w:eastAsia="仿宋_GB2312" w:cs="Times New Roman"/>
                <w:color w:val="000000"/>
                <w:kern w:val="0"/>
                <w:sz w:val="24"/>
                <w:szCs w:val="24"/>
                <w:lang w:eastAsia="zh-CN" w:bidi="ar"/>
              </w:rPr>
              <w:t>1</w:t>
            </w:r>
          </w:p>
        </w:tc>
        <w:tc>
          <w:tcPr>
            <w:tcW w:w="2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淮海战役双堆集战场遗址旅游发展项目</w:t>
            </w:r>
          </w:p>
        </w:tc>
        <w:tc>
          <w:tcPr>
            <w:tcW w:w="12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双堆集镇</w:t>
            </w:r>
          </w:p>
        </w:tc>
        <w:tc>
          <w:tcPr>
            <w:tcW w:w="1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2021年-2023年</w:t>
            </w:r>
          </w:p>
        </w:tc>
        <w:tc>
          <w:tcPr>
            <w:tcW w:w="10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21.22</w:t>
            </w:r>
          </w:p>
        </w:tc>
        <w:tc>
          <w:tcPr>
            <w:tcW w:w="4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开发建设淮海战役双堆集战场红色旅游资源，打造5A级红色旅游及爱国主义教育基地。</w:t>
            </w:r>
          </w:p>
        </w:tc>
        <w:tc>
          <w:tcPr>
            <w:tcW w:w="13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themeColor="text1"/>
                <w:kern w:val="0"/>
                <w:sz w:val="24"/>
                <w:szCs w:val="24"/>
                <w14:textFill>
                  <w14:solidFill>
                    <w14:schemeClr w14:val="tx1"/>
                  </w14:solidFill>
                </w14:textFill>
              </w:rPr>
              <w:t>双堆集镇</w:t>
            </w:r>
            <w:r>
              <w:rPr>
                <w:rFonts w:hint="default" w:ascii="Times New Roman" w:hAnsi="Times New Roman" w:eastAsia="仿宋_GB2312" w:cs="Times New Roman"/>
                <w:color w:val="000000"/>
                <w:sz w:val="24"/>
                <w:szCs w:val="24"/>
              </w:rPr>
              <w:t>人民政府</w:t>
            </w:r>
          </w:p>
        </w:tc>
        <w:tc>
          <w:tcPr>
            <w:tcW w:w="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仿宋_GB2312" w:cs="Times New Roman"/>
                <w:color w:val="000000"/>
                <w:sz w:val="24"/>
                <w:szCs w:val="24"/>
              </w:rPr>
            </w:pPr>
          </w:p>
        </w:tc>
      </w:tr>
      <w:tr>
        <w:tblPrEx>
          <w:tblLayout w:type="fixed"/>
          <w:tblCellMar>
            <w:top w:w="0" w:type="dxa"/>
            <w:left w:w="0" w:type="dxa"/>
            <w:bottom w:w="0" w:type="dxa"/>
            <w:right w:w="0" w:type="dxa"/>
          </w:tblCellMar>
        </w:tblPrEx>
        <w:trPr>
          <w:trHeight w:val="953" w:hRule="atLeast"/>
          <w:jc w:val="center"/>
        </w:trPr>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3</w:t>
            </w:r>
            <w:r>
              <w:rPr>
                <w:rFonts w:hint="default" w:ascii="Times New Roman" w:hAnsi="Times New Roman" w:eastAsia="仿宋_GB2312" w:cs="Times New Roman"/>
                <w:color w:val="000000"/>
                <w:kern w:val="0"/>
                <w:sz w:val="24"/>
                <w:szCs w:val="24"/>
                <w:lang w:eastAsia="zh-CN" w:bidi="ar"/>
              </w:rPr>
              <w:t>2</w:t>
            </w:r>
          </w:p>
        </w:tc>
        <w:tc>
          <w:tcPr>
            <w:tcW w:w="2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临涣文化旅游休闲街区项目</w:t>
            </w:r>
          </w:p>
        </w:tc>
        <w:tc>
          <w:tcPr>
            <w:tcW w:w="12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themeColor="text1"/>
                <w:kern w:val="0"/>
                <w:sz w:val="24"/>
                <w:szCs w:val="24"/>
                <w14:textFill>
                  <w14:solidFill>
                    <w14:schemeClr w14:val="tx1"/>
                  </w14:solidFill>
                </w14:textFill>
              </w:rPr>
              <w:t>临涣镇</w:t>
            </w:r>
          </w:p>
        </w:tc>
        <w:tc>
          <w:tcPr>
            <w:tcW w:w="1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2021年8月—2022年10月</w:t>
            </w:r>
          </w:p>
        </w:tc>
        <w:tc>
          <w:tcPr>
            <w:tcW w:w="10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themeColor="text1"/>
                <w:kern w:val="0"/>
                <w:sz w:val="24"/>
                <w:szCs w:val="24"/>
                <w14:textFill>
                  <w14:solidFill>
                    <w14:schemeClr w14:val="tx1"/>
                  </w14:solidFill>
                </w14:textFill>
              </w:rPr>
              <w:t>0.14</w:t>
            </w:r>
          </w:p>
        </w:tc>
        <w:tc>
          <w:tcPr>
            <w:tcW w:w="4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themeColor="text1"/>
                <w:kern w:val="0"/>
                <w:sz w:val="24"/>
                <w:szCs w:val="24"/>
                <w14:textFill>
                  <w14:solidFill>
                    <w14:schemeClr w14:val="tx1"/>
                  </w14:solidFill>
                </w14:textFill>
              </w:rPr>
              <w:t>建设蹇叔墓（石板街）、老街、南阁街三条街区石板街、社区便民商圈、特色文化旅游购物场所及消费聚集区配套基础</w:t>
            </w:r>
            <w:r>
              <w:rPr>
                <w:rFonts w:hint="eastAsia" w:ascii="Times New Roman" w:hAnsi="Times New Roman" w:eastAsia="仿宋_GB2312" w:cs="Times New Roman"/>
                <w:color w:val="000000" w:themeColor="text1"/>
                <w:kern w:val="0"/>
                <w:sz w:val="24"/>
                <w:szCs w:val="24"/>
                <w:lang w:val="en-US" w:eastAsia="zh-CN"/>
                <w14:textFill>
                  <w14:solidFill>
                    <w14:schemeClr w14:val="tx1"/>
                  </w14:solidFill>
                </w14:textFill>
              </w:rPr>
              <w:t>设</w:t>
            </w:r>
            <w:r>
              <w:rPr>
                <w:rFonts w:hint="default" w:ascii="Times New Roman" w:hAnsi="Times New Roman" w:eastAsia="仿宋_GB2312" w:cs="Times New Roman"/>
                <w:color w:val="000000" w:themeColor="text1"/>
                <w:kern w:val="0"/>
                <w:sz w:val="24"/>
                <w:szCs w:val="24"/>
                <w14:textFill>
                  <w14:solidFill>
                    <w14:schemeClr w14:val="tx1"/>
                  </w14:solidFill>
                </w14:textFill>
              </w:rPr>
              <w:t>施建设。</w:t>
            </w:r>
          </w:p>
        </w:tc>
        <w:tc>
          <w:tcPr>
            <w:tcW w:w="13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themeColor="text1"/>
                <w:kern w:val="0"/>
                <w:sz w:val="24"/>
                <w:szCs w:val="24"/>
                <w14:textFill>
                  <w14:solidFill>
                    <w14:schemeClr w14:val="tx1"/>
                  </w14:solidFill>
                </w14:textFill>
              </w:rPr>
              <w:t>临涣镇人民政府</w:t>
            </w:r>
          </w:p>
        </w:tc>
        <w:tc>
          <w:tcPr>
            <w:tcW w:w="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仿宋_GB2312" w:cs="Times New Roman"/>
                <w:color w:val="000000"/>
                <w:sz w:val="24"/>
                <w:szCs w:val="24"/>
              </w:rPr>
            </w:pPr>
          </w:p>
        </w:tc>
      </w:tr>
      <w:tr>
        <w:tblPrEx>
          <w:tblLayout w:type="fixed"/>
          <w:tblCellMar>
            <w:top w:w="0" w:type="dxa"/>
            <w:left w:w="0" w:type="dxa"/>
            <w:bottom w:w="0" w:type="dxa"/>
            <w:right w:w="0" w:type="dxa"/>
          </w:tblCellMar>
        </w:tblPrEx>
        <w:trPr>
          <w:trHeight w:val="953" w:hRule="atLeast"/>
          <w:jc w:val="center"/>
        </w:trPr>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3</w:t>
            </w:r>
            <w:r>
              <w:rPr>
                <w:rFonts w:hint="default" w:ascii="Times New Roman" w:hAnsi="Times New Roman" w:eastAsia="仿宋_GB2312" w:cs="Times New Roman"/>
                <w:color w:val="000000"/>
                <w:kern w:val="0"/>
                <w:sz w:val="24"/>
                <w:szCs w:val="24"/>
                <w:lang w:eastAsia="zh-CN" w:bidi="ar"/>
              </w:rPr>
              <w:t>3</w:t>
            </w:r>
          </w:p>
        </w:tc>
        <w:tc>
          <w:tcPr>
            <w:tcW w:w="2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39"/>
              <w:spacing w:line="240" w:lineRule="auto"/>
              <w:ind w:firstLine="0" w:firstLineChars="0"/>
              <w:jc w:val="center"/>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临涣古镇保护与展示及基础设施提升项目</w:t>
            </w:r>
          </w:p>
        </w:tc>
        <w:tc>
          <w:tcPr>
            <w:tcW w:w="12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themeColor="text1"/>
                <w:kern w:val="0"/>
                <w:sz w:val="24"/>
                <w:szCs w:val="24"/>
                <w14:textFill>
                  <w14:solidFill>
                    <w14:schemeClr w14:val="tx1"/>
                  </w14:solidFill>
                </w14:textFill>
              </w:rPr>
              <w:t>临涣镇</w:t>
            </w:r>
          </w:p>
        </w:tc>
        <w:tc>
          <w:tcPr>
            <w:tcW w:w="1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2021年8月—2024年12月</w:t>
            </w:r>
          </w:p>
        </w:tc>
        <w:tc>
          <w:tcPr>
            <w:tcW w:w="10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themeColor="text1"/>
                <w:kern w:val="0"/>
                <w:sz w:val="24"/>
                <w:szCs w:val="24"/>
                <w14:textFill>
                  <w14:solidFill>
                    <w14:schemeClr w14:val="tx1"/>
                  </w14:solidFill>
                </w14:textFill>
              </w:rPr>
              <w:t>22.60</w:t>
            </w:r>
          </w:p>
        </w:tc>
        <w:tc>
          <w:tcPr>
            <w:tcW w:w="4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古镇道路及配套工程、古镇旅游基础设施及配套项目、临涣古城墙保护与环境提升项目、古镇四大名泉保护与利用项目、古镇研学游乐体验项目、古镇游客服务设施建设项目、古镇遗存保护与展示项目。</w:t>
            </w:r>
          </w:p>
        </w:tc>
        <w:tc>
          <w:tcPr>
            <w:tcW w:w="13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themeColor="text1"/>
                <w:kern w:val="0"/>
                <w:sz w:val="24"/>
                <w:szCs w:val="24"/>
                <w14:textFill>
                  <w14:solidFill>
                    <w14:schemeClr w14:val="tx1"/>
                  </w14:solidFill>
                </w14:textFill>
              </w:rPr>
              <w:t>临涣镇人民政府</w:t>
            </w:r>
          </w:p>
        </w:tc>
        <w:tc>
          <w:tcPr>
            <w:tcW w:w="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仿宋_GB2312" w:cs="Times New Roman"/>
                <w:color w:val="000000"/>
                <w:sz w:val="24"/>
                <w:szCs w:val="24"/>
              </w:rPr>
            </w:pPr>
          </w:p>
        </w:tc>
      </w:tr>
      <w:tr>
        <w:tblPrEx>
          <w:tblLayout w:type="fixed"/>
          <w:tblCellMar>
            <w:top w:w="0" w:type="dxa"/>
            <w:left w:w="0" w:type="dxa"/>
            <w:bottom w:w="0" w:type="dxa"/>
            <w:right w:w="0" w:type="dxa"/>
          </w:tblCellMar>
        </w:tblPrEx>
        <w:trPr>
          <w:trHeight w:val="953" w:hRule="atLeast"/>
          <w:jc w:val="center"/>
        </w:trPr>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3</w:t>
            </w:r>
            <w:r>
              <w:rPr>
                <w:rFonts w:hint="default" w:ascii="Times New Roman" w:hAnsi="Times New Roman" w:eastAsia="仿宋_GB2312" w:cs="Times New Roman"/>
                <w:color w:val="000000"/>
                <w:kern w:val="0"/>
                <w:sz w:val="24"/>
                <w:szCs w:val="24"/>
                <w:lang w:eastAsia="zh-CN" w:bidi="ar"/>
              </w:rPr>
              <w:t>4</w:t>
            </w:r>
          </w:p>
        </w:tc>
        <w:tc>
          <w:tcPr>
            <w:tcW w:w="2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濉溪县铁佛镇文化旅游环境综合治理项目</w:t>
            </w:r>
          </w:p>
        </w:tc>
        <w:tc>
          <w:tcPr>
            <w:tcW w:w="12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themeColor="text1"/>
                <w:kern w:val="0"/>
                <w:sz w:val="24"/>
                <w:szCs w:val="24"/>
                <w14:textFill>
                  <w14:solidFill>
                    <w14:schemeClr w14:val="tx1"/>
                  </w14:solidFill>
                </w14:textFill>
              </w:rPr>
              <w:t>铁佛镇</w:t>
            </w:r>
          </w:p>
        </w:tc>
        <w:tc>
          <w:tcPr>
            <w:tcW w:w="1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2022年1月-2025年8月</w:t>
            </w:r>
          </w:p>
        </w:tc>
        <w:tc>
          <w:tcPr>
            <w:tcW w:w="10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themeColor="text1"/>
                <w:kern w:val="0"/>
                <w:sz w:val="24"/>
                <w:szCs w:val="24"/>
                <w14:textFill>
                  <w14:solidFill>
                    <w14:schemeClr w14:val="tx1"/>
                  </w14:solidFill>
                </w14:textFill>
              </w:rPr>
              <w:t>1.85</w:t>
            </w:r>
          </w:p>
        </w:tc>
        <w:tc>
          <w:tcPr>
            <w:tcW w:w="4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themeColor="text1"/>
                <w:kern w:val="0"/>
                <w:sz w:val="24"/>
                <w:szCs w:val="24"/>
                <w14:textFill>
                  <w14:solidFill>
                    <w14:schemeClr w14:val="tx1"/>
                  </w14:solidFill>
                </w14:textFill>
              </w:rPr>
              <w:t>邹楼村银杏树开发环境综合治理项目、古汉墓国保单位周边环境综合治理项目、卧龙湖人民公社文化旅游周边环境综合提升项目、铁佛寺周边环境综合治理项目及崔楼村农民文化园综合开发项目。</w:t>
            </w:r>
          </w:p>
        </w:tc>
        <w:tc>
          <w:tcPr>
            <w:tcW w:w="13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铁佛镇人民政府</w:t>
            </w:r>
          </w:p>
        </w:tc>
        <w:tc>
          <w:tcPr>
            <w:tcW w:w="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仿宋_GB2312" w:cs="Times New Roman"/>
                <w:color w:val="000000"/>
                <w:sz w:val="24"/>
                <w:szCs w:val="24"/>
              </w:rPr>
            </w:pPr>
          </w:p>
        </w:tc>
      </w:tr>
      <w:tr>
        <w:tblPrEx>
          <w:tblLayout w:type="fixed"/>
          <w:tblCellMar>
            <w:top w:w="0" w:type="dxa"/>
            <w:left w:w="0" w:type="dxa"/>
            <w:bottom w:w="0" w:type="dxa"/>
            <w:right w:w="0" w:type="dxa"/>
          </w:tblCellMar>
        </w:tblPrEx>
        <w:trPr>
          <w:trHeight w:val="251" w:hRule="atLeast"/>
          <w:jc w:val="center"/>
        </w:trPr>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3</w:t>
            </w:r>
            <w:r>
              <w:rPr>
                <w:rFonts w:hint="default" w:ascii="Times New Roman" w:hAnsi="Times New Roman" w:eastAsia="仿宋_GB2312" w:cs="Times New Roman"/>
                <w:color w:val="000000"/>
                <w:kern w:val="0"/>
                <w:sz w:val="24"/>
                <w:szCs w:val="24"/>
                <w:lang w:eastAsia="zh-CN" w:bidi="ar"/>
              </w:rPr>
              <w:t>5</w:t>
            </w:r>
          </w:p>
        </w:tc>
        <w:tc>
          <w:tcPr>
            <w:tcW w:w="2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sz w:val="24"/>
                <w:szCs w:val="24"/>
              </w:rPr>
              <w:t xml:space="preserve"> </w:t>
            </w:r>
            <w:r>
              <w:rPr>
                <w:rFonts w:hint="default" w:ascii="Times New Roman" w:hAnsi="Times New Roman" w:eastAsia="仿宋_GB2312" w:cs="Times New Roman"/>
                <w:color w:val="000000"/>
                <w:kern w:val="0"/>
                <w:sz w:val="24"/>
                <w:szCs w:val="24"/>
                <w:lang w:bidi="ar"/>
              </w:rPr>
              <w:t xml:space="preserve">濉溪县百善特色旅游微型产业集聚区  </w:t>
            </w:r>
            <w:r>
              <w:rPr>
                <w:rFonts w:hint="default" w:ascii="Times New Roman" w:hAnsi="Times New Roman" w:eastAsia="仿宋_GB2312" w:cs="Times New Roman"/>
                <w:sz w:val="24"/>
                <w:szCs w:val="24"/>
              </w:rPr>
              <w:t xml:space="preserve">             </w:t>
            </w:r>
          </w:p>
        </w:tc>
        <w:tc>
          <w:tcPr>
            <w:tcW w:w="12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百善镇</w:t>
            </w:r>
          </w:p>
        </w:tc>
        <w:tc>
          <w:tcPr>
            <w:tcW w:w="1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2021年5月-2024年10月</w:t>
            </w:r>
          </w:p>
        </w:tc>
        <w:tc>
          <w:tcPr>
            <w:tcW w:w="10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24.79</w:t>
            </w:r>
          </w:p>
        </w:tc>
        <w:tc>
          <w:tcPr>
            <w:tcW w:w="4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总建设用地：3183亩 已利用土地：2128亩。柳孜大运河遗址博物馆、大运河瓷器展览馆、柳孜文化村、小镇客厅、运河花海、运河冰雕馆、运河航天博览园、创意花卉体验馆、隋唐风情街、百善社区、 双创孵化中心、运河故事馆、茶酒文化馆、运河书画馆、隋唐风情街、荷塘月色、耕读学院、萌宠家园、乐活采摘园、基础设施建设、环境整治提升工程等</w:t>
            </w:r>
          </w:p>
        </w:tc>
        <w:tc>
          <w:tcPr>
            <w:tcW w:w="13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lang w:bidi="ar"/>
              </w:rPr>
              <w:t>百善镇人民政府</w:t>
            </w:r>
          </w:p>
        </w:tc>
        <w:tc>
          <w:tcPr>
            <w:tcW w:w="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仿宋_GB2312" w:cs="Times New Roman"/>
                <w:color w:val="000000"/>
                <w:sz w:val="24"/>
                <w:szCs w:val="24"/>
              </w:rPr>
            </w:pPr>
          </w:p>
        </w:tc>
      </w:tr>
      <w:tr>
        <w:tblPrEx>
          <w:tblLayout w:type="fixed"/>
          <w:tblCellMar>
            <w:top w:w="0" w:type="dxa"/>
            <w:left w:w="0" w:type="dxa"/>
            <w:bottom w:w="0" w:type="dxa"/>
            <w:right w:w="0" w:type="dxa"/>
          </w:tblCellMar>
        </w:tblPrEx>
        <w:trPr>
          <w:trHeight w:val="953" w:hRule="atLeast"/>
          <w:jc w:val="center"/>
        </w:trPr>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3</w:t>
            </w:r>
            <w:r>
              <w:rPr>
                <w:rFonts w:hint="default" w:ascii="Times New Roman" w:hAnsi="Times New Roman" w:eastAsia="仿宋_GB2312" w:cs="Times New Roman"/>
                <w:color w:val="000000"/>
                <w:kern w:val="0"/>
                <w:sz w:val="24"/>
                <w:szCs w:val="24"/>
                <w:lang w:eastAsia="zh-CN" w:bidi="ar"/>
              </w:rPr>
              <w:t>6</w:t>
            </w:r>
          </w:p>
        </w:tc>
        <w:tc>
          <w:tcPr>
            <w:tcW w:w="2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color w:val="000000"/>
                <w:kern w:val="0"/>
                <w:sz w:val="24"/>
                <w:szCs w:val="24"/>
                <w:lang w:bidi="ar"/>
              </w:rPr>
              <w:t>百善镇乡村振兴文旅融合—隋唐</w:t>
            </w:r>
            <w:r>
              <w:rPr>
                <w:rFonts w:hint="default" w:ascii="Times New Roman" w:hAnsi="Times New Roman" w:eastAsia="仿宋_GB2312" w:cs="Times New Roman"/>
                <w:color w:val="000000"/>
                <w:kern w:val="0"/>
                <w:sz w:val="24"/>
                <w:szCs w:val="24"/>
                <w:lang w:eastAsia="zh-CN" w:bidi="ar"/>
              </w:rPr>
              <w:t>微型产业集聚区</w:t>
            </w:r>
            <w:r>
              <w:rPr>
                <w:rFonts w:hint="default" w:ascii="Times New Roman" w:hAnsi="Times New Roman" w:eastAsia="仿宋_GB2312" w:cs="Times New Roman"/>
                <w:color w:val="000000"/>
                <w:kern w:val="0"/>
                <w:sz w:val="24"/>
                <w:szCs w:val="24"/>
                <w:lang w:bidi="ar"/>
              </w:rPr>
              <w:t>建设项目</w:t>
            </w:r>
          </w:p>
        </w:tc>
        <w:tc>
          <w:tcPr>
            <w:tcW w:w="12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百善镇</w:t>
            </w:r>
          </w:p>
        </w:tc>
        <w:tc>
          <w:tcPr>
            <w:tcW w:w="1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2022年10月-2023年10月</w:t>
            </w:r>
          </w:p>
        </w:tc>
        <w:tc>
          <w:tcPr>
            <w:tcW w:w="10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13.00</w:t>
            </w:r>
          </w:p>
        </w:tc>
        <w:tc>
          <w:tcPr>
            <w:tcW w:w="4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占地480亩，拆迁安置1000户，隋唐</w:t>
            </w:r>
            <w:r>
              <w:rPr>
                <w:rFonts w:hint="default" w:ascii="Times New Roman" w:hAnsi="Times New Roman" w:eastAsia="仿宋_GB2312" w:cs="Times New Roman"/>
                <w:color w:val="000000"/>
                <w:kern w:val="0"/>
                <w:sz w:val="24"/>
                <w:szCs w:val="24"/>
                <w:lang w:eastAsia="zh-CN" w:bidi="ar"/>
              </w:rPr>
              <w:t>微型产业集聚区</w:t>
            </w:r>
            <w:r>
              <w:rPr>
                <w:rFonts w:hint="default" w:ascii="Times New Roman" w:hAnsi="Times New Roman" w:eastAsia="仿宋_GB2312" w:cs="Times New Roman"/>
                <w:color w:val="000000"/>
                <w:kern w:val="0"/>
                <w:sz w:val="24"/>
                <w:szCs w:val="24"/>
                <w:lang w:bidi="ar"/>
              </w:rPr>
              <w:t>特色建筑150000平方米，并建设各项配套设施</w:t>
            </w:r>
          </w:p>
        </w:tc>
        <w:tc>
          <w:tcPr>
            <w:tcW w:w="13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百善镇人民政府</w:t>
            </w:r>
          </w:p>
        </w:tc>
        <w:tc>
          <w:tcPr>
            <w:tcW w:w="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仿宋_GB2312" w:cs="Times New Roman"/>
                <w:color w:val="000000"/>
                <w:sz w:val="24"/>
                <w:szCs w:val="24"/>
              </w:rPr>
            </w:pPr>
          </w:p>
        </w:tc>
      </w:tr>
      <w:tr>
        <w:tblPrEx>
          <w:tblLayout w:type="fixed"/>
          <w:tblCellMar>
            <w:top w:w="0" w:type="dxa"/>
            <w:left w:w="0" w:type="dxa"/>
            <w:bottom w:w="0" w:type="dxa"/>
            <w:right w:w="0" w:type="dxa"/>
          </w:tblCellMar>
        </w:tblPrEx>
        <w:trPr>
          <w:trHeight w:val="1403" w:hRule="atLeast"/>
          <w:jc w:val="center"/>
        </w:trPr>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3</w:t>
            </w:r>
            <w:r>
              <w:rPr>
                <w:rFonts w:hint="default" w:ascii="Times New Roman" w:hAnsi="Times New Roman" w:eastAsia="仿宋_GB2312" w:cs="Times New Roman"/>
                <w:color w:val="000000"/>
                <w:kern w:val="0"/>
                <w:sz w:val="24"/>
                <w:szCs w:val="24"/>
                <w:lang w:eastAsia="zh-CN" w:bidi="ar"/>
              </w:rPr>
              <w:t>7</w:t>
            </w:r>
          </w:p>
        </w:tc>
        <w:tc>
          <w:tcPr>
            <w:tcW w:w="2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濉溪县小李家红色文化基地</w:t>
            </w:r>
            <w:r>
              <w:rPr>
                <w:rFonts w:hint="default" w:ascii="Times New Roman" w:hAnsi="Times New Roman" w:eastAsia="仿宋_GB2312" w:cs="Times New Roman"/>
                <w:color w:val="000000" w:themeColor="text1"/>
                <w:kern w:val="0"/>
                <w:sz w:val="24"/>
                <w:szCs w:val="24"/>
                <w14:textFill>
                  <w14:solidFill>
                    <w14:schemeClr w14:val="tx1"/>
                  </w14:solidFill>
                </w14:textFill>
              </w:rPr>
              <w:t>项目</w:t>
            </w:r>
          </w:p>
        </w:tc>
        <w:tc>
          <w:tcPr>
            <w:tcW w:w="12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韩村镇</w:t>
            </w:r>
          </w:p>
        </w:tc>
        <w:tc>
          <w:tcPr>
            <w:tcW w:w="1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仿宋_GB2312" w:cs="Times New Roman"/>
                <w:kern w:val="0"/>
                <w:sz w:val="24"/>
                <w:szCs w:val="24"/>
                <w:lang w:bidi="ar"/>
              </w:rPr>
            </w:pPr>
            <w:r>
              <w:rPr>
                <w:rFonts w:hint="default" w:ascii="Times New Roman" w:hAnsi="Times New Roman" w:eastAsia="仿宋_GB2312" w:cs="Times New Roman"/>
                <w:kern w:val="0"/>
                <w:sz w:val="24"/>
                <w:szCs w:val="24"/>
                <w:lang w:bidi="ar"/>
              </w:rPr>
              <w:t>2022年3月-2024年12月</w:t>
            </w:r>
          </w:p>
        </w:tc>
        <w:tc>
          <w:tcPr>
            <w:tcW w:w="10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5.50</w:t>
            </w:r>
          </w:p>
        </w:tc>
        <w:tc>
          <w:tcPr>
            <w:tcW w:w="4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总规划用地1800亩，主要进行濉溪县小李家红色文化基地建设，建设内容主要包括生态采摘园、游客接待中心以及配套工程、旅游购物一条街和旅游景点提升工程、土地整理等。</w:t>
            </w:r>
          </w:p>
        </w:tc>
        <w:tc>
          <w:tcPr>
            <w:tcW w:w="13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韩村镇人民政府</w:t>
            </w:r>
          </w:p>
        </w:tc>
        <w:tc>
          <w:tcPr>
            <w:tcW w:w="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仿宋_GB2312" w:cs="Times New Roman"/>
                <w:color w:val="000000"/>
                <w:sz w:val="24"/>
                <w:szCs w:val="24"/>
              </w:rPr>
            </w:pPr>
          </w:p>
        </w:tc>
      </w:tr>
      <w:tr>
        <w:tblPrEx>
          <w:tblLayout w:type="fixed"/>
          <w:tblCellMar>
            <w:top w:w="0" w:type="dxa"/>
            <w:left w:w="0" w:type="dxa"/>
            <w:bottom w:w="0" w:type="dxa"/>
            <w:right w:w="0" w:type="dxa"/>
          </w:tblCellMar>
        </w:tblPrEx>
        <w:trPr>
          <w:trHeight w:val="1108" w:hRule="atLeast"/>
          <w:jc w:val="center"/>
        </w:trPr>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3</w:t>
            </w:r>
            <w:r>
              <w:rPr>
                <w:rFonts w:hint="default" w:ascii="Times New Roman" w:hAnsi="Times New Roman" w:eastAsia="仿宋_GB2312" w:cs="Times New Roman"/>
                <w:color w:val="000000"/>
                <w:kern w:val="0"/>
                <w:sz w:val="24"/>
                <w:szCs w:val="24"/>
                <w:lang w:eastAsia="zh-CN" w:bidi="ar"/>
              </w:rPr>
              <w:t>8</w:t>
            </w:r>
          </w:p>
        </w:tc>
        <w:tc>
          <w:tcPr>
            <w:tcW w:w="2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淮北濉溪县淮海红色观游影视文化基地项目</w:t>
            </w:r>
          </w:p>
        </w:tc>
        <w:tc>
          <w:tcPr>
            <w:tcW w:w="12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南坪镇</w:t>
            </w:r>
          </w:p>
        </w:tc>
        <w:tc>
          <w:tcPr>
            <w:tcW w:w="1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2022年10月-2024年1月</w:t>
            </w:r>
          </w:p>
        </w:tc>
        <w:tc>
          <w:tcPr>
            <w:tcW w:w="10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1.60</w:t>
            </w:r>
          </w:p>
        </w:tc>
        <w:tc>
          <w:tcPr>
            <w:tcW w:w="4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建设红色革命史和红色教育、观光、拍摄、文化、旅游影视城，包含中华传统民居影视城、和淮海战场动漫园。</w:t>
            </w:r>
          </w:p>
        </w:tc>
        <w:tc>
          <w:tcPr>
            <w:tcW w:w="13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南坪镇人民政府</w:t>
            </w:r>
          </w:p>
        </w:tc>
        <w:tc>
          <w:tcPr>
            <w:tcW w:w="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仿宋_GB2312" w:cs="Times New Roman"/>
                <w:color w:val="000000"/>
                <w:sz w:val="24"/>
                <w:szCs w:val="24"/>
              </w:rPr>
            </w:pPr>
          </w:p>
        </w:tc>
      </w:tr>
      <w:tr>
        <w:tblPrEx>
          <w:tblLayout w:type="fixed"/>
          <w:tblCellMar>
            <w:top w:w="0" w:type="dxa"/>
            <w:left w:w="0" w:type="dxa"/>
            <w:bottom w:w="0" w:type="dxa"/>
            <w:right w:w="0" w:type="dxa"/>
          </w:tblCellMar>
        </w:tblPrEx>
        <w:trPr>
          <w:trHeight w:val="2220" w:hRule="atLeast"/>
          <w:jc w:val="center"/>
        </w:trPr>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eastAsia="zh-CN" w:bidi="ar"/>
              </w:rPr>
              <w:t>3</w:t>
            </w:r>
            <w:r>
              <w:rPr>
                <w:rFonts w:hint="default" w:ascii="Times New Roman" w:hAnsi="Times New Roman" w:eastAsia="仿宋_GB2312" w:cs="Times New Roman"/>
                <w:color w:val="000000"/>
                <w:kern w:val="0"/>
                <w:sz w:val="24"/>
                <w:szCs w:val="24"/>
                <w:lang w:val="en-US" w:eastAsia="zh-CN" w:bidi="ar"/>
              </w:rPr>
              <w:t>9</w:t>
            </w:r>
          </w:p>
        </w:tc>
        <w:tc>
          <w:tcPr>
            <w:tcW w:w="2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黄沟村压煤塌陷区休闲观光基地</w:t>
            </w:r>
          </w:p>
        </w:tc>
        <w:tc>
          <w:tcPr>
            <w:tcW w:w="12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南坪镇</w:t>
            </w:r>
          </w:p>
        </w:tc>
        <w:tc>
          <w:tcPr>
            <w:tcW w:w="1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2022年8月-2023年8月</w:t>
            </w:r>
          </w:p>
        </w:tc>
        <w:tc>
          <w:tcPr>
            <w:tcW w:w="10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0.36</w:t>
            </w:r>
          </w:p>
        </w:tc>
        <w:tc>
          <w:tcPr>
            <w:tcW w:w="4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项目挖建鱼塘垂钓中心，建立护坡、绿化、投喂鱼苗投资共600万，新增观光道路3公里投资300万，1700亩莲藕种植挖建、藕种、肥料、塑料膜的等相关设施投资1360万，建设油菜特色采摘、观赏基地投资300万，观光长廊、停车场、民宿、绿化等其他配套措施共投资1000万。</w:t>
            </w:r>
          </w:p>
        </w:tc>
        <w:tc>
          <w:tcPr>
            <w:tcW w:w="13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南坪镇人民政府</w:t>
            </w:r>
          </w:p>
        </w:tc>
        <w:tc>
          <w:tcPr>
            <w:tcW w:w="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仿宋_GB2312" w:cs="Times New Roman"/>
                <w:color w:val="000000"/>
                <w:sz w:val="24"/>
                <w:szCs w:val="24"/>
              </w:rPr>
            </w:pPr>
          </w:p>
        </w:tc>
      </w:tr>
      <w:tr>
        <w:tblPrEx>
          <w:tblLayout w:type="fixed"/>
          <w:tblCellMar>
            <w:top w:w="0" w:type="dxa"/>
            <w:left w:w="0" w:type="dxa"/>
            <w:bottom w:w="0" w:type="dxa"/>
            <w:right w:w="0" w:type="dxa"/>
          </w:tblCellMar>
        </w:tblPrEx>
        <w:trPr>
          <w:trHeight w:val="1215" w:hRule="atLeast"/>
          <w:jc w:val="center"/>
        </w:trPr>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4</w:t>
            </w:r>
            <w:r>
              <w:rPr>
                <w:rFonts w:hint="default" w:ascii="Times New Roman" w:hAnsi="Times New Roman" w:eastAsia="仿宋_GB2312" w:cs="Times New Roman"/>
                <w:color w:val="000000"/>
                <w:kern w:val="0"/>
                <w:sz w:val="24"/>
                <w:szCs w:val="24"/>
                <w:lang w:eastAsia="zh-CN" w:bidi="ar"/>
              </w:rPr>
              <w:t>0</w:t>
            </w:r>
          </w:p>
        </w:tc>
        <w:tc>
          <w:tcPr>
            <w:tcW w:w="2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南坪狙击战纪念馆项目</w:t>
            </w:r>
          </w:p>
        </w:tc>
        <w:tc>
          <w:tcPr>
            <w:tcW w:w="12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南坪镇</w:t>
            </w:r>
          </w:p>
        </w:tc>
        <w:tc>
          <w:tcPr>
            <w:tcW w:w="1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2022年11月-2024年2月</w:t>
            </w:r>
          </w:p>
        </w:tc>
        <w:tc>
          <w:tcPr>
            <w:tcW w:w="10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1.50</w:t>
            </w:r>
          </w:p>
        </w:tc>
        <w:tc>
          <w:tcPr>
            <w:tcW w:w="4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项目占地约100亩，建设内容包括纪念馆、纪念塔、文化馆、民俗馆、农村大舞台、文明实践中心、广场、停车场等其他相关配套设施。</w:t>
            </w:r>
          </w:p>
        </w:tc>
        <w:tc>
          <w:tcPr>
            <w:tcW w:w="13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南坪镇人民政府</w:t>
            </w:r>
          </w:p>
        </w:tc>
        <w:tc>
          <w:tcPr>
            <w:tcW w:w="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仿宋_GB2312" w:cs="Times New Roman"/>
                <w:color w:val="000000"/>
                <w:sz w:val="24"/>
                <w:szCs w:val="24"/>
              </w:rPr>
            </w:pPr>
          </w:p>
        </w:tc>
      </w:tr>
      <w:tr>
        <w:tblPrEx>
          <w:tblLayout w:type="fixed"/>
          <w:tblCellMar>
            <w:top w:w="0" w:type="dxa"/>
            <w:left w:w="0" w:type="dxa"/>
            <w:bottom w:w="0" w:type="dxa"/>
            <w:right w:w="0" w:type="dxa"/>
          </w:tblCellMar>
        </w:tblPrEx>
        <w:trPr>
          <w:trHeight w:val="1804" w:hRule="atLeast"/>
          <w:jc w:val="center"/>
        </w:trPr>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4</w:t>
            </w:r>
            <w:r>
              <w:rPr>
                <w:rFonts w:hint="default" w:ascii="Times New Roman" w:hAnsi="Times New Roman" w:eastAsia="仿宋_GB2312" w:cs="Times New Roman"/>
                <w:color w:val="000000"/>
                <w:kern w:val="0"/>
                <w:sz w:val="24"/>
                <w:szCs w:val="24"/>
                <w:lang w:eastAsia="zh-CN" w:bidi="ar"/>
              </w:rPr>
              <w:t>1</w:t>
            </w:r>
          </w:p>
        </w:tc>
        <w:tc>
          <w:tcPr>
            <w:tcW w:w="2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双堆集镇乡村振兴培训服务中心建设项目</w:t>
            </w:r>
          </w:p>
        </w:tc>
        <w:tc>
          <w:tcPr>
            <w:tcW w:w="12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双堆集镇</w:t>
            </w:r>
          </w:p>
        </w:tc>
        <w:tc>
          <w:tcPr>
            <w:tcW w:w="1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2022年3月-2023年5月</w:t>
            </w:r>
          </w:p>
        </w:tc>
        <w:tc>
          <w:tcPr>
            <w:tcW w:w="10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3.00</w:t>
            </w:r>
          </w:p>
        </w:tc>
        <w:tc>
          <w:tcPr>
            <w:tcW w:w="4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拟选址在淮海战役陵园东侧建设，计划占地263亩，投资2亿元，设计接待能力600人，院内规划有多媒体教室、餐厅、宿舍、拓展基地等教育及周边配套。服务对象包括淮、徐、宿、蚌、亳、永等1小时车程地区的团体学员和个体游客。</w:t>
            </w:r>
          </w:p>
        </w:tc>
        <w:tc>
          <w:tcPr>
            <w:tcW w:w="13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县农投</w:t>
            </w:r>
          </w:p>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公司</w:t>
            </w:r>
          </w:p>
        </w:tc>
        <w:tc>
          <w:tcPr>
            <w:tcW w:w="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仿宋_GB2312" w:cs="Times New Roman"/>
                <w:color w:val="000000"/>
                <w:sz w:val="24"/>
                <w:szCs w:val="24"/>
              </w:rPr>
            </w:pPr>
          </w:p>
        </w:tc>
      </w:tr>
      <w:tr>
        <w:tblPrEx>
          <w:tblLayout w:type="fixed"/>
          <w:tblCellMar>
            <w:top w:w="0" w:type="dxa"/>
            <w:left w:w="0" w:type="dxa"/>
            <w:bottom w:w="0" w:type="dxa"/>
            <w:right w:w="0" w:type="dxa"/>
          </w:tblCellMar>
        </w:tblPrEx>
        <w:trPr>
          <w:trHeight w:val="1045" w:hRule="atLeast"/>
          <w:jc w:val="center"/>
        </w:trPr>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4</w:t>
            </w:r>
            <w:r>
              <w:rPr>
                <w:rFonts w:hint="default" w:ascii="Times New Roman" w:hAnsi="Times New Roman" w:eastAsia="仿宋_GB2312" w:cs="Times New Roman"/>
                <w:color w:val="000000"/>
                <w:kern w:val="0"/>
                <w:sz w:val="24"/>
                <w:szCs w:val="24"/>
                <w:lang w:eastAsia="zh-CN" w:bidi="ar"/>
              </w:rPr>
              <w:t>2</w:t>
            </w:r>
          </w:p>
        </w:tc>
        <w:tc>
          <w:tcPr>
            <w:tcW w:w="2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虹桥商业广场</w:t>
            </w:r>
            <w:r>
              <w:rPr>
                <w:rFonts w:hint="default" w:ascii="Times New Roman" w:hAnsi="Times New Roman" w:eastAsia="仿宋_GB2312" w:cs="Times New Roman"/>
                <w:color w:val="000000" w:themeColor="text1"/>
                <w:kern w:val="0"/>
                <w:sz w:val="24"/>
                <w:szCs w:val="24"/>
                <w14:textFill>
                  <w14:solidFill>
                    <w14:schemeClr w14:val="tx1"/>
                  </w14:solidFill>
                </w14:textFill>
              </w:rPr>
              <w:t>项目</w:t>
            </w:r>
          </w:p>
        </w:tc>
        <w:tc>
          <w:tcPr>
            <w:tcW w:w="12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濉溪镇</w:t>
            </w:r>
          </w:p>
        </w:tc>
        <w:tc>
          <w:tcPr>
            <w:tcW w:w="1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2022年5月-2025年12月</w:t>
            </w:r>
          </w:p>
        </w:tc>
        <w:tc>
          <w:tcPr>
            <w:tcW w:w="10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10.00</w:t>
            </w:r>
          </w:p>
        </w:tc>
        <w:tc>
          <w:tcPr>
            <w:tcW w:w="4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占地面积300亩左右，建设集汽车交易、建材家居销售、文体娱乐设施等于一体的大型综合性商业综合体。</w:t>
            </w:r>
          </w:p>
        </w:tc>
        <w:tc>
          <w:tcPr>
            <w:tcW w:w="13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lang w:bidi="ar"/>
              </w:rPr>
              <w:t>濉溪镇人民政府</w:t>
            </w:r>
          </w:p>
        </w:tc>
        <w:tc>
          <w:tcPr>
            <w:tcW w:w="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highlight w:val="none"/>
                <w:lang w:bidi="ar"/>
              </w:rPr>
              <w:t>洽谈</w:t>
            </w:r>
          </w:p>
        </w:tc>
      </w:tr>
      <w:tr>
        <w:tblPrEx>
          <w:tblLayout w:type="fixed"/>
          <w:tblCellMar>
            <w:top w:w="0" w:type="dxa"/>
            <w:left w:w="0" w:type="dxa"/>
            <w:bottom w:w="0" w:type="dxa"/>
            <w:right w:w="0" w:type="dxa"/>
          </w:tblCellMar>
        </w:tblPrEx>
        <w:trPr>
          <w:trHeight w:val="953" w:hRule="atLeast"/>
          <w:jc w:val="center"/>
        </w:trPr>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4</w:t>
            </w:r>
            <w:r>
              <w:rPr>
                <w:rFonts w:hint="default" w:ascii="Times New Roman" w:hAnsi="Times New Roman" w:eastAsia="仿宋_GB2312" w:cs="Times New Roman"/>
                <w:color w:val="000000"/>
                <w:kern w:val="0"/>
                <w:sz w:val="24"/>
                <w:szCs w:val="24"/>
                <w:lang w:eastAsia="zh-CN" w:bidi="ar"/>
              </w:rPr>
              <w:t>3</w:t>
            </w:r>
          </w:p>
        </w:tc>
        <w:tc>
          <w:tcPr>
            <w:tcW w:w="2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themeColor="text1"/>
                <w:kern w:val="0"/>
                <w:sz w:val="24"/>
                <w:szCs w:val="24"/>
                <w14:textFill>
                  <w14:solidFill>
                    <w14:schemeClr w14:val="tx1"/>
                  </w14:solidFill>
                </w14:textFill>
              </w:rPr>
              <w:t>闸河路商业综合体项目</w:t>
            </w:r>
          </w:p>
        </w:tc>
        <w:tc>
          <w:tcPr>
            <w:tcW w:w="12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濉溪镇</w:t>
            </w:r>
          </w:p>
        </w:tc>
        <w:tc>
          <w:tcPr>
            <w:tcW w:w="1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2020年8月-2022年3月</w:t>
            </w:r>
          </w:p>
        </w:tc>
        <w:tc>
          <w:tcPr>
            <w:tcW w:w="10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1.50</w:t>
            </w:r>
          </w:p>
        </w:tc>
        <w:tc>
          <w:tcPr>
            <w:tcW w:w="4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建筑面积约2.68万平方米，建设生鲜超市（标准化菜市场）、蔬菜副食品检疫检验中心、社区生活设施配套、商务酒店、餐饮、娱乐等项目。</w:t>
            </w:r>
          </w:p>
        </w:tc>
        <w:tc>
          <w:tcPr>
            <w:tcW w:w="13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lang w:bidi="ar"/>
              </w:rPr>
              <w:t>濉溪镇人民政府</w:t>
            </w:r>
          </w:p>
        </w:tc>
        <w:tc>
          <w:tcPr>
            <w:tcW w:w="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仿宋_GB2312" w:cs="Times New Roman"/>
                <w:color w:val="000000"/>
                <w:kern w:val="0"/>
                <w:sz w:val="24"/>
                <w:szCs w:val="24"/>
                <w:lang w:bidi="ar"/>
              </w:rPr>
            </w:pPr>
          </w:p>
        </w:tc>
      </w:tr>
      <w:tr>
        <w:tblPrEx>
          <w:tblLayout w:type="fixed"/>
          <w:tblCellMar>
            <w:top w:w="0" w:type="dxa"/>
            <w:left w:w="0" w:type="dxa"/>
            <w:bottom w:w="0" w:type="dxa"/>
            <w:right w:w="0" w:type="dxa"/>
          </w:tblCellMar>
        </w:tblPrEx>
        <w:trPr>
          <w:trHeight w:val="953" w:hRule="atLeast"/>
          <w:jc w:val="center"/>
        </w:trPr>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4</w:t>
            </w:r>
            <w:r>
              <w:rPr>
                <w:rFonts w:hint="default" w:ascii="Times New Roman" w:hAnsi="Times New Roman" w:eastAsia="仿宋_GB2312" w:cs="Times New Roman"/>
                <w:color w:val="000000"/>
                <w:kern w:val="0"/>
                <w:sz w:val="24"/>
                <w:szCs w:val="24"/>
                <w:lang w:eastAsia="zh-CN" w:bidi="ar"/>
              </w:rPr>
              <w:t>4</w:t>
            </w:r>
          </w:p>
        </w:tc>
        <w:tc>
          <w:tcPr>
            <w:tcW w:w="2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themeColor="text1"/>
                <w:kern w:val="0"/>
                <w:sz w:val="24"/>
                <w:szCs w:val="24"/>
                <w14:textFill>
                  <w14:solidFill>
                    <w14:schemeClr w14:val="tx1"/>
                  </w14:solidFill>
                </w14:textFill>
              </w:rPr>
              <w:t>二关路商贸综合体项目</w:t>
            </w:r>
          </w:p>
        </w:tc>
        <w:tc>
          <w:tcPr>
            <w:tcW w:w="12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濉溪镇</w:t>
            </w:r>
          </w:p>
        </w:tc>
        <w:tc>
          <w:tcPr>
            <w:tcW w:w="1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2021年5月-2022年12月</w:t>
            </w:r>
          </w:p>
        </w:tc>
        <w:tc>
          <w:tcPr>
            <w:tcW w:w="10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themeColor="text1"/>
                <w:kern w:val="0"/>
                <w:sz w:val="24"/>
                <w:szCs w:val="24"/>
                <w14:textFill>
                  <w14:solidFill>
                    <w14:schemeClr w14:val="tx1"/>
                  </w14:solidFill>
                </w14:textFill>
              </w:rPr>
              <w:t>1.00</w:t>
            </w:r>
          </w:p>
        </w:tc>
        <w:tc>
          <w:tcPr>
            <w:tcW w:w="4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themeColor="text1"/>
                <w:kern w:val="0"/>
                <w:sz w:val="24"/>
                <w:szCs w:val="24"/>
                <w14:textFill>
                  <w14:solidFill>
                    <w14:schemeClr w14:val="tx1"/>
                  </w14:solidFill>
                </w14:textFill>
              </w:rPr>
              <w:t>建筑面积约3万平方米，其中新型菜市场建筑面积约6千平方米。办公商铺及超市约1.2万平方米，休闲娱乐及酒店约5千平方米，地下建筑面积约7千平方米。</w:t>
            </w:r>
          </w:p>
        </w:tc>
        <w:tc>
          <w:tcPr>
            <w:tcW w:w="13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lang w:bidi="ar"/>
              </w:rPr>
              <w:t>濉溪镇人民政府</w:t>
            </w:r>
          </w:p>
        </w:tc>
        <w:tc>
          <w:tcPr>
            <w:tcW w:w="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仿宋_GB2312" w:cs="Times New Roman"/>
                <w:color w:val="000000"/>
                <w:sz w:val="24"/>
                <w:szCs w:val="24"/>
              </w:rPr>
            </w:pPr>
          </w:p>
        </w:tc>
      </w:tr>
      <w:tr>
        <w:tblPrEx>
          <w:tblLayout w:type="fixed"/>
          <w:tblCellMar>
            <w:top w:w="0" w:type="dxa"/>
            <w:left w:w="0" w:type="dxa"/>
            <w:bottom w:w="0" w:type="dxa"/>
            <w:right w:w="0" w:type="dxa"/>
          </w:tblCellMar>
        </w:tblPrEx>
        <w:trPr>
          <w:trHeight w:val="953" w:hRule="atLeast"/>
          <w:jc w:val="center"/>
        </w:trPr>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仿宋_GB2312" w:cs="Times New Roman"/>
                <w:color w:val="000000"/>
                <w:kern w:val="0"/>
                <w:sz w:val="24"/>
                <w:szCs w:val="24"/>
                <w:lang w:val="en-US" w:eastAsia="zh-CN" w:bidi="ar"/>
              </w:rPr>
            </w:pPr>
            <w:r>
              <w:rPr>
                <w:rFonts w:hint="default" w:ascii="Times New Roman" w:hAnsi="Times New Roman" w:eastAsia="仿宋_GB2312" w:cs="Times New Roman"/>
                <w:color w:val="000000"/>
                <w:kern w:val="0"/>
                <w:sz w:val="24"/>
                <w:szCs w:val="24"/>
                <w:lang w:val="en-US" w:eastAsia="zh-CN" w:bidi="ar"/>
              </w:rPr>
              <w:t>45</w:t>
            </w:r>
          </w:p>
        </w:tc>
        <w:tc>
          <w:tcPr>
            <w:tcW w:w="2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仿宋_GB2312" w:cs="Times New Roman"/>
                <w:color w:val="000000" w:themeColor="text1"/>
                <w:kern w:val="0"/>
                <w:sz w:val="24"/>
                <w:szCs w:val="24"/>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中瑞农产品批发市场项目</w:t>
            </w:r>
          </w:p>
        </w:tc>
        <w:tc>
          <w:tcPr>
            <w:tcW w:w="12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仿宋_GB2312" w:cs="Times New Roman"/>
                <w:color w:val="000000"/>
                <w:kern w:val="0"/>
                <w:sz w:val="24"/>
                <w:szCs w:val="24"/>
                <w:lang w:val="en-US" w:eastAsia="zh-CN" w:bidi="ar"/>
              </w:rPr>
            </w:pPr>
            <w:r>
              <w:rPr>
                <w:rFonts w:hint="default" w:ascii="Times New Roman" w:hAnsi="Times New Roman" w:eastAsia="仿宋_GB2312" w:cs="Times New Roman"/>
                <w:color w:val="000000"/>
                <w:kern w:val="0"/>
                <w:sz w:val="24"/>
                <w:szCs w:val="24"/>
                <w:lang w:bidi="ar"/>
              </w:rPr>
              <w:t>濉溪经开区</w:t>
            </w:r>
          </w:p>
        </w:tc>
        <w:tc>
          <w:tcPr>
            <w:tcW w:w="1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仿宋_GB2312" w:cs="Times New Roman"/>
                <w:color w:val="000000"/>
                <w:kern w:val="0"/>
                <w:sz w:val="24"/>
                <w:szCs w:val="24"/>
                <w:lang w:val="en-US" w:eastAsia="zh-CN" w:bidi="ar"/>
              </w:rPr>
            </w:pPr>
            <w:r>
              <w:rPr>
                <w:rFonts w:hint="default" w:ascii="Times New Roman" w:hAnsi="Times New Roman" w:eastAsia="仿宋_GB2312" w:cs="Times New Roman"/>
                <w:color w:val="000000"/>
                <w:kern w:val="0"/>
                <w:sz w:val="24"/>
                <w:szCs w:val="24"/>
              </w:rPr>
              <w:t>2023年1月-2026年3月</w:t>
            </w:r>
          </w:p>
        </w:tc>
        <w:tc>
          <w:tcPr>
            <w:tcW w:w="10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仿宋_GB2312" w:cs="Times New Roman"/>
                <w:color w:val="000000"/>
                <w:kern w:val="0"/>
                <w:sz w:val="24"/>
                <w:szCs w:val="24"/>
                <w:lang w:val="en-US" w:eastAsia="zh-CN" w:bidi="ar"/>
              </w:rPr>
            </w:pPr>
            <w:r>
              <w:rPr>
                <w:rFonts w:hint="eastAsia" w:ascii="Times New Roman" w:hAnsi="Times New Roman" w:eastAsia="仿宋_GB2312" w:cs="Times New Roman"/>
                <w:color w:val="000000" w:themeColor="text1"/>
                <w:kern w:val="0"/>
                <w:sz w:val="24"/>
                <w:szCs w:val="24"/>
                <w:lang w:eastAsia="zh-CN"/>
                <w14:textFill>
                  <w14:solidFill>
                    <w14:schemeClr w14:val="tx1"/>
                  </w14:solidFill>
                </w14:textFill>
              </w:rPr>
              <w:t>4</w:t>
            </w:r>
            <w:r>
              <w:rPr>
                <w:rFonts w:hint="default" w:ascii="Times New Roman" w:hAnsi="Times New Roman" w:eastAsia="仿宋_GB2312" w:cs="Times New Roman"/>
                <w:color w:val="000000" w:themeColor="text1"/>
                <w:kern w:val="0"/>
                <w:sz w:val="24"/>
                <w:szCs w:val="24"/>
                <w14:textFill>
                  <w14:solidFill>
                    <w14:schemeClr w14:val="tx1"/>
                  </w14:solidFill>
                </w14:textFill>
              </w:rPr>
              <w:t>.00</w:t>
            </w:r>
          </w:p>
        </w:tc>
        <w:tc>
          <w:tcPr>
            <w:tcW w:w="4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default" w:ascii="Times New Roman" w:hAnsi="Times New Roman" w:eastAsia="仿宋_GB2312" w:cs="Times New Roman"/>
                <w:color w:val="000000"/>
                <w:kern w:val="0"/>
                <w:sz w:val="24"/>
                <w:szCs w:val="24"/>
                <w:lang w:val="en-US" w:eastAsia="zh-CN" w:bidi="ar"/>
              </w:rPr>
            </w:pPr>
            <w:r>
              <w:rPr>
                <w:rFonts w:hint="default" w:ascii="Times New Roman" w:hAnsi="Times New Roman" w:eastAsia="仿宋_GB2312" w:cs="Times New Roman"/>
                <w:color w:val="000000" w:themeColor="text1"/>
                <w:kern w:val="0"/>
                <w:sz w:val="24"/>
                <w:szCs w:val="24"/>
                <w14:textFill>
                  <w14:solidFill>
                    <w14:schemeClr w14:val="tx1"/>
                  </w14:solidFill>
                </w14:textFill>
              </w:rPr>
              <w:t>建设农副产品9大交易区，以及配套仓储物流、加工配送、检测检疫等服务中心，开展农副产品批发零售、电子商务、生鲜配送等业务</w:t>
            </w:r>
          </w:p>
        </w:tc>
        <w:tc>
          <w:tcPr>
            <w:tcW w:w="13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kern w:val="0"/>
                <w:sz w:val="24"/>
                <w:szCs w:val="24"/>
              </w:rPr>
              <w:t>濉溪经开区</w:t>
            </w:r>
          </w:p>
        </w:tc>
        <w:tc>
          <w:tcPr>
            <w:tcW w:w="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仿宋_GB2312" w:cs="Times New Roman"/>
                <w:color w:val="000000"/>
                <w:kern w:val="2"/>
                <w:sz w:val="24"/>
                <w:szCs w:val="24"/>
                <w:lang w:val="en-US" w:eastAsia="zh-CN" w:bidi="ar-SA"/>
              </w:rPr>
            </w:pPr>
          </w:p>
        </w:tc>
      </w:tr>
      <w:tr>
        <w:tblPrEx>
          <w:tblLayout w:type="fixed"/>
          <w:tblCellMar>
            <w:top w:w="0" w:type="dxa"/>
            <w:left w:w="0" w:type="dxa"/>
            <w:bottom w:w="0" w:type="dxa"/>
            <w:right w:w="0" w:type="dxa"/>
          </w:tblCellMar>
        </w:tblPrEx>
        <w:trPr>
          <w:trHeight w:val="953" w:hRule="atLeast"/>
          <w:jc w:val="center"/>
        </w:trPr>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46</w:t>
            </w:r>
          </w:p>
        </w:tc>
        <w:tc>
          <w:tcPr>
            <w:tcW w:w="2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河西区城市综合体项目</w:t>
            </w:r>
          </w:p>
        </w:tc>
        <w:tc>
          <w:tcPr>
            <w:tcW w:w="12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濉溪镇</w:t>
            </w:r>
          </w:p>
        </w:tc>
        <w:tc>
          <w:tcPr>
            <w:tcW w:w="1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2022年6月-2023年12月</w:t>
            </w:r>
          </w:p>
        </w:tc>
        <w:tc>
          <w:tcPr>
            <w:tcW w:w="10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35.00</w:t>
            </w:r>
          </w:p>
        </w:tc>
        <w:tc>
          <w:tcPr>
            <w:tcW w:w="4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themeColor="text1"/>
                <w:kern w:val="0"/>
                <w:sz w:val="24"/>
                <w:szCs w:val="24"/>
                <w14:textFill>
                  <w14:solidFill>
                    <w14:schemeClr w14:val="tx1"/>
                  </w14:solidFill>
                </w14:textFill>
              </w:rPr>
              <w:t>规划用地</w:t>
            </w:r>
            <w:r>
              <w:rPr>
                <w:rFonts w:hint="default" w:ascii="Times New Roman" w:hAnsi="Times New Roman" w:eastAsia="仿宋_GB2312" w:cs="Times New Roman"/>
                <w:color w:val="000000" w:themeColor="text1"/>
                <w:kern w:val="0"/>
                <w:sz w:val="24"/>
                <w:szCs w:val="24"/>
                <w:lang w:val="en-US" w:eastAsia="zh-CN"/>
                <w14:textFill>
                  <w14:solidFill>
                    <w14:schemeClr w14:val="tx1"/>
                  </w14:solidFill>
                </w14:textFill>
              </w:rPr>
              <w:t>60</w:t>
            </w:r>
            <w:r>
              <w:rPr>
                <w:rFonts w:hint="default" w:ascii="Times New Roman" w:hAnsi="Times New Roman" w:eastAsia="仿宋_GB2312" w:cs="Times New Roman"/>
                <w:color w:val="000000" w:themeColor="text1"/>
                <w:kern w:val="0"/>
                <w:sz w:val="24"/>
                <w:szCs w:val="24"/>
                <w14:textFill>
                  <w14:solidFill>
                    <w14:schemeClr w14:val="tx1"/>
                  </w14:solidFill>
                </w14:textFill>
              </w:rPr>
              <w:t>亩，建设新型购物中心、社区生活服务、商务酒店、娱乐、餐饮、特色文化商业街（濉溪历史文化街区）、商务办公、商务公寓等。</w:t>
            </w:r>
          </w:p>
        </w:tc>
        <w:tc>
          <w:tcPr>
            <w:tcW w:w="13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lang w:bidi="ar"/>
              </w:rPr>
              <w:t>县商务局</w:t>
            </w:r>
          </w:p>
        </w:tc>
        <w:tc>
          <w:tcPr>
            <w:tcW w:w="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洽谈</w:t>
            </w:r>
          </w:p>
        </w:tc>
      </w:tr>
      <w:tr>
        <w:tblPrEx>
          <w:tblLayout w:type="fixed"/>
          <w:tblCellMar>
            <w:top w:w="0" w:type="dxa"/>
            <w:left w:w="0" w:type="dxa"/>
            <w:bottom w:w="0" w:type="dxa"/>
            <w:right w:w="0" w:type="dxa"/>
          </w:tblCellMar>
        </w:tblPrEx>
        <w:trPr>
          <w:trHeight w:val="953" w:hRule="atLeast"/>
          <w:jc w:val="center"/>
        </w:trPr>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仿宋_GB2312" w:cs="Times New Roman"/>
                <w:color w:val="000000"/>
                <w:kern w:val="0"/>
                <w:sz w:val="24"/>
                <w:szCs w:val="24"/>
                <w:lang w:val="en-US" w:eastAsia="zh-CN" w:bidi="ar"/>
              </w:rPr>
            </w:pPr>
            <w:r>
              <w:rPr>
                <w:rFonts w:hint="default" w:ascii="Times New Roman" w:hAnsi="Times New Roman" w:eastAsia="仿宋_GB2312" w:cs="Times New Roman"/>
                <w:color w:val="000000"/>
                <w:kern w:val="0"/>
                <w:sz w:val="24"/>
                <w:szCs w:val="24"/>
                <w:lang w:val="en-US" w:eastAsia="zh-CN" w:bidi="ar"/>
              </w:rPr>
              <w:t>47</w:t>
            </w:r>
          </w:p>
        </w:tc>
        <w:tc>
          <w:tcPr>
            <w:tcW w:w="2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铁佛综合商贸服务一体化建设项目</w:t>
            </w:r>
          </w:p>
        </w:tc>
        <w:tc>
          <w:tcPr>
            <w:tcW w:w="12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铁佛镇</w:t>
            </w:r>
          </w:p>
        </w:tc>
        <w:tc>
          <w:tcPr>
            <w:tcW w:w="1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2021年3月-2022年9月</w:t>
            </w:r>
          </w:p>
        </w:tc>
        <w:tc>
          <w:tcPr>
            <w:tcW w:w="10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0.60</w:t>
            </w:r>
          </w:p>
        </w:tc>
        <w:tc>
          <w:tcPr>
            <w:tcW w:w="4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项目建筑面积约10000平方米。</w:t>
            </w:r>
          </w:p>
        </w:tc>
        <w:tc>
          <w:tcPr>
            <w:tcW w:w="13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铁佛镇人民政府</w:t>
            </w:r>
          </w:p>
        </w:tc>
        <w:tc>
          <w:tcPr>
            <w:tcW w:w="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仿宋_GB2312" w:cs="Times New Roman"/>
                <w:color w:val="000000"/>
                <w:sz w:val="24"/>
                <w:szCs w:val="24"/>
              </w:rPr>
            </w:pPr>
          </w:p>
        </w:tc>
      </w:tr>
      <w:tr>
        <w:tblPrEx>
          <w:tblLayout w:type="fixed"/>
          <w:tblCellMar>
            <w:top w:w="0" w:type="dxa"/>
            <w:left w:w="0" w:type="dxa"/>
            <w:bottom w:w="0" w:type="dxa"/>
            <w:right w:w="0" w:type="dxa"/>
          </w:tblCellMar>
        </w:tblPrEx>
        <w:trPr>
          <w:trHeight w:val="953" w:hRule="atLeast"/>
          <w:jc w:val="center"/>
        </w:trPr>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仿宋_GB2312" w:cs="Times New Roman"/>
                <w:color w:val="000000"/>
                <w:kern w:val="0"/>
                <w:sz w:val="24"/>
                <w:szCs w:val="24"/>
                <w:lang w:val="en-US" w:eastAsia="zh-CN" w:bidi="ar"/>
              </w:rPr>
            </w:pPr>
            <w:r>
              <w:rPr>
                <w:rFonts w:hint="default" w:ascii="Times New Roman" w:hAnsi="Times New Roman" w:eastAsia="仿宋_GB2312" w:cs="Times New Roman"/>
                <w:color w:val="000000"/>
                <w:kern w:val="0"/>
                <w:sz w:val="24"/>
                <w:szCs w:val="24"/>
                <w:lang w:val="en-US" w:eastAsia="zh-CN" w:bidi="ar"/>
              </w:rPr>
              <w:t>48</w:t>
            </w:r>
          </w:p>
        </w:tc>
        <w:tc>
          <w:tcPr>
            <w:tcW w:w="2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themeColor="text1"/>
                <w:kern w:val="0"/>
                <w:sz w:val="24"/>
                <w:szCs w:val="24"/>
                <w14:textFill>
                  <w14:solidFill>
                    <w14:schemeClr w14:val="tx1"/>
                  </w14:solidFill>
                </w14:textFill>
              </w:rPr>
              <w:t>五沟镇综合商贸服务一体化建设项目</w:t>
            </w:r>
          </w:p>
        </w:tc>
        <w:tc>
          <w:tcPr>
            <w:tcW w:w="12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五沟镇新街</w:t>
            </w:r>
          </w:p>
        </w:tc>
        <w:tc>
          <w:tcPr>
            <w:tcW w:w="1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2022年6月-2023年6月</w:t>
            </w:r>
          </w:p>
        </w:tc>
        <w:tc>
          <w:tcPr>
            <w:tcW w:w="10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0.35</w:t>
            </w:r>
          </w:p>
        </w:tc>
        <w:tc>
          <w:tcPr>
            <w:tcW w:w="4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打造全新的商业综合体，构筑新商业业态，项目建筑面积约5000平方米。</w:t>
            </w:r>
          </w:p>
        </w:tc>
        <w:tc>
          <w:tcPr>
            <w:tcW w:w="13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五沟镇人民政府</w:t>
            </w:r>
          </w:p>
        </w:tc>
        <w:tc>
          <w:tcPr>
            <w:tcW w:w="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仿宋_GB2312" w:cs="Times New Roman"/>
                <w:color w:val="000000"/>
                <w:sz w:val="24"/>
                <w:szCs w:val="24"/>
              </w:rPr>
            </w:pPr>
          </w:p>
        </w:tc>
      </w:tr>
      <w:tr>
        <w:tblPrEx>
          <w:tblLayout w:type="fixed"/>
          <w:tblCellMar>
            <w:top w:w="0" w:type="dxa"/>
            <w:left w:w="0" w:type="dxa"/>
            <w:bottom w:w="0" w:type="dxa"/>
            <w:right w:w="0" w:type="dxa"/>
          </w:tblCellMar>
        </w:tblPrEx>
        <w:trPr>
          <w:trHeight w:val="953" w:hRule="atLeast"/>
          <w:jc w:val="center"/>
        </w:trPr>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仿宋_GB2312" w:cs="Times New Roman"/>
                <w:color w:val="000000"/>
                <w:kern w:val="0"/>
                <w:sz w:val="24"/>
                <w:szCs w:val="24"/>
                <w:lang w:val="en-US" w:eastAsia="zh-CN" w:bidi="ar"/>
              </w:rPr>
            </w:pPr>
            <w:r>
              <w:rPr>
                <w:rFonts w:hint="default" w:ascii="Times New Roman" w:hAnsi="Times New Roman" w:eastAsia="仿宋_GB2312" w:cs="Times New Roman"/>
                <w:color w:val="000000"/>
                <w:kern w:val="0"/>
                <w:sz w:val="24"/>
                <w:szCs w:val="24"/>
                <w:lang w:val="en-US" w:eastAsia="zh-CN" w:bidi="ar"/>
              </w:rPr>
              <w:t>49</w:t>
            </w:r>
          </w:p>
        </w:tc>
        <w:tc>
          <w:tcPr>
            <w:tcW w:w="2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韩村镇商业综合体建设项目</w:t>
            </w:r>
          </w:p>
        </w:tc>
        <w:tc>
          <w:tcPr>
            <w:tcW w:w="12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仿宋_GB2312" w:cs="Times New Roman"/>
                <w:kern w:val="0"/>
                <w:sz w:val="24"/>
                <w:szCs w:val="24"/>
                <w:lang w:bidi="ar"/>
              </w:rPr>
            </w:pPr>
            <w:r>
              <w:rPr>
                <w:rFonts w:hint="default" w:ascii="Times New Roman" w:hAnsi="Times New Roman" w:eastAsia="仿宋_GB2312" w:cs="Times New Roman"/>
                <w:sz w:val="24"/>
                <w:szCs w:val="24"/>
              </w:rPr>
              <w:t>韩村镇</w:t>
            </w:r>
          </w:p>
        </w:tc>
        <w:tc>
          <w:tcPr>
            <w:tcW w:w="1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仿宋_GB2312" w:cs="Times New Roman"/>
                <w:kern w:val="0"/>
                <w:sz w:val="24"/>
                <w:szCs w:val="24"/>
                <w:lang w:bidi="ar"/>
              </w:rPr>
            </w:pPr>
            <w:r>
              <w:rPr>
                <w:rFonts w:hint="default" w:ascii="Times New Roman" w:hAnsi="Times New Roman" w:eastAsia="仿宋_GB2312" w:cs="Times New Roman"/>
                <w:kern w:val="0"/>
                <w:sz w:val="24"/>
                <w:szCs w:val="24"/>
                <w:lang w:bidi="ar"/>
              </w:rPr>
              <w:t>2023年10月-2024年10月</w:t>
            </w:r>
          </w:p>
        </w:tc>
        <w:tc>
          <w:tcPr>
            <w:tcW w:w="10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仿宋_GB2312" w:cs="Times New Roman"/>
                <w:kern w:val="0"/>
                <w:sz w:val="24"/>
                <w:szCs w:val="24"/>
                <w:lang w:bidi="ar"/>
              </w:rPr>
            </w:pPr>
            <w:r>
              <w:rPr>
                <w:rFonts w:hint="default" w:ascii="Times New Roman" w:hAnsi="Times New Roman" w:eastAsia="仿宋_GB2312" w:cs="Times New Roman"/>
                <w:kern w:val="0"/>
                <w:sz w:val="24"/>
                <w:szCs w:val="24"/>
              </w:rPr>
              <w:t>0.38</w:t>
            </w:r>
          </w:p>
        </w:tc>
        <w:tc>
          <w:tcPr>
            <w:tcW w:w="4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default" w:ascii="Times New Roman" w:hAnsi="Times New Roman" w:eastAsia="仿宋_GB2312" w:cs="Times New Roman"/>
                <w:kern w:val="0"/>
                <w:sz w:val="24"/>
                <w:szCs w:val="24"/>
                <w:lang w:bidi="ar"/>
              </w:rPr>
            </w:pPr>
            <w:r>
              <w:rPr>
                <w:rFonts w:hint="default" w:ascii="Times New Roman" w:hAnsi="Times New Roman" w:eastAsia="仿宋_GB2312" w:cs="Times New Roman"/>
                <w:kern w:val="0"/>
                <w:sz w:val="24"/>
                <w:szCs w:val="24"/>
              </w:rPr>
              <w:t>占地面积12561平方米，约合18.83亩，对原韩建金朋酒店维修改造，总建筑面积18900平方米。</w:t>
            </w:r>
          </w:p>
        </w:tc>
        <w:tc>
          <w:tcPr>
            <w:tcW w:w="13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韩村镇人民政府</w:t>
            </w:r>
          </w:p>
        </w:tc>
        <w:tc>
          <w:tcPr>
            <w:tcW w:w="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仿宋_GB2312" w:cs="Times New Roman"/>
                <w:color w:val="000000"/>
                <w:sz w:val="24"/>
                <w:szCs w:val="24"/>
              </w:rPr>
            </w:pPr>
          </w:p>
        </w:tc>
      </w:tr>
      <w:tr>
        <w:tblPrEx>
          <w:tblLayout w:type="fixed"/>
          <w:tblCellMar>
            <w:top w:w="0" w:type="dxa"/>
            <w:left w:w="0" w:type="dxa"/>
            <w:bottom w:w="0" w:type="dxa"/>
            <w:right w:w="0" w:type="dxa"/>
          </w:tblCellMar>
        </w:tblPrEx>
        <w:trPr>
          <w:trHeight w:val="953" w:hRule="atLeast"/>
          <w:jc w:val="center"/>
        </w:trPr>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仿宋_GB2312" w:cs="Times New Roman"/>
                <w:color w:val="000000"/>
                <w:kern w:val="0"/>
                <w:sz w:val="24"/>
                <w:szCs w:val="24"/>
                <w:lang w:val="en-US" w:eastAsia="zh-CN" w:bidi="ar"/>
              </w:rPr>
            </w:pPr>
            <w:r>
              <w:rPr>
                <w:rFonts w:hint="default" w:ascii="Times New Roman" w:hAnsi="Times New Roman" w:eastAsia="仿宋_GB2312" w:cs="Times New Roman"/>
                <w:color w:val="000000"/>
                <w:kern w:val="0"/>
                <w:sz w:val="24"/>
                <w:szCs w:val="24"/>
                <w:lang w:val="en-US" w:eastAsia="zh-CN" w:bidi="ar"/>
              </w:rPr>
              <w:t>50</w:t>
            </w:r>
          </w:p>
        </w:tc>
        <w:tc>
          <w:tcPr>
            <w:tcW w:w="2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四铺镇菊花产业园项目</w:t>
            </w:r>
          </w:p>
        </w:tc>
        <w:tc>
          <w:tcPr>
            <w:tcW w:w="12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themeColor="text1"/>
                <w:kern w:val="0"/>
                <w:sz w:val="24"/>
                <w:szCs w:val="24"/>
                <w14:textFill>
                  <w14:solidFill>
                    <w14:schemeClr w14:val="tx1"/>
                  </w14:solidFill>
                </w14:textFill>
              </w:rPr>
              <w:t>四铺镇</w:t>
            </w:r>
          </w:p>
        </w:tc>
        <w:tc>
          <w:tcPr>
            <w:tcW w:w="1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2021年5月-2023年12月</w:t>
            </w:r>
          </w:p>
        </w:tc>
        <w:tc>
          <w:tcPr>
            <w:tcW w:w="10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themeColor="text1"/>
                <w:kern w:val="0"/>
                <w:sz w:val="24"/>
                <w:szCs w:val="24"/>
                <w14:textFill>
                  <w14:solidFill>
                    <w14:schemeClr w14:val="tx1"/>
                  </w14:solidFill>
                </w14:textFill>
              </w:rPr>
              <w:t>4.07</w:t>
            </w:r>
          </w:p>
        </w:tc>
        <w:tc>
          <w:tcPr>
            <w:tcW w:w="4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themeColor="text1"/>
                <w:kern w:val="0"/>
                <w:sz w:val="24"/>
                <w:szCs w:val="24"/>
                <w14:textFill>
                  <w14:solidFill>
                    <w14:schemeClr w14:val="tx1"/>
                  </w14:solidFill>
                </w14:textFill>
              </w:rPr>
              <w:t>建设1.5公里菊花大道、400亩花卉展览交易温室区、100亩菊花花海及观景台、菊花文化广场；配套建设生态停车场、生态公共厕所；完善道路、水利等基础设施。（1）生产、服务基础设施(道路、水利、电力、绿化亮化、厕所、停车场和入口设计等)；（2）标准化温室生产大棚；（3）科研及技术展示中心、花海游览区等；（4）菊花、半夏等新品种引种示范园区；（5）菊花加工厂和电子商务平台。</w:t>
            </w:r>
          </w:p>
        </w:tc>
        <w:tc>
          <w:tcPr>
            <w:tcW w:w="13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themeColor="text1"/>
                <w:kern w:val="0"/>
                <w:sz w:val="24"/>
                <w:szCs w:val="24"/>
                <w14:textFill>
                  <w14:solidFill>
                    <w14:schemeClr w14:val="tx1"/>
                  </w14:solidFill>
                </w14:textFill>
              </w:rPr>
              <w:t>四铺镇</w:t>
            </w:r>
            <w:r>
              <w:rPr>
                <w:rFonts w:hint="default" w:ascii="Times New Roman" w:hAnsi="Times New Roman" w:eastAsia="仿宋_GB2312" w:cs="Times New Roman"/>
                <w:color w:val="000000"/>
                <w:sz w:val="24"/>
                <w:szCs w:val="24"/>
              </w:rPr>
              <w:t>人民政府</w:t>
            </w:r>
          </w:p>
        </w:tc>
        <w:tc>
          <w:tcPr>
            <w:tcW w:w="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仿宋_GB2312" w:cs="Times New Roman"/>
                <w:color w:val="000000"/>
                <w:sz w:val="24"/>
                <w:szCs w:val="24"/>
              </w:rPr>
            </w:pPr>
          </w:p>
        </w:tc>
      </w:tr>
      <w:tr>
        <w:tblPrEx>
          <w:tblLayout w:type="fixed"/>
          <w:tblCellMar>
            <w:top w:w="0" w:type="dxa"/>
            <w:left w:w="0" w:type="dxa"/>
            <w:bottom w:w="0" w:type="dxa"/>
            <w:right w:w="0" w:type="dxa"/>
          </w:tblCellMar>
        </w:tblPrEx>
        <w:trPr>
          <w:trHeight w:val="1087" w:hRule="atLeast"/>
          <w:jc w:val="center"/>
        </w:trPr>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仿宋_GB2312" w:cs="Times New Roman"/>
                <w:color w:val="000000"/>
                <w:kern w:val="0"/>
                <w:sz w:val="24"/>
                <w:szCs w:val="24"/>
                <w:lang w:val="en-US" w:eastAsia="zh-CN" w:bidi="ar"/>
              </w:rPr>
            </w:pPr>
            <w:r>
              <w:rPr>
                <w:rFonts w:hint="default" w:ascii="Times New Roman" w:hAnsi="Times New Roman" w:eastAsia="仿宋_GB2312" w:cs="Times New Roman"/>
                <w:color w:val="000000"/>
                <w:kern w:val="0"/>
                <w:sz w:val="24"/>
                <w:szCs w:val="24"/>
                <w:lang w:val="en-US" w:eastAsia="zh-CN" w:bidi="ar"/>
              </w:rPr>
              <w:t>51</w:t>
            </w:r>
          </w:p>
        </w:tc>
        <w:tc>
          <w:tcPr>
            <w:tcW w:w="2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themeColor="text1"/>
                <w:kern w:val="0"/>
                <w:sz w:val="24"/>
                <w:szCs w:val="24"/>
                <w14:textFill>
                  <w14:solidFill>
                    <w14:schemeClr w14:val="tx1"/>
                  </w14:solidFill>
                </w14:textFill>
              </w:rPr>
              <w:t>南坪镇商业消费集聚区建设项目</w:t>
            </w:r>
          </w:p>
        </w:tc>
        <w:tc>
          <w:tcPr>
            <w:tcW w:w="12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themeColor="text1"/>
                <w:kern w:val="0"/>
                <w:sz w:val="24"/>
                <w:szCs w:val="24"/>
                <w14:textFill>
                  <w14:solidFill>
                    <w14:schemeClr w14:val="tx1"/>
                  </w14:solidFill>
                </w14:textFill>
              </w:rPr>
              <w:t>南坪镇</w:t>
            </w:r>
          </w:p>
        </w:tc>
        <w:tc>
          <w:tcPr>
            <w:tcW w:w="1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2022年10月-2025年10月</w:t>
            </w:r>
          </w:p>
        </w:tc>
        <w:tc>
          <w:tcPr>
            <w:tcW w:w="10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themeColor="text1"/>
                <w:kern w:val="0"/>
                <w:sz w:val="24"/>
                <w:szCs w:val="24"/>
                <w14:textFill>
                  <w14:solidFill>
                    <w14:schemeClr w14:val="tx1"/>
                  </w14:solidFill>
                </w14:textFill>
              </w:rPr>
              <w:t>2.00</w:t>
            </w:r>
          </w:p>
        </w:tc>
        <w:tc>
          <w:tcPr>
            <w:tcW w:w="4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themeColor="text1"/>
                <w:kern w:val="0"/>
                <w:sz w:val="24"/>
                <w:szCs w:val="24"/>
                <w14:textFill>
                  <w14:solidFill>
                    <w14:schemeClr w14:val="tx1"/>
                  </w14:solidFill>
                </w14:textFill>
              </w:rPr>
              <w:t>建设特色美食街、城镇商业步行街、商业综合体、社区便民商业圈、农贸商城等便民商业圈及其互联互通配套基础设施建设。</w:t>
            </w:r>
          </w:p>
        </w:tc>
        <w:tc>
          <w:tcPr>
            <w:tcW w:w="13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南坪镇人民政府</w:t>
            </w:r>
          </w:p>
        </w:tc>
        <w:tc>
          <w:tcPr>
            <w:tcW w:w="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仿宋_GB2312" w:cs="Times New Roman"/>
                <w:color w:val="000000"/>
                <w:sz w:val="24"/>
                <w:szCs w:val="24"/>
              </w:rPr>
            </w:pPr>
          </w:p>
        </w:tc>
      </w:tr>
      <w:tr>
        <w:tblPrEx>
          <w:tblLayout w:type="fixed"/>
          <w:tblCellMar>
            <w:top w:w="0" w:type="dxa"/>
            <w:left w:w="0" w:type="dxa"/>
            <w:bottom w:w="0" w:type="dxa"/>
            <w:right w:w="0" w:type="dxa"/>
          </w:tblCellMar>
        </w:tblPrEx>
        <w:trPr>
          <w:trHeight w:val="886" w:hRule="atLeast"/>
          <w:jc w:val="center"/>
        </w:trPr>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仿宋_GB2312" w:cs="Times New Roman"/>
                <w:color w:val="000000"/>
                <w:kern w:val="0"/>
                <w:sz w:val="24"/>
                <w:szCs w:val="24"/>
                <w:lang w:val="en-US" w:eastAsia="zh-CN" w:bidi="ar"/>
              </w:rPr>
            </w:pPr>
            <w:r>
              <w:rPr>
                <w:rFonts w:hint="default" w:ascii="Times New Roman" w:hAnsi="Times New Roman" w:eastAsia="仿宋_GB2312" w:cs="Times New Roman"/>
                <w:color w:val="000000"/>
                <w:kern w:val="0"/>
                <w:sz w:val="24"/>
                <w:szCs w:val="24"/>
                <w:lang w:val="en-US" w:eastAsia="zh-CN" w:bidi="ar"/>
              </w:rPr>
              <w:t>52</w:t>
            </w:r>
          </w:p>
        </w:tc>
        <w:tc>
          <w:tcPr>
            <w:tcW w:w="2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濉溪县汽车文化产业园项目</w:t>
            </w:r>
          </w:p>
        </w:tc>
        <w:tc>
          <w:tcPr>
            <w:tcW w:w="12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刘桥镇</w:t>
            </w:r>
          </w:p>
        </w:tc>
        <w:tc>
          <w:tcPr>
            <w:tcW w:w="1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2020年7月-2022年8月</w:t>
            </w:r>
          </w:p>
        </w:tc>
        <w:tc>
          <w:tcPr>
            <w:tcW w:w="10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5.00</w:t>
            </w:r>
          </w:p>
        </w:tc>
        <w:tc>
          <w:tcPr>
            <w:tcW w:w="4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建设面积20000平方米现代汽车文化产业园。</w:t>
            </w:r>
          </w:p>
        </w:tc>
        <w:tc>
          <w:tcPr>
            <w:tcW w:w="13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lang w:bidi="ar"/>
              </w:rPr>
              <w:t>刘桥镇</w:t>
            </w:r>
            <w:r>
              <w:rPr>
                <w:rFonts w:hint="default" w:ascii="Times New Roman" w:hAnsi="Times New Roman" w:eastAsia="仿宋_GB2312" w:cs="Times New Roman"/>
                <w:color w:val="000000"/>
                <w:sz w:val="24"/>
                <w:szCs w:val="24"/>
              </w:rPr>
              <w:t>人民政府</w:t>
            </w:r>
          </w:p>
        </w:tc>
        <w:tc>
          <w:tcPr>
            <w:tcW w:w="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仿宋_GB2312" w:cs="Times New Roman"/>
                <w:color w:val="000000"/>
                <w:sz w:val="24"/>
                <w:szCs w:val="24"/>
              </w:rPr>
            </w:pPr>
          </w:p>
        </w:tc>
      </w:tr>
      <w:tr>
        <w:tblPrEx>
          <w:tblLayout w:type="fixed"/>
          <w:tblCellMar>
            <w:top w:w="0" w:type="dxa"/>
            <w:left w:w="0" w:type="dxa"/>
            <w:bottom w:w="0" w:type="dxa"/>
            <w:right w:w="0" w:type="dxa"/>
          </w:tblCellMar>
        </w:tblPrEx>
        <w:trPr>
          <w:trHeight w:val="3877" w:hRule="atLeast"/>
          <w:jc w:val="center"/>
        </w:trPr>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仿宋_GB2312" w:cs="Times New Roman"/>
                <w:color w:val="000000"/>
                <w:kern w:val="0"/>
                <w:sz w:val="24"/>
                <w:szCs w:val="24"/>
                <w:lang w:eastAsia="zh-CN" w:bidi="ar"/>
              </w:rPr>
            </w:pPr>
            <w:r>
              <w:rPr>
                <w:rFonts w:hint="default" w:ascii="Times New Roman" w:hAnsi="Times New Roman" w:eastAsia="仿宋_GB2312" w:cs="Times New Roman"/>
                <w:color w:val="000000"/>
                <w:kern w:val="0"/>
                <w:sz w:val="24"/>
                <w:szCs w:val="24"/>
                <w:lang w:bidi="ar"/>
              </w:rPr>
              <w:t>5</w:t>
            </w:r>
            <w:r>
              <w:rPr>
                <w:rFonts w:hint="default" w:ascii="Times New Roman" w:hAnsi="Times New Roman" w:eastAsia="仿宋_GB2312" w:cs="Times New Roman"/>
                <w:color w:val="000000"/>
                <w:kern w:val="0"/>
                <w:sz w:val="24"/>
                <w:szCs w:val="24"/>
                <w:lang w:val="en-US" w:eastAsia="zh-CN" w:bidi="ar"/>
              </w:rPr>
              <w:t>3</w:t>
            </w:r>
          </w:p>
        </w:tc>
        <w:tc>
          <w:tcPr>
            <w:tcW w:w="2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淮北银华康养综合服务中心一期、二期项目</w:t>
            </w:r>
          </w:p>
        </w:tc>
        <w:tc>
          <w:tcPr>
            <w:tcW w:w="12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濉溪镇</w:t>
            </w:r>
          </w:p>
        </w:tc>
        <w:tc>
          <w:tcPr>
            <w:tcW w:w="1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2019年6月-2022年6月</w:t>
            </w:r>
          </w:p>
        </w:tc>
        <w:tc>
          <w:tcPr>
            <w:tcW w:w="10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9.50</w:t>
            </w:r>
          </w:p>
        </w:tc>
        <w:tc>
          <w:tcPr>
            <w:tcW w:w="4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一期项目总规划用地64,334.81平方米（约合96.50亩），总建筑面积153,555.35平方米，其中地上包括康复医院、养老公寓，地下建筑主要为地下停车库，绿地，以及电气工程、给排水工程、消防工程、暖通工程等基础设施；二期为一期的配套设施建设，项目总规划用地66,447.89平方米（约合99.67亩），总建筑面积63,117.01平方米，其中地上包括配套服务楼、文化中心、休闲中心、接待中心、幼儿园、中小学校等，地下主要为地下停车库，绿地，以及电气工程、给排水工程、消防工程、暖通工程等基础设施。</w:t>
            </w:r>
          </w:p>
        </w:tc>
        <w:tc>
          <w:tcPr>
            <w:tcW w:w="13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lang w:bidi="ar"/>
              </w:rPr>
              <w:t>濉溪镇人民政府</w:t>
            </w:r>
          </w:p>
        </w:tc>
        <w:tc>
          <w:tcPr>
            <w:tcW w:w="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仿宋_GB2312" w:cs="Times New Roman"/>
                <w:color w:val="000000"/>
                <w:sz w:val="24"/>
                <w:szCs w:val="24"/>
              </w:rPr>
            </w:pPr>
          </w:p>
        </w:tc>
      </w:tr>
      <w:tr>
        <w:tblPrEx>
          <w:tblLayout w:type="fixed"/>
          <w:tblCellMar>
            <w:top w:w="0" w:type="dxa"/>
            <w:left w:w="0" w:type="dxa"/>
            <w:bottom w:w="0" w:type="dxa"/>
            <w:right w:w="0" w:type="dxa"/>
          </w:tblCellMar>
        </w:tblPrEx>
        <w:trPr>
          <w:trHeight w:val="953" w:hRule="atLeast"/>
          <w:jc w:val="center"/>
        </w:trPr>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仿宋_GB2312" w:cs="Times New Roman"/>
                <w:color w:val="000000"/>
                <w:kern w:val="0"/>
                <w:sz w:val="24"/>
                <w:szCs w:val="24"/>
                <w:lang w:val="en-US" w:eastAsia="zh-CN" w:bidi="ar"/>
              </w:rPr>
            </w:pPr>
            <w:r>
              <w:rPr>
                <w:rFonts w:hint="default" w:ascii="Times New Roman" w:hAnsi="Times New Roman" w:eastAsia="仿宋_GB2312" w:cs="Times New Roman"/>
                <w:color w:val="000000"/>
                <w:kern w:val="0"/>
                <w:sz w:val="24"/>
                <w:szCs w:val="24"/>
                <w:lang w:val="en-US" w:eastAsia="zh-CN" w:bidi="ar"/>
              </w:rPr>
              <w:t>54</w:t>
            </w:r>
          </w:p>
        </w:tc>
        <w:tc>
          <w:tcPr>
            <w:tcW w:w="2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濉溪县乡村医养结合项目</w:t>
            </w:r>
          </w:p>
        </w:tc>
        <w:tc>
          <w:tcPr>
            <w:tcW w:w="12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各镇</w:t>
            </w:r>
          </w:p>
        </w:tc>
        <w:tc>
          <w:tcPr>
            <w:tcW w:w="1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themeColor="text1"/>
                <w:kern w:val="0"/>
                <w:sz w:val="24"/>
                <w:szCs w:val="24"/>
                <w14:textFill>
                  <w14:solidFill>
                    <w14:schemeClr w14:val="tx1"/>
                  </w14:solidFill>
                </w14:textFill>
              </w:rPr>
              <w:t>2019年-2022年</w:t>
            </w:r>
          </w:p>
        </w:tc>
        <w:tc>
          <w:tcPr>
            <w:tcW w:w="10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3.75</w:t>
            </w:r>
          </w:p>
        </w:tc>
        <w:tc>
          <w:tcPr>
            <w:tcW w:w="4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总改扩建建筑面积约91464.8平方米；新增医疗设备约239台、套；信息化建设。</w:t>
            </w:r>
          </w:p>
        </w:tc>
        <w:tc>
          <w:tcPr>
            <w:tcW w:w="13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县卫</w:t>
            </w:r>
            <w:r>
              <w:rPr>
                <w:rFonts w:hint="eastAsia" w:ascii="Times New Roman" w:hAnsi="Times New Roman" w:eastAsia="仿宋_GB2312" w:cs="Times New Roman"/>
                <w:color w:val="000000"/>
                <w:sz w:val="24"/>
                <w:szCs w:val="24"/>
                <w:lang w:val="en-US" w:eastAsia="zh-CN"/>
              </w:rPr>
              <w:t>健</w:t>
            </w:r>
            <w:r>
              <w:rPr>
                <w:rFonts w:hint="default" w:ascii="Times New Roman" w:hAnsi="Times New Roman" w:eastAsia="仿宋_GB2312" w:cs="Times New Roman"/>
                <w:color w:val="000000"/>
                <w:sz w:val="24"/>
                <w:szCs w:val="24"/>
              </w:rPr>
              <w:t>委</w:t>
            </w:r>
          </w:p>
        </w:tc>
        <w:tc>
          <w:tcPr>
            <w:tcW w:w="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仿宋_GB2312" w:cs="Times New Roman"/>
                <w:color w:val="000000"/>
                <w:sz w:val="24"/>
                <w:szCs w:val="24"/>
              </w:rPr>
            </w:pPr>
          </w:p>
        </w:tc>
      </w:tr>
      <w:tr>
        <w:tblPrEx>
          <w:tblLayout w:type="fixed"/>
          <w:tblCellMar>
            <w:top w:w="0" w:type="dxa"/>
            <w:left w:w="0" w:type="dxa"/>
            <w:bottom w:w="0" w:type="dxa"/>
            <w:right w:w="0" w:type="dxa"/>
          </w:tblCellMar>
        </w:tblPrEx>
        <w:trPr>
          <w:trHeight w:val="2991" w:hRule="atLeast"/>
          <w:jc w:val="center"/>
        </w:trPr>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仿宋_GB2312" w:cs="Times New Roman"/>
                <w:color w:val="000000"/>
                <w:kern w:val="0"/>
                <w:sz w:val="24"/>
                <w:szCs w:val="24"/>
                <w:lang w:val="en-US" w:eastAsia="zh-CN" w:bidi="ar"/>
              </w:rPr>
            </w:pPr>
            <w:r>
              <w:rPr>
                <w:rFonts w:hint="default" w:ascii="Times New Roman" w:hAnsi="Times New Roman" w:eastAsia="仿宋_GB2312" w:cs="Times New Roman"/>
                <w:color w:val="000000"/>
                <w:kern w:val="0"/>
                <w:sz w:val="24"/>
                <w:szCs w:val="24"/>
                <w:lang w:val="en-US" w:eastAsia="zh-CN" w:bidi="ar"/>
              </w:rPr>
              <w:t>55</w:t>
            </w:r>
          </w:p>
        </w:tc>
        <w:tc>
          <w:tcPr>
            <w:tcW w:w="2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杏康血液透析中心项目</w:t>
            </w:r>
          </w:p>
        </w:tc>
        <w:tc>
          <w:tcPr>
            <w:tcW w:w="12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濉溪经开区</w:t>
            </w:r>
          </w:p>
        </w:tc>
        <w:tc>
          <w:tcPr>
            <w:tcW w:w="1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rPr>
              <w:t>2022年1月-2022年5月</w:t>
            </w:r>
          </w:p>
        </w:tc>
        <w:tc>
          <w:tcPr>
            <w:tcW w:w="10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0.30</w:t>
            </w:r>
          </w:p>
        </w:tc>
        <w:tc>
          <w:tcPr>
            <w:tcW w:w="4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本项目占地493平方米，拟接收非传染病人与传染病人进行血液透析，其中一期：共设立透析诊疗单元38个，其中普通透析单元28个，隔离（传染病）透析单元10个，二期：共设立透析诊疗单元50个，其中普通透析单元35个，隔离（传染病）透析单元15个，每天规划接待患者150人，年营业天数为300天。</w:t>
            </w:r>
          </w:p>
        </w:tc>
        <w:tc>
          <w:tcPr>
            <w:tcW w:w="13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濉溪经开区</w:t>
            </w:r>
          </w:p>
        </w:tc>
        <w:tc>
          <w:tcPr>
            <w:tcW w:w="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仿宋_GB2312" w:cs="Times New Roman"/>
                <w:color w:val="000000"/>
                <w:sz w:val="24"/>
                <w:szCs w:val="24"/>
              </w:rPr>
            </w:pPr>
          </w:p>
        </w:tc>
      </w:tr>
      <w:tr>
        <w:tblPrEx>
          <w:tblLayout w:type="fixed"/>
          <w:tblCellMar>
            <w:top w:w="0" w:type="dxa"/>
            <w:left w:w="0" w:type="dxa"/>
            <w:bottom w:w="0" w:type="dxa"/>
            <w:right w:w="0" w:type="dxa"/>
          </w:tblCellMar>
        </w:tblPrEx>
        <w:trPr>
          <w:trHeight w:val="3952" w:hRule="atLeast"/>
          <w:jc w:val="center"/>
        </w:trPr>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仿宋_GB2312" w:cs="Times New Roman"/>
                <w:color w:val="000000"/>
                <w:kern w:val="0"/>
                <w:sz w:val="24"/>
                <w:szCs w:val="24"/>
                <w:lang w:val="en-US" w:eastAsia="zh-CN" w:bidi="ar"/>
              </w:rPr>
            </w:pPr>
            <w:r>
              <w:rPr>
                <w:rFonts w:hint="default" w:ascii="Times New Roman" w:hAnsi="Times New Roman" w:eastAsia="仿宋_GB2312" w:cs="Times New Roman"/>
                <w:color w:val="000000"/>
                <w:kern w:val="0"/>
                <w:sz w:val="24"/>
                <w:szCs w:val="24"/>
                <w:lang w:val="en-US" w:eastAsia="zh-CN" w:bidi="ar"/>
              </w:rPr>
              <w:t>56</w:t>
            </w:r>
          </w:p>
        </w:tc>
        <w:tc>
          <w:tcPr>
            <w:tcW w:w="2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濉溪县河西片区和乾隆湖片区综合开发项目</w:t>
            </w:r>
          </w:p>
        </w:tc>
        <w:tc>
          <w:tcPr>
            <w:tcW w:w="12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濉溪镇</w:t>
            </w:r>
          </w:p>
        </w:tc>
        <w:tc>
          <w:tcPr>
            <w:tcW w:w="1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2022年1月-2024年1月</w:t>
            </w:r>
          </w:p>
        </w:tc>
        <w:tc>
          <w:tcPr>
            <w:tcW w:w="10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64.00</w:t>
            </w:r>
          </w:p>
        </w:tc>
        <w:tc>
          <w:tcPr>
            <w:tcW w:w="4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项目总占地 5264.55 亩，其中居住用地 2393.85 亩，商业服务设施用地 396 亩，公共管理与公共服务用地 517.2 亩，绿地与广场用849.45 亩，交通设施用地 1050.3 亩，公共设施用地 35.25 亩，水域 22.5 亩；乾隆湖片区总占地 4693.41 亩，其中居住用地 1410.00 亩，公共服务与公共管理用地 245.76 亩，商业服务设施用地 159.79 亩，绿地与广场用地 936.96 亩，交通设施用地355.72亩，公共设施用地 85.18 亩，水域面积 1500 亩</w:t>
            </w:r>
          </w:p>
        </w:tc>
        <w:tc>
          <w:tcPr>
            <w:tcW w:w="13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县建投集团</w:t>
            </w:r>
          </w:p>
        </w:tc>
        <w:tc>
          <w:tcPr>
            <w:tcW w:w="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仿宋_GB2312" w:cs="Times New Roman"/>
                <w:color w:val="000000"/>
                <w:sz w:val="24"/>
                <w:szCs w:val="24"/>
              </w:rPr>
            </w:pPr>
          </w:p>
        </w:tc>
      </w:tr>
      <w:tr>
        <w:tblPrEx>
          <w:tblLayout w:type="fixed"/>
          <w:tblCellMar>
            <w:top w:w="0" w:type="dxa"/>
            <w:left w:w="0" w:type="dxa"/>
            <w:bottom w:w="0" w:type="dxa"/>
            <w:right w:w="0" w:type="dxa"/>
          </w:tblCellMar>
        </w:tblPrEx>
        <w:trPr>
          <w:trHeight w:val="3567" w:hRule="atLeast"/>
          <w:jc w:val="center"/>
        </w:trPr>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仿宋_GB2312" w:cs="Times New Roman"/>
                <w:color w:val="000000"/>
                <w:kern w:val="0"/>
                <w:sz w:val="24"/>
                <w:szCs w:val="24"/>
                <w:lang w:val="en-US" w:eastAsia="zh-CN" w:bidi="ar"/>
              </w:rPr>
            </w:pPr>
            <w:r>
              <w:rPr>
                <w:rFonts w:hint="default" w:ascii="Times New Roman" w:hAnsi="Times New Roman" w:eastAsia="仿宋_GB2312" w:cs="Times New Roman"/>
                <w:color w:val="000000"/>
                <w:kern w:val="0"/>
                <w:sz w:val="24"/>
                <w:szCs w:val="24"/>
                <w:lang w:val="en-US" w:eastAsia="zh-CN" w:bidi="ar"/>
              </w:rPr>
              <w:t>57</w:t>
            </w:r>
          </w:p>
        </w:tc>
        <w:tc>
          <w:tcPr>
            <w:tcW w:w="2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 xml:space="preserve">淮北市濉溪县智慧停车项目 </w:t>
            </w:r>
          </w:p>
        </w:tc>
        <w:tc>
          <w:tcPr>
            <w:tcW w:w="12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 xml:space="preserve"> 濉溪镇</w:t>
            </w:r>
          </w:p>
        </w:tc>
        <w:tc>
          <w:tcPr>
            <w:tcW w:w="1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 xml:space="preserve"> 2022年1月-2024年12月</w:t>
            </w:r>
          </w:p>
        </w:tc>
        <w:tc>
          <w:tcPr>
            <w:tcW w:w="10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6.30</w:t>
            </w:r>
          </w:p>
        </w:tc>
        <w:tc>
          <w:tcPr>
            <w:tcW w:w="4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default" w:ascii="Times New Roman" w:hAnsi="Times New Roman" w:eastAsia="仿宋_GB2312" w:cs="Times New Roman"/>
                <w:sz w:val="24"/>
                <w:szCs w:val="24"/>
              </w:rPr>
            </w:pPr>
            <w:r>
              <w:rPr>
                <w:rFonts w:hint="default" w:ascii="Times New Roman" w:hAnsi="Times New Roman" w:eastAsia="仿宋_GB2312" w:cs="Times New Roman"/>
                <w:kern w:val="0"/>
                <w:sz w:val="24"/>
                <w:szCs w:val="24"/>
                <w:lang w:bidi="ar"/>
              </w:rPr>
              <w:t>（1）公共停车场55个，总停车位约14260个，其中新建30个公共停车场，共8990个停车泊位(其中地面停车位4497个，地下停车位4493个)； 改造25个公共停车场，共5270个停车泊位(其中地面停车位 2877个，地下停车位2393个)；路边划线泊车位4602个；</w:t>
            </w:r>
          </w:p>
          <w:p>
            <w:pPr>
              <w:rPr>
                <w:rFonts w:hint="default" w:ascii="Times New Roman" w:hAnsi="Times New Roman" w:eastAsia="仿宋_GB2312" w:cs="Times New Roman"/>
                <w:sz w:val="24"/>
                <w:szCs w:val="24"/>
              </w:rPr>
            </w:pPr>
            <w:r>
              <w:rPr>
                <w:rFonts w:hint="default" w:ascii="Times New Roman" w:hAnsi="Times New Roman" w:eastAsia="仿宋_GB2312" w:cs="Times New Roman"/>
                <w:kern w:val="0"/>
                <w:sz w:val="24"/>
                <w:szCs w:val="24"/>
                <w:lang w:bidi="ar"/>
              </w:rPr>
              <w:t>（2）附属工程建设：3000个新能源汽车充电桩和7200套(10充电座/套)非机动车充电桩设备的建设工程；</w:t>
            </w:r>
          </w:p>
          <w:p>
            <w:pPr>
              <w:widowControl/>
              <w:jc w:val="left"/>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kern w:val="0"/>
                <w:sz w:val="24"/>
                <w:szCs w:val="24"/>
                <w:lang w:bidi="ar"/>
              </w:rPr>
              <w:t>（3）配套工程建设：停车场智能管理系统工程及相对应的广告设施工程。</w:t>
            </w:r>
          </w:p>
        </w:tc>
        <w:tc>
          <w:tcPr>
            <w:tcW w:w="13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仿宋_GB2312" w:cs="Times New Roman"/>
                <w:color w:val="000000"/>
                <w:sz w:val="24"/>
                <w:szCs w:val="24"/>
                <w:lang w:val="en-US" w:eastAsia="zh-CN"/>
              </w:rPr>
            </w:pPr>
            <w:r>
              <w:rPr>
                <w:rFonts w:hint="default" w:ascii="Times New Roman" w:hAnsi="Times New Roman" w:eastAsia="仿宋_GB2312" w:cs="Times New Roman"/>
                <w:color w:val="000000"/>
                <w:sz w:val="24"/>
                <w:szCs w:val="24"/>
                <w:lang w:val="en-US" w:eastAsia="zh-CN"/>
              </w:rPr>
              <w:t>县建投集团</w:t>
            </w:r>
          </w:p>
        </w:tc>
        <w:tc>
          <w:tcPr>
            <w:tcW w:w="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仿宋_GB2312" w:cs="Times New Roman"/>
                <w:color w:val="000000"/>
                <w:sz w:val="24"/>
                <w:szCs w:val="24"/>
              </w:rPr>
            </w:pPr>
          </w:p>
        </w:tc>
      </w:tr>
      <w:tr>
        <w:tblPrEx>
          <w:tblLayout w:type="fixed"/>
          <w:tblCellMar>
            <w:top w:w="0" w:type="dxa"/>
            <w:left w:w="0" w:type="dxa"/>
            <w:bottom w:w="0" w:type="dxa"/>
            <w:right w:w="0" w:type="dxa"/>
          </w:tblCellMar>
        </w:tblPrEx>
        <w:trPr>
          <w:trHeight w:val="770" w:hRule="atLeast"/>
          <w:jc w:val="center"/>
        </w:trPr>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仿宋_GB2312" w:cs="Times New Roman"/>
                <w:color w:val="000000"/>
                <w:kern w:val="0"/>
                <w:sz w:val="24"/>
                <w:szCs w:val="24"/>
                <w:lang w:val="en-US" w:eastAsia="zh-CN" w:bidi="ar"/>
              </w:rPr>
            </w:pPr>
            <w:r>
              <w:rPr>
                <w:rFonts w:hint="default" w:ascii="Times New Roman" w:hAnsi="Times New Roman" w:eastAsia="仿宋_GB2312" w:cs="Times New Roman"/>
                <w:color w:val="000000"/>
                <w:kern w:val="0"/>
                <w:sz w:val="24"/>
                <w:szCs w:val="24"/>
                <w:lang w:val="en-US" w:eastAsia="zh-CN" w:bidi="ar"/>
              </w:rPr>
              <w:t>58</w:t>
            </w:r>
          </w:p>
        </w:tc>
        <w:tc>
          <w:tcPr>
            <w:tcW w:w="2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韩村镇祁集农贸市场建设项目</w:t>
            </w:r>
          </w:p>
        </w:tc>
        <w:tc>
          <w:tcPr>
            <w:tcW w:w="12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仿宋_GB2312" w:cs="Times New Roman"/>
                <w:kern w:val="0"/>
                <w:sz w:val="24"/>
                <w:szCs w:val="24"/>
                <w:lang w:bidi="ar"/>
              </w:rPr>
            </w:pPr>
            <w:r>
              <w:rPr>
                <w:rFonts w:hint="default" w:ascii="Times New Roman" w:hAnsi="Times New Roman" w:eastAsia="仿宋_GB2312" w:cs="Times New Roman"/>
                <w:sz w:val="24"/>
                <w:szCs w:val="24"/>
              </w:rPr>
              <w:t>韩村镇</w:t>
            </w:r>
          </w:p>
        </w:tc>
        <w:tc>
          <w:tcPr>
            <w:tcW w:w="1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仿宋_GB2312" w:cs="Times New Roman"/>
                <w:kern w:val="0"/>
                <w:sz w:val="24"/>
                <w:szCs w:val="24"/>
                <w:lang w:bidi="ar"/>
              </w:rPr>
            </w:pPr>
            <w:r>
              <w:rPr>
                <w:rFonts w:hint="default" w:ascii="Times New Roman" w:hAnsi="Times New Roman" w:eastAsia="仿宋_GB2312" w:cs="Times New Roman"/>
                <w:kern w:val="0"/>
                <w:sz w:val="24"/>
                <w:szCs w:val="24"/>
                <w:lang w:bidi="ar"/>
              </w:rPr>
              <w:t>2022年2月-2022年8月</w:t>
            </w:r>
          </w:p>
        </w:tc>
        <w:tc>
          <w:tcPr>
            <w:tcW w:w="10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仿宋_GB2312" w:cs="Times New Roman"/>
                <w:kern w:val="0"/>
                <w:sz w:val="24"/>
                <w:szCs w:val="24"/>
                <w:lang w:bidi="ar"/>
              </w:rPr>
            </w:pPr>
            <w:r>
              <w:rPr>
                <w:rFonts w:hint="default" w:ascii="Times New Roman" w:hAnsi="Times New Roman" w:eastAsia="仿宋_GB2312" w:cs="Times New Roman"/>
                <w:kern w:val="0"/>
                <w:sz w:val="24"/>
                <w:szCs w:val="24"/>
              </w:rPr>
              <w:t>0.04</w:t>
            </w:r>
          </w:p>
        </w:tc>
        <w:tc>
          <w:tcPr>
            <w:tcW w:w="4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default" w:ascii="Times New Roman" w:hAnsi="Times New Roman" w:eastAsia="仿宋_GB2312" w:cs="Times New Roman"/>
                <w:kern w:val="0"/>
                <w:sz w:val="24"/>
                <w:szCs w:val="24"/>
                <w:lang w:bidi="ar"/>
              </w:rPr>
            </w:pPr>
            <w:r>
              <w:rPr>
                <w:rFonts w:hint="default" w:ascii="Times New Roman" w:hAnsi="Times New Roman" w:eastAsia="仿宋_GB2312" w:cs="Times New Roman"/>
                <w:kern w:val="0"/>
                <w:sz w:val="24"/>
                <w:szCs w:val="24"/>
              </w:rPr>
              <w:t>建设钢构交易大棚5200平方米，设置摊位，以及道路、排水管网等配套设施。</w:t>
            </w:r>
          </w:p>
        </w:tc>
        <w:tc>
          <w:tcPr>
            <w:tcW w:w="13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韩村镇人民政府</w:t>
            </w:r>
          </w:p>
        </w:tc>
        <w:tc>
          <w:tcPr>
            <w:tcW w:w="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仿宋_GB2312" w:cs="Times New Roman"/>
                <w:color w:val="000000"/>
                <w:kern w:val="0"/>
                <w:sz w:val="24"/>
                <w:szCs w:val="24"/>
                <w:lang w:bidi="ar"/>
              </w:rPr>
            </w:pPr>
          </w:p>
        </w:tc>
      </w:tr>
      <w:tr>
        <w:tblPrEx>
          <w:tblLayout w:type="fixed"/>
          <w:tblCellMar>
            <w:top w:w="0" w:type="dxa"/>
            <w:left w:w="0" w:type="dxa"/>
            <w:bottom w:w="0" w:type="dxa"/>
            <w:right w:w="0" w:type="dxa"/>
          </w:tblCellMar>
        </w:tblPrEx>
        <w:trPr>
          <w:trHeight w:val="701" w:hRule="atLeast"/>
          <w:jc w:val="center"/>
        </w:trPr>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仿宋_GB2312" w:cs="Times New Roman"/>
                <w:color w:val="000000"/>
                <w:kern w:val="0"/>
                <w:sz w:val="24"/>
                <w:szCs w:val="24"/>
                <w:lang w:val="en-US" w:eastAsia="zh-CN" w:bidi="ar"/>
              </w:rPr>
            </w:pPr>
            <w:r>
              <w:rPr>
                <w:rFonts w:hint="default" w:ascii="Times New Roman" w:hAnsi="Times New Roman" w:eastAsia="仿宋_GB2312" w:cs="Times New Roman"/>
                <w:color w:val="000000"/>
                <w:kern w:val="0"/>
                <w:sz w:val="24"/>
                <w:szCs w:val="24"/>
                <w:lang w:val="en-US" w:eastAsia="zh-CN" w:bidi="ar"/>
              </w:rPr>
              <w:t>59</w:t>
            </w:r>
          </w:p>
        </w:tc>
        <w:tc>
          <w:tcPr>
            <w:tcW w:w="2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液化气石油气钢瓶项目</w:t>
            </w:r>
          </w:p>
        </w:tc>
        <w:tc>
          <w:tcPr>
            <w:tcW w:w="12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濉溪经开区</w:t>
            </w:r>
          </w:p>
        </w:tc>
        <w:tc>
          <w:tcPr>
            <w:tcW w:w="1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2021</w:t>
            </w:r>
            <w:r>
              <w:rPr>
                <w:rFonts w:hint="default" w:ascii="Times New Roman" w:hAnsi="Times New Roman" w:eastAsia="仿宋_GB2312" w:cs="Times New Roman"/>
                <w:color w:val="000000"/>
                <w:kern w:val="0"/>
                <w:sz w:val="24"/>
                <w:szCs w:val="24"/>
                <w:lang w:bidi="ar"/>
              </w:rPr>
              <w:t>年</w:t>
            </w:r>
            <w:r>
              <w:rPr>
                <w:rFonts w:hint="default" w:ascii="Times New Roman" w:hAnsi="Times New Roman" w:eastAsia="仿宋_GB2312" w:cs="Times New Roman"/>
                <w:color w:val="000000"/>
                <w:kern w:val="0"/>
                <w:sz w:val="24"/>
                <w:szCs w:val="24"/>
              </w:rPr>
              <w:t>9月-2022</w:t>
            </w:r>
            <w:r>
              <w:rPr>
                <w:rFonts w:hint="default" w:ascii="Times New Roman" w:hAnsi="Times New Roman" w:eastAsia="仿宋_GB2312" w:cs="Times New Roman"/>
                <w:color w:val="000000"/>
                <w:kern w:val="0"/>
                <w:sz w:val="24"/>
                <w:szCs w:val="24"/>
                <w:lang w:bidi="ar"/>
              </w:rPr>
              <w:t>年</w:t>
            </w:r>
            <w:r>
              <w:rPr>
                <w:rFonts w:hint="default" w:ascii="Times New Roman" w:hAnsi="Times New Roman" w:eastAsia="仿宋_GB2312" w:cs="Times New Roman"/>
                <w:color w:val="000000"/>
                <w:kern w:val="0"/>
                <w:sz w:val="24"/>
                <w:szCs w:val="24"/>
              </w:rPr>
              <w:t>5月</w:t>
            </w:r>
          </w:p>
        </w:tc>
        <w:tc>
          <w:tcPr>
            <w:tcW w:w="10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0.4</w:t>
            </w:r>
            <w:r>
              <w:rPr>
                <w:rFonts w:hint="default" w:ascii="Times New Roman" w:hAnsi="Times New Roman" w:eastAsia="仿宋_GB2312" w:cs="Times New Roman"/>
                <w:color w:val="000000" w:themeColor="text1"/>
                <w:kern w:val="0"/>
                <w:sz w:val="24"/>
                <w:szCs w:val="24"/>
                <w:lang w:val="en-US" w:eastAsia="zh-CN"/>
                <w14:textFill>
                  <w14:solidFill>
                    <w14:schemeClr w14:val="tx1"/>
                  </w14:solidFill>
                </w14:textFill>
              </w:rPr>
              <w:t>0</w:t>
            </w:r>
          </w:p>
        </w:tc>
        <w:tc>
          <w:tcPr>
            <w:tcW w:w="4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液化气钢瓶检测、生产、报废回收等业务</w:t>
            </w:r>
          </w:p>
        </w:tc>
        <w:tc>
          <w:tcPr>
            <w:tcW w:w="13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濉溪经开区</w:t>
            </w:r>
          </w:p>
        </w:tc>
        <w:tc>
          <w:tcPr>
            <w:tcW w:w="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仿宋_GB2312" w:cs="Times New Roman"/>
                <w:color w:val="000000"/>
                <w:kern w:val="0"/>
                <w:sz w:val="24"/>
                <w:szCs w:val="24"/>
                <w:lang w:bidi="ar"/>
              </w:rPr>
            </w:pPr>
          </w:p>
        </w:tc>
      </w:tr>
      <w:tr>
        <w:tblPrEx>
          <w:tblLayout w:type="fixed"/>
          <w:tblCellMar>
            <w:top w:w="0" w:type="dxa"/>
            <w:left w:w="0" w:type="dxa"/>
            <w:bottom w:w="0" w:type="dxa"/>
            <w:right w:w="0" w:type="dxa"/>
          </w:tblCellMar>
        </w:tblPrEx>
        <w:trPr>
          <w:trHeight w:val="953" w:hRule="atLeast"/>
          <w:jc w:val="center"/>
        </w:trPr>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仿宋_GB2312" w:cs="Times New Roman"/>
                <w:color w:val="000000"/>
                <w:kern w:val="0"/>
                <w:sz w:val="24"/>
                <w:szCs w:val="24"/>
                <w:lang w:val="en-US" w:eastAsia="zh-CN" w:bidi="ar"/>
              </w:rPr>
            </w:pPr>
            <w:r>
              <w:rPr>
                <w:rFonts w:hint="default" w:ascii="Times New Roman" w:hAnsi="Times New Roman" w:eastAsia="仿宋_GB2312" w:cs="Times New Roman"/>
                <w:color w:val="000000"/>
                <w:kern w:val="0"/>
                <w:sz w:val="24"/>
                <w:szCs w:val="24"/>
                <w:lang w:val="en-US" w:eastAsia="zh-CN" w:bidi="ar"/>
              </w:rPr>
              <w:t>60</w:t>
            </w:r>
          </w:p>
        </w:tc>
        <w:tc>
          <w:tcPr>
            <w:tcW w:w="2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上海电气储能项目</w:t>
            </w:r>
          </w:p>
        </w:tc>
        <w:tc>
          <w:tcPr>
            <w:tcW w:w="12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南坪镇</w:t>
            </w:r>
          </w:p>
        </w:tc>
        <w:tc>
          <w:tcPr>
            <w:tcW w:w="1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2022</w:t>
            </w:r>
            <w:r>
              <w:rPr>
                <w:rFonts w:hint="default" w:ascii="Times New Roman" w:hAnsi="Times New Roman" w:eastAsia="仿宋_GB2312" w:cs="Times New Roman"/>
                <w:color w:val="000000"/>
                <w:kern w:val="0"/>
                <w:sz w:val="24"/>
                <w:szCs w:val="24"/>
                <w:lang w:eastAsia="zh-CN" w:bidi="ar"/>
              </w:rPr>
              <w:t>年</w:t>
            </w:r>
            <w:r>
              <w:rPr>
                <w:rFonts w:hint="default" w:ascii="Times New Roman" w:hAnsi="Times New Roman" w:eastAsia="仿宋_GB2312" w:cs="Times New Roman"/>
                <w:color w:val="000000"/>
                <w:kern w:val="0"/>
                <w:sz w:val="24"/>
                <w:szCs w:val="24"/>
                <w:lang w:bidi="ar"/>
              </w:rPr>
              <w:t>6</w:t>
            </w:r>
            <w:r>
              <w:rPr>
                <w:rFonts w:hint="default" w:ascii="Times New Roman" w:hAnsi="Times New Roman" w:eastAsia="仿宋_GB2312" w:cs="Times New Roman"/>
                <w:color w:val="000000"/>
                <w:kern w:val="0"/>
                <w:sz w:val="24"/>
                <w:szCs w:val="24"/>
                <w:lang w:eastAsia="zh-CN" w:bidi="ar"/>
              </w:rPr>
              <w:t>月</w:t>
            </w:r>
            <w:r>
              <w:rPr>
                <w:rFonts w:hint="default" w:ascii="Times New Roman" w:hAnsi="Times New Roman" w:eastAsia="仿宋_GB2312" w:cs="Times New Roman"/>
                <w:color w:val="000000"/>
                <w:kern w:val="0"/>
                <w:sz w:val="24"/>
                <w:szCs w:val="24"/>
                <w:lang w:bidi="ar"/>
              </w:rPr>
              <w:t>-2023</w:t>
            </w:r>
            <w:r>
              <w:rPr>
                <w:rFonts w:hint="default" w:ascii="Times New Roman" w:hAnsi="Times New Roman" w:eastAsia="仿宋_GB2312" w:cs="Times New Roman"/>
                <w:color w:val="000000"/>
                <w:kern w:val="0"/>
                <w:sz w:val="24"/>
                <w:szCs w:val="24"/>
                <w:lang w:eastAsia="zh-CN" w:bidi="ar"/>
              </w:rPr>
              <w:t>年</w:t>
            </w:r>
            <w:r>
              <w:rPr>
                <w:rFonts w:hint="default" w:ascii="Times New Roman" w:hAnsi="Times New Roman" w:eastAsia="仿宋_GB2312" w:cs="Times New Roman"/>
                <w:color w:val="000000"/>
                <w:kern w:val="0"/>
                <w:sz w:val="24"/>
                <w:szCs w:val="24"/>
                <w:lang w:bidi="ar"/>
              </w:rPr>
              <w:t>12</w:t>
            </w:r>
            <w:r>
              <w:rPr>
                <w:rFonts w:hint="default" w:ascii="Times New Roman" w:hAnsi="Times New Roman" w:eastAsia="仿宋_GB2312" w:cs="Times New Roman"/>
                <w:color w:val="000000"/>
                <w:kern w:val="0"/>
                <w:sz w:val="24"/>
                <w:szCs w:val="24"/>
                <w:lang w:eastAsia="zh-CN" w:bidi="ar"/>
              </w:rPr>
              <w:t>月</w:t>
            </w:r>
          </w:p>
        </w:tc>
        <w:tc>
          <w:tcPr>
            <w:tcW w:w="10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4.00</w:t>
            </w:r>
          </w:p>
        </w:tc>
        <w:tc>
          <w:tcPr>
            <w:tcW w:w="4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新能源产业。建设100MW/200MWh规模储能电站,配套建设1座110KV升压站，2台63MVA变压器。生产能力7290万千瓦时。</w:t>
            </w:r>
          </w:p>
        </w:tc>
        <w:tc>
          <w:tcPr>
            <w:tcW w:w="13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南坪镇人民政府</w:t>
            </w:r>
          </w:p>
        </w:tc>
        <w:tc>
          <w:tcPr>
            <w:tcW w:w="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仿宋_GB2312" w:cs="Times New Roman"/>
                <w:color w:val="000000"/>
                <w:sz w:val="24"/>
                <w:szCs w:val="24"/>
              </w:rPr>
            </w:pPr>
          </w:p>
        </w:tc>
      </w:tr>
    </w:tbl>
    <w:p>
      <w:pPr>
        <w:rPr>
          <w:rFonts w:hint="default" w:ascii="Times New Roman" w:hAnsi="Times New Roman" w:cs="Times New Roman"/>
        </w:rPr>
        <w:sectPr>
          <w:pgSz w:w="16838" w:h="11906" w:orient="landscape"/>
          <w:pgMar w:top="2098" w:right="1474" w:bottom="1984" w:left="1587" w:header="851" w:footer="1219" w:gutter="0"/>
          <w:pgNumType w:fmt="decimal"/>
          <w:cols w:space="0" w:num="1"/>
          <w:rtlGutter w:val="0"/>
          <w:docGrid w:type="lines" w:linePitch="312" w:charSpace="0"/>
        </w:sectPr>
      </w:pPr>
    </w:p>
    <w:p>
      <w:pPr>
        <w:pStyle w:val="4"/>
        <w:rPr>
          <w:rFonts w:hint="default"/>
        </w:rPr>
      </w:pPr>
    </w:p>
    <w:p>
      <w:pPr>
        <w:rPr>
          <w:rFonts w:hint="default"/>
        </w:rPr>
      </w:pPr>
    </w:p>
    <w:p>
      <w:pPr>
        <w:pStyle w:val="4"/>
        <w:rPr>
          <w:rFonts w:hint="default"/>
        </w:rPr>
      </w:pPr>
    </w:p>
    <w:p>
      <w:pPr>
        <w:rPr>
          <w:rFonts w:hint="default"/>
        </w:rPr>
      </w:pPr>
    </w:p>
    <w:p>
      <w:pPr>
        <w:pStyle w:val="4"/>
        <w:rPr>
          <w:rFonts w:hint="default"/>
        </w:rPr>
      </w:pPr>
    </w:p>
    <w:p>
      <w:pPr>
        <w:rPr>
          <w:rFonts w:hint="default"/>
        </w:rPr>
      </w:pPr>
    </w:p>
    <w:p>
      <w:pPr>
        <w:pStyle w:val="4"/>
        <w:rPr>
          <w:rFonts w:hint="default"/>
        </w:rPr>
      </w:pPr>
    </w:p>
    <w:p>
      <w:pPr>
        <w:rPr>
          <w:rFonts w:hint="default"/>
        </w:rPr>
      </w:pPr>
    </w:p>
    <w:p>
      <w:pPr>
        <w:pStyle w:val="4"/>
        <w:rPr>
          <w:rFonts w:hint="default"/>
        </w:rPr>
      </w:pPr>
    </w:p>
    <w:p>
      <w:pPr>
        <w:rPr>
          <w:rFonts w:hint="default"/>
        </w:rPr>
      </w:pPr>
    </w:p>
    <w:p>
      <w:pPr>
        <w:pStyle w:val="4"/>
        <w:rPr>
          <w:rFonts w:hint="default"/>
        </w:rPr>
      </w:pPr>
    </w:p>
    <w:p>
      <w:pPr>
        <w:rPr>
          <w:rFonts w:hint="default"/>
        </w:rPr>
      </w:pPr>
    </w:p>
    <w:p>
      <w:pPr>
        <w:pStyle w:val="4"/>
        <w:rPr>
          <w:rFonts w:hint="default"/>
        </w:rPr>
      </w:pPr>
    </w:p>
    <w:p>
      <w:pPr>
        <w:rPr>
          <w:rFonts w:hint="default"/>
        </w:rPr>
      </w:pPr>
    </w:p>
    <w:p>
      <w:pPr>
        <w:pStyle w:val="4"/>
        <w:rPr>
          <w:rFonts w:hint="default"/>
        </w:rPr>
      </w:pPr>
    </w:p>
    <w:p>
      <w:pPr>
        <w:rPr>
          <w:rFonts w:hint="default"/>
        </w:rPr>
      </w:pPr>
    </w:p>
    <w:p>
      <w:pPr>
        <w:pStyle w:val="4"/>
        <w:rPr>
          <w:rFonts w:hint="default"/>
        </w:rPr>
      </w:pPr>
    </w:p>
    <w:p>
      <w:pPr>
        <w:rPr>
          <w:rFonts w:hint="default"/>
        </w:rPr>
      </w:pPr>
    </w:p>
    <w:p>
      <w:pPr>
        <w:pStyle w:val="4"/>
        <w:rPr>
          <w:rFonts w:hint="default"/>
        </w:rPr>
      </w:pPr>
    </w:p>
    <w:p>
      <w:pPr>
        <w:rPr>
          <w:rFonts w:hint="default"/>
        </w:rPr>
      </w:pPr>
    </w:p>
    <w:p>
      <w:pPr>
        <w:pStyle w:val="2"/>
        <w:rPr>
          <w:rFonts w:hint="default"/>
        </w:rPr>
      </w:pPr>
    </w:p>
    <w:p>
      <w:pPr>
        <w:rPr>
          <w:rFonts w:hint="eastAsia"/>
          <w:lang w:val="en-US" w:eastAsia="zh-CN"/>
        </w:rPr>
      </w:pPr>
    </w:p>
    <w:p>
      <w:pPr>
        <w:keepNext w:val="0"/>
        <w:keepLines w:val="0"/>
        <w:pageBreakBefore w:val="0"/>
        <w:widowControl/>
        <w:pBdr>
          <w:top w:val="single" w:color="auto" w:sz="4" w:space="0"/>
          <w:bottom w:val="single" w:color="auto" w:sz="4" w:space="0"/>
        </w:pBdr>
        <w:kinsoku/>
        <w:wordWrap/>
        <w:overflowPunct/>
        <w:topLinePunct w:val="0"/>
        <w:autoSpaceDE/>
        <w:autoSpaceDN/>
        <w:bidi w:val="0"/>
        <w:adjustRightInd w:val="0"/>
        <w:snapToGrid w:val="0"/>
        <w:spacing w:after="0" w:line="580" w:lineRule="exact"/>
        <w:jc w:val="center"/>
        <w:textAlignment w:val="auto"/>
        <w:rPr>
          <w:rFonts w:hint="default"/>
        </w:rPr>
      </w:pPr>
      <w:r>
        <w:rPr>
          <w:rFonts w:hint="default" w:ascii="Times New Roman" w:hAnsi="Times New Roman" w:eastAsia="仿宋_GB2312" w:cs="Times New Roman"/>
          <w:sz w:val="28"/>
          <w:szCs w:val="28"/>
          <w:lang w:val="en-US" w:eastAsia="zh-CN"/>
        </w:rPr>
        <w:t>中共濉溪县委办公室</w:t>
      </w:r>
      <w:r>
        <w:rPr>
          <w:rFonts w:hint="eastAsia"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lang w:val="en-US" w:eastAsia="zh-CN"/>
        </w:rPr>
        <w:t xml:space="preserve">           20</w:t>
      </w:r>
      <w:r>
        <w:rPr>
          <w:rFonts w:hint="eastAsia" w:ascii="Times New Roman" w:hAnsi="Times New Roman" w:eastAsia="仿宋_GB2312" w:cs="Times New Roman"/>
          <w:sz w:val="28"/>
          <w:szCs w:val="28"/>
          <w:lang w:val="en-US" w:eastAsia="zh-CN"/>
        </w:rPr>
        <w:t>22</w:t>
      </w:r>
      <w:r>
        <w:rPr>
          <w:rFonts w:hint="default" w:ascii="Times New Roman" w:hAnsi="Times New Roman" w:eastAsia="仿宋_GB2312" w:cs="Times New Roman"/>
          <w:sz w:val="28"/>
          <w:szCs w:val="28"/>
          <w:lang w:val="en-US" w:eastAsia="zh-CN"/>
        </w:rPr>
        <w:t>年5月</w:t>
      </w:r>
      <w:r>
        <w:rPr>
          <w:rFonts w:hint="eastAsia" w:ascii="Times New Roman" w:hAnsi="Times New Roman" w:eastAsia="仿宋_GB2312" w:cs="Times New Roman"/>
          <w:sz w:val="28"/>
          <w:szCs w:val="28"/>
          <w:lang w:val="en-US" w:eastAsia="zh-CN"/>
        </w:rPr>
        <w:t>9</w:t>
      </w:r>
      <w:r>
        <w:rPr>
          <w:rFonts w:hint="default" w:ascii="Times New Roman" w:hAnsi="Times New Roman" w:eastAsia="仿宋_GB2312" w:cs="Times New Roman"/>
          <w:sz w:val="28"/>
          <w:szCs w:val="28"/>
          <w:lang w:val="en-US" w:eastAsia="zh-CN"/>
        </w:rPr>
        <w:t>日印发</w:t>
      </w:r>
    </w:p>
    <w:sectPr>
      <w:pgSz w:w="11906" w:h="16838"/>
      <w:pgMar w:top="2098" w:right="1474" w:bottom="1984" w:left="1587" w:header="851" w:footer="1219"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Arial">
    <w:panose1 w:val="020B0604020202020204"/>
    <w:charset w:val="01"/>
    <w:family w:val="decorative"/>
    <w:pitch w:val="default"/>
    <w:sig w:usb0="E0002AFF" w:usb1="C0007843" w:usb2="00000009" w:usb3="00000000" w:csb0="400001FF" w:csb1="FFFF0000"/>
  </w:font>
  <w:font w:name="Courier New">
    <w:panose1 w:val="02070309020205020404"/>
    <w:charset w:val="01"/>
    <w:family w:val="swiss"/>
    <w:pitch w:val="default"/>
    <w:sig w:usb0="E0002A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Cambria">
    <w:panose1 w:val="02040503050406030204"/>
    <w:charset w:val="00"/>
    <w:family w:val="swiss"/>
    <w:pitch w:val="default"/>
    <w:sig w:usb0="E00002FF" w:usb1="400004FF" w:usb2="00000000" w:usb3="00000000" w:csb0="2000019F" w:csb1="00000000"/>
  </w:font>
  <w:font w:name="Calibri">
    <w:panose1 w:val="020F0502020204030204"/>
    <w:charset w:val="00"/>
    <w:family w:val="roman"/>
    <w:pitch w:val="default"/>
    <w:sig w:usb0="E00002FF" w:usb1="4000ACFF" w:usb2="00000001" w:usb3="00000000" w:csb0="2000019F" w:csb1="00000000"/>
  </w:font>
  <w:font w:name="Arial">
    <w:panose1 w:val="020B0604020202020204"/>
    <w:charset w:val="01"/>
    <w:family w:val="roman"/>
    <w:pitch w:val="default"/>
    <w:sig w:usb0="E0002AFF" w:usb1="C0007843" w:usb2="00000009" w:usb3="00000000" w:csb0="400001FF" w:csb1="FFFF0000"/>
  </w:font>
  <w:font w:name="Courier New">
    <w:panose1 w:val="02070309020205020404"/>
    <w:charset w:val="01"/>
    <w:family w:val="decorative"/>
    <w:pitch w:val="default"/>
    <w:sig w:usb0="E0002AFF" w:usb1="C0007843" w:usb2="00000009" w:usb3="00000000" w:csb0="400001FF" w:csb1="FFFF0000"/>
  </w:font>
  <w:font w:name="Symbol">
    <w:panose1 w:val="05050102010706020507"/>
    <w:charset w:val="02"/>
    <w:family w:val="swiss"/>
    <w:pitch w:val="default"/>
    <w:sig w:usb0="00000000" w:usb1="00000000" w:usb2="00000000" w:usb3="00000000" w:csb0="80000000" w:csb1="00000000"/>
  </w:font>
  <w:font w:name="Cambria">
    <w:panose1 w:val="02040503050406030204"/>
    <w:charset w:val="00"/>
    <w:family w:val="decorative"/>
    <w:pitch w:val="default"/>
    <w:sig w:usb0="E00002FF" w:usb1="400004FF" w:usb2="00000000" w:usb3="00000000" w:csb0="2000019F" w:csb1="00000000"/>
  </w:font>
  <w:font w:name="Calibri">
    <w:panose1 w:val="020F0502020204030204"/>
    <w:charset w:val="00"/>
    <w:family w:val="modern"/>
    <w:pitch w:val="default"/>
    <w:sig w:usb0="E00002FF" w:usb1="4000ACFF" w:usb2="00000001" w:usb3="00000000" w:csb0="2000019F" w:csb1="00000000"/>
  </w:font>
  <w:font w:name="Arial">
    <w:panose1 w:val="020B0604020202020204"/>
    <w:charset w:val="01"/>
    <w:family w:val="modern"/>
    <w:pitch w:val="default"/>
    <w:sig w:usb0="E0002AFF" w:usb1="C0007843" w:usb2="00000009" w:usb3="00000000" w:csb0="400001FF" w:csb1="FFFF0000"/>
  </w:font>
  <w:font w:name="Courier New">
    <w:panose1 w:val="02070309020205020404"/>
    <w:charset w:val="01"/>
    <w:family w:val="roman"/>
    <w:pitch w:val="default"/>
    <w:sig w:usb0="E0002AFF" w:usb1="C0007843" w:usb2="00000009" w:usb3="00000000" w:csb0="400001FF" w:csb1="FFFF0000"/>
  </w:font>
  <w:font w:name="Symbol">
    <w:panose1 w:val="05050102010706020507"/>
    <w:charset w:val="02"/>
    <w:family w:val="decorative"/>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modern"/>
    <w:pitch w:val="default"/>
    <w:sig w:usb0="E00002FF" w:usb1="400004FF" w:usb2="00000000" w:usb3="00000000" w:csb0="2000019F" w:csb1="00000000"/>
  </w:font>
  <w:font w:name="Calibri">
    <w:panose1 w:val="020F0502020204030204"/>
    <w:charset w:val="00"/>
    <w:family w:val="decorative"/>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楷体_GB2312">
    <w:panose1 w:val="02010609030101010101"/>
    <w:charset w:val="86"/>
    <w:family w:val="decorative"/>
    <w:pitch w:val="default"/>
    <w:sig w:usb0="00000001" w:usb1="080E0000" w:usb2="00000000" w:usb3="00000000" w:csb0="00040000" w:csb1="00000000"/>
  </w:font>
  <w:font w:name="楷体_GB2312">
    <w:panose1 w:val="02010609030101010101"/>
    <w:charset w:val="86"/>
    <w:family w:val="roman"/>
    <w:pitch w:val="default"/>
    <w:sig w:usb0="00000001" w:usb1="080E0000" w:usb2="00000000" w:usb3="00000000" w:csb0="00040000" w:csb1="00000000"/>
  </w:font>
  <w:font w:name="Calibri Light">
    <w:panose1 w:val="020F0302020204030204"/>
    <w:charset w:val="00"/>
    <w:family w:val="auto"/>
    <w:pitch w:val="default"/>
    <w:sig w:usb0="A00002EF" w:usb1="4000207B" w:usb2="00000000" w:usb3="00000000" w:csb0="2000019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新宋体">
    <w:panose1 w:val="02010609030101010101"/>
    <w:charset w:val="86"/>
    <w:family w:val="auto"/>
    <w:pitch w:val="default"/>
    <w:sig w:usb0="00000003" w:usb1="288F0000" w:usb2="00000006" w:usb3="00000000" w:csb0="00040001" w:csb1="00000000"/>
  </w:font>
  <w:font w:name="微软雅黑 Light">
    <w:panose1 w:val="020B0502040204020203"/>
    <w:charset w:val="86"/>
    <w:family w:val="auto"/>
    <w:pitch w:val="default"/>
    <w:sig w:usb0="80000287" w:usb1="2ACF0010" w:usb2="00000016" w:usb3="00000000" w:csb0="0004001F" w:csb1="00000000"/>
  </w:font>
  <w:font w:name="Batang">
    <w:panose1 w:val="02030600000101010101"/>
    <w:charset w:val="81"/>
    <w:family w:val="auto"/>
    <w:pitch w:val="default"/>
    <w:sig w:usb0="B00002AF" w:usb1="69D77CFB" w:usb2="00000030" w:usb3="00000000" w:csb0="4008009F" w:csb1="DFD70000"/>
  </w:font>
  <w:font w:name="BatangChe">
    <w:panose1 w:val="02030609000101010101"/>
    <w:charset w:val="81"/>
    <w:family w:val="auto"/>
    <w:pitch w:val="default"/>
    <w:sig w:usb0="B00002AF" w:usb1="69D77CFB" w:usb2="00000030" w:usb3="00000000" w:csb0="4008009F" w:csb1="DFD70000"/>
  </w:font>
  <w:font w:name="DFKai-SB">
    <w:panose1 w:val="03000509000000000000"/>
    <w:charset w:val="88"/>
    <w:family w:val="auto"/>
    <w:pitch w:val="default"/>
    <w:sig w:usb0="00000003" w:usb1="082E0000" w:usb2="00000016" w:usb3="00000000" w:csb0="00100001" w:csb1="00000000"/>
  </w:font>
  <w:font w:name="Dotum">
    <w:panose1 w:val="020B0600000101010101"/>
    <w:charset w:val="81"/>
    <w:family w:val="auto"/>
    <w:pitch w:val="default"/>
    <w:sig w:usb0="B00002AF" w:usb1="69D77CFB" w:usb2="00000030" w:usb3="00000000" w:csb0="4008009F" w:csb1="DFD70000"/>
  </w:font>
  <w:font w:name="DotumChe">
    <w:panose1 w:val="020B0609000101010101"/>
    <w:charset w:val="81"/>
    <w:family w:val="auto"/>
    <w:pitch w:val="default"/>
    <w:sig w:usb0="B00002AF" w:usb1="69D77CFB" w:usb2="00000030" w:usb3="00000000" w:csb0="4008009F" w:csb1="DFD70000"/>
  </w:font>
  <w:font w:name="楷体_GB2312">
    <w:panose1 w:val="02010609030101010101"/>
    <w:charset w:val="86"/>
    <w:family w:val="modern"/>
    <w:pitch w:val="default"/>
    <w:sig w:usb0="00000001" w:usb1="080E0000" w:usb2="00000000" w:usb3="00000000" w:csb0="00040000" w:csb1="00000000"/>
  </w:font>
  <w:font w:name="楷体_GB2312">
    <w:panose1 w:val="02010609030101010101"/>
    <w:charset w:val="86"/>
    <w:family w:val="swiss"/>
    <w:pitch w:val="default"/>
    <w:sig w:usb0="00000001" w:usb1="080E0000" w:usb2="00000000" w:usb3="00000000" w:csb0="00040000" w:csb1="00000000"/>
  </w:font>
  <w:font w:name="E-BZ">
    <w:altName w:val="Times New Roman"/>
    <w:panose1 w:val="00000000000000000000"/>
    <w:charset w:val="00"/>
    <w:family w:val="modern"/>
    <w:pitch w:val="default"/>
    <w:sig w:usb0="00000000" w:usb1="00000000" w:usb2="00000000" w:usb3="00000000" w:csb0="00000000" w:csb1="00000000"/>
  </w:font>
  <w:font w:name="FZFSK--GBK1-0">
    <w:altName w:val="Times New Roman"/>
    <w:panose1 w:val="00000000000000000000"/>
    <w:charset w:val="00"/>
    <w:family w:val="modern"/>
    <w:pitch w:val="default"/>
    <w:sig w:usb0="00000000" w:usb1="00000000" w:usb2="00000000" w:usb3="00000000" w:csb0="00000000" w:csb1="00000000"/>
  </w:font>
  <w:font w:name="E-BX">
    <w:altName w:val="Times New Roman"/>
    <w:panose1 w:val="00000000000000000000"/>
    <w:charset w:val="00"/>
    <w:family w:val="modern"/>
    <w:pitch w:val="default"/>
    <w:sig w:usb0="00000000" w:usb1="00000000" w:usb2="00000000" w:usb3="00000000" w:csb0="00000000" w:csb1="00000000"/>
  </w:font>
  <w:font w:name="仿宋_GB2312">
    <w:panose1 w:val="02010609030101010101"/>
    <w:charset w:val="86"/>
    <w:family w:val="swiss"/>
    <w:pitch w:val="default"/>
    <w:sig w:usb0="00000001" w:usb1="080E0000" w:usb2="00000000" w:usb3="00000000" w:csb0="00040000" w:csb1="00000000"/>
  </w:font>
  <w:font w:name="PMingLiU">
    <w:panose1 w:val="02020500000000000000"/>
    <w:charset w:val="88"/>
    <w:family w:val="auto"/>
    <w:pitch w:val="default"/>
    <w:sig w:usb0="A00002FF" w:usb1="28CFFCFA" w:usb2="00000016" w:usb3="00000000" w:csb0="00100001" w:csb1="00000000"/>
  </w:font>
  <w:font w:name="现代化">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11"/>
      <w:jc w:val="center"/>
    </w:pPr>
  </w:p>
  <w:p>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11"/>
      <w:jc w:val="center"/>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2</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R1yZaEwIAABMEAAAOAAAAAAAAAAEA&#10;IAAAAB8BAABkcnMvZTJvRG9jLnhtbFBLBQYAAAAABgAGAFkBAACkBQAAAAA=&#10;">
              <v:fill on="f" focussize="0,0"/>
              <v:stroke on="f" weight="0.5pt"/>
              <v:imagedata o:title=""/>
              <o:lock v:ext="edit" aspectratio="f"/>
              <v:textbox inset="0mm,0mm,0mm,0mm" style="mso-fit-shape-to-text:t;">
                <w:txbxContent>
                  <w:p>
                    <w:pPr>
                      <w:pStyle w:val="11"/>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2</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p>
                </w:txbxContent>
              </v:textbox>
            </v:shape>
          </w:pict>
        </mc:Fallback>
      </mc:AlternateContent>
    </w:r>
  </w:p>
  <w:p>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11"/>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995956541">
    <w:nsid w:val="3B5D173D"/>
    <w:multiLevelType w:val="multilevel"/>
    <w:tmpl w:val="3B5D173D"/>
    <w:lvl w:ilvl="0" w:tentative="1">
      <w:start w:val="1"/>
      <w:numFmt w:val="bullet"/>
      <w:lvlText w:val=""/>
      <w:lvlJc w:val="left"/>
      <w:pPr>
        <w:ind w:left="420" w:hanging="420"/>
      </w:pPr>
      <w:rPr>
        <w:rFonts w:hint="default" w:ascii="Wingdings" w:hAnsi="Wingdings"/>
      </w:rPr>
    </w:lvl>
    <w:lvl w:ilvl="1" w:tentative="1">
      <w:start w:val="1"/>
      <w:numFmt w:val="bullet"/>
      <w:lvlText w:val=""/>
      <w:lvlJc w:val="left"/>
      <w:pPr>
        <w:ind w:left="840" w:hanging="420"/>
      </w:pPr>
      <w:rPr>
        <w:rFonts w:hint="default" w:ascii="Wingdings" w:hAnsi="Wingdings"/>
      </w:rPr>
    </w:lvl>
    <w:lvl w:ilvl="2" w:tentative="1">
      <w:start w:val="1"/>
      <w:numFmt w:val="bullet"/>
      <w:lvlText w:val=""/>
      <w:lvlJc w:val="left"/>
      <w:pPr>
        <w:ind w:left="1260" w:hanging="420"/>
      </w:pPr>
      <w:rPr>
        <w:rFonts w:hint="default" w:ascii="Wingdings" w:hAnsi="Wingdings"/>
      </w:rPr>
    </w:lvl>
    <w:lvl w:ilvl="3" w:tentative="1">
      <w:start w:val="1"/>
      <w:numFmt w:val="bullet"/>
      <w:lvlText w:val=""/>
      <w:lvlJc w:val="left"/>
      <w:pPr>
        <w:ind w:left="1680" w:hanging="420"/>
      </w:pPr>
      <w:rPr>
        <w:rFonts w:hint="default" w:ascii="Wingdings" w:hAnsi="Wingdings"/>
      </w:rPr>
    </w:lvl>
    <w:lvl w:ilvl="4" w:tentative="1">
      <w:start w:val="1"/>
      <w:numFmt w:val="bullet"/>
      <w:lvlText w:val=""/>
      <w:lvlJc w:val="left"/>
      <w:pPr>
        <w:ind w:left="2100" w:hanging="420"/>
      </w:pPr>
      <w:rPr>
        <w:rFonts w:hint="default" w:ascii="Wingdings" w:hAnsi="Wingdings"/>
      </w:rPr>
    </w:lvl>
    <w:lvl w:ilvl="5" w:tentative="1">
      <w:start w:val="1"/>
      <w:numFmt w:val="bullet"/>
      <w:lvlText w:val=""/>
      <w:lvlJc w:val="left"/>
      <w:pPr>
        <w:ind w:left="2520" w:hanging="420"/>
      </w:pPr>
      <w:rPr>
        <w:rFonts w:hint="default" w:ascii="Wingdings" w:hAnsi="Wingdings"/>
      </w:rPr>
    </w:lvl>
    <w:lvl w:ilvl="6" w:tentative="1">
      <w:start w:val="1"/>
      <w:numFmt w:val="bullet"/>
      <w:lvlText w:val=""/>
      <w:lvlJc w:val="left"/>
      <w:pPr>
        <w:ind w:left="2940" w:hanging="420"/>
      </w:pPr>
      <w:rPr>
        <w:rFonts w:hint="default" w:ascii="Wingdings" w:hAnsi="Wingdings"/>
      </w:rPr>
    </w:lvl>
    <w:lvl w:ilvl="7" w:tentative="1">
      <w:start w:val="1"/>
      <w:numFmt w:val="bullet"/>
      <w:lvlText w:val=""/>
      <w:lvlJc w:val="left"/>
      <w:pPr>
        <w:ind w:left="3360" w:hanging="420"/>
      </w:pPr>
      <w:rPr>
        <w:rFonts w:hint="default" w:ascii="Wingdings" w:hAnsi="Wingdings"/>
      </w:rPr>
    </w:lvl>
    <w:lvl w:ilvl="8" w:tentative="1">
      <w:start w:val="1"/>
      <w:numFmt w:val="bullet"/>
      <w:lvlText w:val=""/>
      <w:lvlJc w:val="left"/>
      <w:pPr>
        <w:ind w:left="3780" w:hanging="420"/>
      </w:pPr>
      <w:rPr>
        <w:rFonts w:hint="default" w:ascii="Wingdings" w:hAnsi="Wingdings"/>
      </w:rPr>
    </w:lvl>
  </w:abstractNum>
  <w:abstractNum w:abstractNumId="3721204258">
    <w:nsid w:val="DDCD1222"/>
    <w:multiLevelType w:val="singleLevel"/>
    <w:tmpl w:val="DDCD1222"/>
    <w:lvl w:ilvl="0" w:tentative="1">
      <w:start w:val="1"/>
      <w:numFmt w:val="bullet"/>
      <w:lvlText w:val=""/>
      <w:lvlJc w:val="left"/>
      <w:pPr>
        <w:ind w:left="420" w:hanging="420"/>
      </w:pPr>
      <w:rPr>
        <w:rFonts w:hint="default" w:ascii="Wingdings" w:hAnsi="Wingdings"/>
      </w:rPr>
    </w:lvl>
  </w:abstractNum>
  <w:num w:numId="1">
    <w:abstractNumId w:val="3721204258"/>
  </w:num>
  <w:num w:numId="2">
    <w:abstractNumId w:val="9959565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cumentProtection w:enforcement="0"/>
  <w:defaultTabStop w:val="420"/>
  <w:drawingGridVerticalSpacing w:val="156"/>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NjYTljMjdhYTBiZDQxMzc3YWMzODlmM2VlOWYyMDgifQ=="/>
  </w:docVars>
  <w:rsids>
    <w:rsidRoot w:val="004B3528"/>
    <w:rsid w:val="00000CC9"/>
    <w:rsid w:val="00002F69"/>
    <w:rsid w:val="0000586D"/>
    <w:rsid w:val="000104B9"/>
    <w:rsid w:val="000149A1"/>
    <w:rsid w:val="00015155"/>
    <w:rsid w:val="000201F6"/>
    <w:rsid w:val="00020A8A"/>
    <w:rsid w:val="0002771B"/>
    <w:rsid w:val="00030258"/>
    <w:rsid w:val="00031E3A"/>
    <w:rsid w:val="000325CF"/>
    <w:rsid w:val="00036F04"/>
    <w:rsid w:val="0004202F"/>
    <w:rsid w:val="00043F8B"/>
    <w:rsid w:val="00045D3E"/>
    <w:rsid w:val="00045FFD"/>
    <w:rsid w:val="00046A92"/>
    <w:rsid w:val="0005018E"/>
    <w:rsid w:val="0005253C"/>
    <w:rsid w:val="00052833"/>
    <w:rsid w:val="0005495B"/>
    <w:rsid w:val="00054DD5"/>
    <w:rsid w:val="000555C8"/>
    <w:rsid w:val="00056B69"/>
    <w:rsid w:val="0005731F"/>
    <w:rsid w:val="00060DCD"/>
    <w:rsid w:val="00062CDC"/>
    <w:rsid w:val="00063BF3"/>
    <w:rsid w:val="00067A5F"/>
    <w:rsid w:val="00070AE1"/>
    <w:rsid w:val="000749AB"/>
    <w:rsid w:val="00076418"/>
    <w:rsid w:val="00077C3C"/>
    <w:rsid w:val="000949A1"/>
    <w:rsid w:val="000956AD"/>
    <w:rsid w:val="00095963"/>
    <w:rsid w:val="00096C50"/>
    <w:rsid w:val="000A3FA8"/>
    <w:rsid w:val="000A6AAD"/>
    <w:rsid w:val="000A713F"/>
    <w:rsid w:val="000A76FA"/>
    <w:rsid w:val="000A78F0"/>
    <w:rsid w:val="000B2540"/>
    <w:rsid w:val="000B44D3"/>
    <w:rsid w:val="000B5254"/>
    <w:rsid w:val="000B56E6"/>
    <w:rsid w:val="000C00AA"/>
    <w:rsid w:val="000C0542"/>
    <w:rsid w:val="000C075B"/>
    <w:rsid w:val="000C5AE4"/>
    <w:rsid w:val="000E1DA8"/>
    <w:rsid w:val="000E3033"/>
    <w:rsid w:val="000E53BD"/>
    <w:rsid w:val="000E56B9"/>
    <w:rsid w:val="000E60A1"/>
    <w:rsid w:val="000F1E34"/>
    <w:rsid w:val="00103068"/>
    <w:rsid w:val="00110612"/>
    <w:rsid w:val="001106BC"/>
    <w:rsid w:val="00110D3D"/>
    <w:rsid w:val="0011354B"/>
    <w:rsid w:val="00114999"/>
    <w:rsid w:val="0011583C"/>
    <w:rsid w:val="00116BB2"/>
    <w:rsid w:val="00121C09"/>
    <w:rsid w:val="0012216B"/>
    <w:rsid w:val="00125825"/>
    <w:rsid w:val="001316AA"/>
    <w:rsid w:val="00134020"/>
    <w:rsid w:val="001354BA"/>
    <w:rsid w:val="0013654B"/>
    <w:rsid w:val="00140DB0"/>
    <w:rsid w:val="001438B1"/>
    <w:rsid w:val="00145284"/>
    <w:rsid w:val="00151A78"/>
    <w:rsid w:val="00156398"/>
    <w:rsid w:val="00157BCA"/>
    <w:rsid w:val="00157D2E"/>
    <w:rsid w:val="0016141F"/>
    <w:rsid w:val="00165735"/>
    <w:rsid w:val="0016625D"/>
    <w:rsid w:val="001713B9"/>
    <w:rsid w:val="00177308"/>
    <w:rsid w:val="001836D8"/>
    <w:rsid w:val="00192F1A"/>
    <w:rsid w:val="001949AF"/>
    <w:rsid w:val="001951A7"/>
    <w:rsid w:val="001A087D"/>
    <w:rsid w:val="001A5AB6"/>
    <w:rsid w:val="001A6E7A"/>
    <w:rsid w:val="001B697F"/>
    <w:rsid w:val="001B736D"/>
    <w:rsid w:val="001B7422"/>
    <w:rsid w:val="001C0179"/>
    <w:rsid w:val="001C1453"/>
    <w:rsid w:val="001C2398"/>
    <w:rsid w:val="001C4124"/>
    <w:rsid w:val="001C5014"/>
    <w:rsid w:val="001C58A5"/>
    <w:rsid w:val="001C6D35"/>
    <w:rsid w:val="001D24DB"/>
    <w:rsid w:val="001D5FDE"/>
    <w:rsid w:val="001E0E0E"/>
    <w:rsid w:val="001E42D1"/>
    <w:rsid w:val="001E44E9"/>
    <w:rsid w:val="001E4F5E"/>
    <w:rsid w:val="001E6BEC"/>
    <w:rsid w:val="001E71E6"/>
    <w:rsid w:val="001F54FA"/>
    <w:rsid w:val="001F70AD"/>
    <w:rsid w:val="001F78AD"/>
    <w:rsid w:val="00203AC8"/>
    <w:rsid w:val="0020723A"/>
    <w:rsid w:val="002163F5"/>
    <w:rsid w:val="002215DD"/>
    <w:rsid w:val="00224C35"/>
    <w:rsid w:val="00232FEA"/>
    <w:rsid w:val="00237C0A"/>
    <w:rsid w:val="0024027E"/>
    <w:rsid w:val="00244675"/>
    <w:rsid w:val="002460AA"/>
    <w:rsid w:val="0024661C"/>
    <w:rsid w:val="0024665A"/>
    <w:rsid w:val="00252BFF"/>
    <w:rsid w:val="00252C8D"/>
    <w:rsid w:val="0025338E"/>
    <w:rsid w:val="00254D07"/>
    <w:rsid w:val="0026094B"/>
    <w:rsid w:val="0026130D"/>
    <w:rsid w:val="002631B7"/>
    <w:rsid w:val="00265B90"/>
    <w:rsid w:val="00271BEA"/>
    <w:rsid w:val="00275101"/>
    <w:rsid w:val="0029102B"/>
    <w:rsid w:val="00294C44"/>
    <w:rsid w:val="00296D12"/>
    <w:rsid w:val="002A07C4"/>
    <w:rsid w:val="002B5416"/>
    <w:rsid w:val="002C07EF"/>
    <w:rsid w:val="002C2021"/>
    <w:rsid w:val="002C2084"/>
    <w:rsid w:val="002D34B1"/>
    <w:rsid w:val="002D6854"/>
    <w:rsid w:val="002E5A37"/>
    <w:rsid w:val="002F0D10"/>
    <w:rsid w:val="002F1E62"/>
    <w:rsid w:val="002F34ED"/>
    <w:rsid w:val="002F4815"/>
    <w:rsid w:val="00300E7C"/>
    <w:rsid w:val="003029CB"/>
    <w:rsid w:val="00302CCE"/>
    <w:rsid w:val="003053B5"/>
    <w:rsid w:val="00311A4B"/>
    <w:rsid w:val="00311A5F"/>
    <w:rsid w:val="00312BBA"/>
    <w:rsid w:val="0031677F"/>
    <w:rsid w:val="00317212"/>
    <w:rsid w:val="00321B3D"/>
    <w:rsid w:val="0032201C"/>
    <w:rsid w:val="0032293D"/>
    <w:rsid w:val="003252CD"/>
    <w:rsid w:val="003277A4"/>
    <w:rsid w:val="0032799F"/>
    <w:rsid w:val="00331A7F"/>
    <w:rsid w:val="003322BD"/>
    <w:rsid w:val="00332665"/>
    <w:rsid w:val="00333B23"/>
    <w:rsid w:val="00336CFD"/>
    <w:rsid w:val="0034734D"/>
    <w:rsid w:val="00350B92"/>
    <w:rsid w:val="00350C6E"/>
    <w:rsid w:val="003546D4"/>
    <w:rsid w:val="00354921"/>
    <w:rsid w:val="00357D75"/>
    <w:rsid w:val="003600D0"/>
    <w:rsid w:val="00363D89"/>
    <w:rsid w:val="00380A6D"/>
    <w:rsid w:val="003909CE"/>
    <w:rsid w:val="00390D0C"/>
    <w:rsid w:val="003910DC"/>
    <w:rsid w:val="00392D42"/>
    <w:rsid w:val="003931FF"/>
    <w:rsid w:val="0039458A"/>
    <w:rsid w:val="0039558E"/>
    <w:rsid w:val="00396BD8"/>
    <w:rsid w:val="003979EC"/>
    <w:rsid w:val="003A00D2"/>
    <w:rsid w:val="003A0DDE"/>
    <w:rsid w:val="003A1AF8"/>
    <w:rsid w:val="003A62C3"/>
    <w:rsid w:val="003B0B18"/>
    <w:rsid w:val="003B74FE"/>
    <w:rsid w:val="003B7BAC"/>
    <w:rsid w:val="003C46E8"/>
    <w:rsid w:val="003C6A2D"/>
    <w:rsid w:val="003D2C13"/>
    <w:rsid w:val="003D4DB6"/>
    <w:rsid w:val="003D5A9C"/>
    <w:rsid w:val="003E6113"/>
    <w:rsid w:val="003F1C16"/>
    <w:rsid w:val="003F1CF2"/>
    <w:rsid w:val="003F422F"/>
    <w:rsid w:val="0040590E"/>
    <w:rsid w:val="004062E2"/>
    <w:rsid w:val="00407988"/>
    <w:rsid w:val="004116F0"/>
    <w:rsid w:val="004179C4"/>
    <w:rsid w:val="00417B3C"/>
    <w:rsid w:val="0042199A"/>
    <w:rsid w:val="00425000"/>
    <w:rsid w:val="004266AB"/>
    <w:rsid w:val="00427634"/>
    <w:rsid w:val="00432AEE"/>
    <w:rsid w:val="0043379B"/>
    <w:rsid w:val="00435429"/>
    <w:rsid w:val="00444387"/>
    <w:rsid w:val="004457D3"/>
    <w:rsid w:val="00451AA6"/>
    <w:rsid w:val="00452B7C"/>
    <w:rsid w:val="0045390A"/>
    <w:rsid w:val="0046139F"/>
    <w:rsid w:val="00462D04"/>
    <w:rsid w:val="00462F55"/>
    <w:rsid w:val="004638BF"/>
    <w:rsid w:val="00465810"/>
    <w:rsid w:val="0046631A"/>
    <w:rsid w:val="00466D88"/>
    <w:rsid w:val="00485ADB"/>
    <w:rsid w:val="00485F35"/>
    <w:rsid w:val="00486DBC"/>
    <w:rsid w:val="004B3528"/>
    <w:rsid w:val="004B4D9D"/>
    <w:rsid w:val="004B57D0"/>
    <w:rsid w:val="004C25D9"/>
    <w:rsid w:val="004C263A"/>
    <w:rsid w:val="004C349B"/>
    <w:rsid w:val="004C3CEA"/>
    <w:rsid w:val="004C65B9"/>
    <w:rsid w:val="004C6985"/>
    <w:rsid w:val="004D45E4"/>
    <w:rsid w:val="004E1D96"/>
    <w:rsid w:val="004E6711"/>
    <w:rsid w:val="004E69FD"/>
    <w:rsid w:val="004F39DD"/>
    <w:rsid w:val="004F70C1"/>
    <w:rsid w:val="00504000"/>
    <w:rsid w:val="00506A25"/>
    <w:rsid w:val="00506F04"/>
    <w:rsid w:val="0051247F"/>
    <w:rsid w:val="00516590"/>
    <w:rsid w:val="0052019E"/>
    <w:rsid w:val="00522A20"/>
    <w:rsid w:val="00524FB9"/>
    <w:rsid w:val="005258DF"/>
    <w:rsid w:val="00534A6B"/>
    <w:rsid w:val="00534BBF"/>
    <w:rsid w:val="00535B0F"/>
    <w:rsid w:val="0053640B"/>
    <w:rsid w:val="00537D30"/>
    <w:rsid w:val="0054328E"/>
    <w:rsid w:val="00543B97"/>
    <w:rsid w:val="005443C7"/>
    <w:rsid w:val="00545D00"/>
    <w:rsid w:val="0054637A"/>
    <w:rsid w:val="005528FC"/>
    <w:rsid w:val="005612FE"/>
    <w:rsid w:val="00563993"/>
    <w:rsid w:val="005649A7"/>
    <w:rsid w:val="00565EEB"/>
    <w:rsid w:val="005671F8"/>
    <w:rsid w:val="00581E9D"/>
    <w:rsid w:val="00581ECF"/>
    <w:rsid w:val="005821C5"/>
    <w:rsid w:val="0058250B"/>
    <w:rsid w:val="005838DE"/>
    <w:rsid w:val="0058428D"/>
    <w:rsid w:val="00584530"/>
    <w:rsid w:val="00591637"/>
    <w:rsid w:val="00592344"/>
    <w:rsid w:val="0059643D"/>
    <w:rsid w:val="00597223"/>
    <w:rsid w:val="005A044A"/>
    <w:rsid w:val="005A0776"/>
    <w:rsid w:val="005A2BCD"/>
    <w:rsid w:val="005A5B09"/>
    <w:rsid w:val="005B0280"/>
    <w:rsid w:val="005B4439"/>
    <w:rsid w:val="005B47BE"/>
    <w:rsid w:val="005B6C42"/>
    <w:rsid w:val="005C148A"/>
    <w:rsid w:val="005C2CE0"/>
    <w:rsid w:val="005C4A1D"/>
    <w:rsid w:val="005D1C0E"/>
    <w:rsid w:val="005D209E"/>
    <w:rsid w:val="005D21C4"/>
    <w:rsid w:val="005D3A03"/>
    <w:rsid w:val="005D45DF"/>
    <w:rsid w:val="005D6B22"/>
    <w:rsid w:val="005D78B7"/>
    <w:rsid w:val="005E4BC0"/>
    <w:rsid w:val="005E79A7"/>
    <w:rsid w:val="005F1A34"/>
    <w:rsid w:val="005F1CB3"/>
    <w:rsid w:val="005F4072"/>
    <w:rsid w:val="005F5DC7"/>
    <w:rsid w:val="005F6273"/>
    <w:rsid w:val="00600A18"/>
    <w:rsid w:val="00600A76"/>
    <w:rsid w:val="00606457"/>
    <w:rsid w:val="00613230"/>
    <w:rsid w:val="0061386B"/>
    <w:rsid w:val="00622AEB"/>
    <w:rsid w:val="00626EEC"/>
    <w:rsid w:val="00630695"/>
    <w:rsid w:val="00633BC1"/>
    <w:rsid w:val="00634539"/>
    <w:rsid w:val="00635BDB"/>
    <w:rsid w:val="0063655D"/>
    <w:rsid w:val="006370EC"/>
    <w:rsid w:val="00641A5A"/>
    <w:rsid w:val="0065178D"/>
    <w:rsid w:val="00654E38"/>
    <w:rsid w:val="00657865"/>
    <w:rsid w:val="00660292"/>
    <w:rsid w:val="006602B5"/>
    <w:rsid w:val="00663B55"/>
    <w:rsid w:val="0066597E"/>
    <w:rsid w:val="006677D5"/>
    <w:rsid w:val="00677022"/>
    <w:rsid w:val="006801C7"/>
    <w:rsid w:val="00683E2E"/>
    <w:rsid w:val="00684E3F"/>
    <w:rsid w:val="00685978"/>
    <w:rsid w:val="00686C72"/>
    <w:rsid w:val="006874FE"/>
    <w:rsid w:val="006878C5"/>
    <w:rsid w:val="0068793D"/>
    <w:rsid w:val="00687D67"/>
    <w:rsid w:val="0069208F"/>
    <w:rsid w:val="006A4D55"/>
    <w:rsid w:val="006A71E5"/>
    <w:rsid w:val="006B0539"/>
    <w:rsid w:val="006B31C7"/>
    <w:rsid w:val="006B5F19"/>
    <w:rsid w:val="006C0032"/>
    <w:rsid w:val="006C6225"/>
    <w:rsid w:val="006C6E47"/>
    <w:rsid w:val="006D2738"/>
    <w:rsid w:val="006D302B"/>
    <w:rsid w:val="006D68E1"/>
    <w:rsid w:val="006E3EE8"/>
    <w:rsid w:val="006E41A0"/>
    <w:rsid w:val="006E7389"/>
    <w:rsid w:val="006F0D51"/>
    <w:rsid w:val="006F1620"/>
    <w:rsid w:val="006F1B29"/>
    <w:rsid w:val="006F40E5"/>
    <w:rsid w:val="006F525D"/>
    <w:rsid w:val="00700698"/>
    <w:rsid w:val="00706D9F"/>
    <w:rsid w:val="00714EF9"/>
    <w:rsid w:val="00716173"/>
    <w:rsid w:val="00716B09"/>
    <w:rsid w:val="00720324"/>
    <w:rsid w:val="00721A89"/>
    <w:rsid w:val="00725318"/>
    <w:rsid w:val="0073237B"/>
    <w:rsid w:val="00733E6D"/>
    <w:rsid w:val="00736D1B"/>
    <w:rsid w:val="007371D9"/>
    <w:rsid w:val="00741C9F"/>
    <w:rsid w:val="007420F5"/>
    <w:rsid w:val="00751D5D"/>
    <w:rsid w:val="00753FAD"/>
    <w:rsid w:val="007569FB"/>
    <w:rsid w:val="0076020E"/>
    <w:rsid w:val="00760241"/>
    <w:rsid w:val="00762E52"/>
    <w:rsid w:val="007756C4"/>
    <w:rsid w:val="00776EFC"/>
    <w:rsid w:val="007803E8"/>
    <w:rsid w:val="00783446"/>
    <w:rsid w:val="007A0E2F"/>
    <w:rsid w:val="007A36BD"/>
    <w:rsid w:val="007A37B0"/>
    <w:rsid w:val="007A4D05"/>
    <w:rsid w:val="007A77EF"/>
    <w:rsid w:val="007B0C91"/>
    <w:rsid w:val="007B1A31"/>
    <w:rsid w:val="007B4025"/>
    <w:rsid w:val="007B53BA"/>
    <w:rsid w:val="007C2592"/>
    <w:rsid w:val="007C786E"/>
    <w:rsid w:val="007D104E"/>
    <w:rsid w:val="007D1342"/>
    <w:rsid w:val="007D551C"/>
    <w:rsid w:val="007E0894"/>
    <w:rsid w:val="007E193B"/>
    <w:rsid w:val="007E2A8C"/>
    <w:rsid w:val="007E5A84"/>
    <w:rsid w:val="007E7E9D"/>
    <w:rsid w:val="007F51BF"/>
    <w:rsid w:val="007F57E5"/>
    <w:rsid w:val="007F585C"/>
    <w:rsid w:val="007F5B33"/>
    <w:rsid w:val="007F6B65"/>
    <w:rsid w:val="008010CD"/>
    <w:rsid w:val="00806B1F"/>
    <w:rsid w:val="00814653"/>
    <w:rsid w:val="008156F5"/>
    <w:rsid w:val="00816435"/>
    <w:rsid w:val="008231E5"/>
    <w:rsid w:val="00823A89"/>
    <w:rsid w:val="008244F0"/>
    <w:rsid w:val="00835670"/>
    <w:rsid w:val="00840B66"/>
    <w:rsid w:val="0085319E"/>
    <w:rsid w:val="00856A23"/>
    <w:rsid w:val="00857B72"/>
    <w:rsid w:val="00862837"/>
    <w:rsid w:val="008646EA"/>
    <w:rsid w:val="00872697"/>
    <w:rsid w:val="0087367F"/>
    <w:rsid w:val="00873CAD"/>
    <w:rsid w:val="00874192"/>
    <w:rsid w:val="00875434"/>
    <w:rsid w:val="00877500"/>
    <w:rsid w:val="008779B8"/>
    <w:rsid w:val="00883659"/>
    <w:rsid w:val="00883981"/>
    <w:rsid w:val="00883F69"/>
    <w:rsid w:val="008876EA"/>
    <w:rsid w:val="00895402"/>
    <w:rsid w:val="008A0C98"/>
    <w:rsid w:val="008A1218"/>
    <w:rsid w:val="008A2C05"/>
    <w:rsid w:val="008A44EB"/>
    <w:rsid w:val="008B146B"/>
    <w:rsid w:val="008B274A"/>
    <w:rsid w:val="008B588F"/>
    <w:rsid w:val="008B6671"/>
    <w:rsid w:val="008C0401"/>
    <w:rsid w:val="008C32E4"/>
    <w:rsid w:val="008C447E"/>
    <w:rsid w:val="008C5E83"/>
    <w:rsid w:val="008D0E17"/>
    <w:rsid w:val="008D2952"/>
    <w:rsid w:val="008D357E"/>
    <w:rsid w:val="008D3E02"/>
    <w:rsid w:val="008E1260"/>
    <w:rsid w:val="008E2A78"/>
    <w:rsid w:val="008E5797"/>
    <w:rsid w:val="008F07F4"/>
    <w:rsid w:val="008F567C"/>
    <w:rsid w:val="008F5AAF"/>
    <w:rsid w:val="008F76AD"/>
    <w:rsid w:val="009047EE"/>
    <w:rsid w:val="009054B6"/>
    <w:rsid w:val="00911234"/>
    <w:rsid w:val="00911F1E"/>
    <w:rsid w:val="00912746"/>
    <w:rsid w:val="00916AC8"/>
    <w:rsid w:val="00920E0E"/>
    <w:rsid w:val="00923622"/>
    <w:rsid w:val="00924300"/>
    <w:rsid w:val="009302E5"/>
    <w:rsid w:val="00930B9D"/>
    <w:rsid w:val="00942A3D"/>
    <w:rsid w:val="009443EA"/>
    <w:rsid w:val="009452EB"/>
    <w:rsid w:val="00946C26"/>
    <w:rsid w:val="0095291D"/>
    <w:rsid w:val="009538BB"/>
    <w:rsid w:val="00955F74"/>
    <w:rsid w:val="0096258D"/>
    <w:rsid w:val="00966AD9"/>
    <w:rsid w:val="00966EA2"/>
    <w:rsid w:val="00970273"/>
    <w:rsid w:val="00971FE8"/>
    <w:rsid w:val="00972957"/>
    <w:rsid w:val="00972A7A"/>
    <w:rsid w:val="0097311A"/>
    <w:rsid w:val="009771E7"/>
    <w:rsid w:val="00977AD6"/>
    <w:rsid w:val="00977D87"/>
    <w:rsid w:val="0098070D"/>
    <w:rsid w:val="00987542"/>
    <w:rsid w:val="0099361D"/>
    <w:rsid w:val="0099658E"/>
    <w:rsid w:val="0099693D"/>
    <w:rsid w:val="00996EDC"/>
    <w:rsid w:val="009A1497"/>
    <w:rsid w:val="009A1FC5"/>
    <w:rsid w:val="009A48D4"/>
    <w:rsid w:val="009B0417"/>
    <w:rsid w:val="009B13A9"/>
    <w:rsid w:val="009B1EE7"/>
    <w:rsid w:val="009B791D"/>
    <w:rsid w:val="009C61D0"/>
    <w:rsid w:val="009D1D8F"/>
    <w:rsid w:val="009D3469"/>
    <w:rsid w:val="009E22F8"/>
    <w:rsid w:val="009E5F68"/>
    <w:rsid w:val="009F4F63"/>
    <w:rsid w:val="009F54DB"/>
    <w:rsid w:val="009F56E4"/>
    <w:rsid w:val="009F6FF1"/>
    <w:rsid w:val="009F7C55"/>
    <w:rsid w:val="00A00516"/>
    <w:rsid w:val="00A00ACA"/>
    <w:rsid w:val="00A01675"/>
    <w:rsid w:val="00A03390"/>
    <w:rsid w:val="00A04D59"/>
    <w:rsid w:val="00A0506B"/>
    <w:rsid w:val="00A07C8E"/>
    <w:rsid w:val="00A07CA5"/>
    <w:rsid w:val="00A11214"/>
    <w:rsid w:val="00A11571"/>
    <w:rsid w:val="00A12715"/>
    <w:rsid w:val="00A20A9D"/>
    <w:rsid w:val="00A227D2"/>
    <w:rsid w:val="00A24659"/>
    <w:rsid w:val="00A345FB"/>
    <w:rsid w:val="00A36ED7"/>
    <w:rsid w:val="00A4264B"/>
    <w:rsid w:val="00A46B16"/>
    <w:rsid w:val="00A51C7D"/>
    <w:rsid w:val="00A51EF3"/>
    <w:rsid w:val="00A559B6"/>
    <w:rsid w:val="00A57611"/>
    <w:rsid w:val="00A664DC"/>
    <w:rsid w:val="00A7036A"/>
    <w:rsid w:val="00A75EF1"/>
    <w:rsid w:val="00A77ECF"/>
    <w:rsid w:val="00A81BEF"/>
    <w:rsid w:val="00A83E5C"/>
    <w:rsid w:val="00A92FA5"/>
    <w:rsid w:val="00A94D8F"/>
    <w:rsid w:val="00A97C11"/>
    <w:rsid w:val="00AA008D"/>
    <w:rsid w:val="00AA41DA"/>
    <w:rsid w:val="00AA663F"/>
    <w:rsid w:val="00AB481D"/>
    <w:rsid w:val="00AB6183"/>
    <w:rsid w:val="00AB64E7"/>
    <w:rsid w:val="00AB6D4D"/>
    <w:rsid w:val="00AC078C"/>
    <w:rsid w:val="00AC3482"/>
    <w:rsid w:val="00AC367A"/>
    <w:rsid w:val="00AC3E06"/>
    <w:rsid w:val="00AD0714"/>
    <w:rsid w:val="00AD0CB0"/>
    <w:rsid w:val="00AD22ED"/>
    <w:rsid w:val="00AD4313"/>
    <w:rsid w:val="00AD4A44"/>
    <w:rsid w:val="00AE3686"/>
    <w:rsid w:val="00AE3ED7"/>
    <w:rsid w:val="00AE42A3"/>
    <w:rsid w:val="00AF25A9"/>
    <w:rsid w:val="00AF356A"/>
    <w:rsid w:val="00AF61A8"/>
    <w:rsid w:val="00B04319"/>
    <w:rsid w:val="00B049E2"/>
    <w:rsid w:val="00B0686C"/>
    <w:rsid w:val="00B128FE"/>
    <w:rsid w:val="00B14CAB"/>
    <w:rsid w:val="00B32DE0"/>
    <w:rsid w:val="00B3384B"/>
    <w:rsid w:val="00B345C4"/>
    <w:rsid w:val="00B345F1"/>
    <w:rsid w:val="00B3474C"/>
    <w:rsid w:val="00B35AF6"/>
    <w:rsid w:val="00B41CA7"/>
    <w:rsid w:val="00B423FA"/>
    <w:rsid w:val="00B42620"/>
    <w:rsid w:val="00B42F46"/>
    <w:rsid w:val="00B47747"/>
    <w:rsid w:val="00B527FD"/>
    <w:rsid w:val="00B56E45"/>
    <w:rsid w:val="00B61826"/>
    <w:rsid w:val="00B70D62"/>
    <w:rsid w:val="00B73BCD"/>
    <w:rsid w:val="00B758FC"/>
    <w:rsid w:val="00B818C4"/>
    <w:rsid w:val="00B85F93"/>
    <w:rsid w:val="00B876FE"/>
    <w:rsid w:val="00BA20E1"/>
    <w:rsid w:val="00BA2AD7"/>
    <w:rsid w:val="00BA40A2"/>
    <w:rsid w:val="00BA47E2"/>
    <w:rsid w:val="00BA7030"/>
    <w:rsid w:val="00BA70AA"/>
    <w:rsid w:val="00BB46A8"/>
    <w:rsid w:val="00BB771C"/>
    <w:rsid w:val="00BC5490"/>
    <w:rsid w:val="00BC5AFF"/>
    <w:rsid w:val="00BD2116"/>
    <w:rsid w:val="00BD545D"/>
    <w:rsid w:val="00BE00D2"/>
    <w:rsid w:val="00BE053A"/>
    <w:rsid w:val="00BE3679"/>
    <w:rsid w:val="00BE4345"/>
    <w:rsid w:val="00BE67F6"/>
    <w:rsid w:val="00BE6EA9"/>
    <w:rsid w:val="00BE7B47"/>
    <w:rsid w:val="00C02972"/>
    <w:rsid w:val="00C04E79"/>
    <w:rsid w:val="00C07753"/>
    <w:rsid w:val="00C11C72"/>
    <w:rsid w:val="00C121AF"/>
    <w:rsid w:val="00C158AF"/>
    <w:rsid w:val="00C207C4"/>
    <w:rsid w:val="00C21FC8"/>
    <w:rsid w:val="00C357FF"/>
    <w:rsid w:val="00C36CE0"/>
    <w:rsid w:val="00C4063A"/>
    <w:rsid w:val="00C407AC"/>
    <w:rsid w:val="00C40D55"/>
    <w:rsid w:val="00C44F75"/>
    <w:rsid w:val="00C45025"/>
    <w:rsid w:val="00C45F5A"/>
    <w:rsid w:val="00C46483"/>
    <w:rsid w:val="00C467CB"/>
    <w:rsid w:val="00C47021"/>
    <w:rsid w:val="00C47A68"/>
    <w:rsid w:val="00C50C42"/>
    <w:rsid w:val="00C5442A"/>
    <w:rsid w:val="00C6186E"/>
    <w:rsid w:val="00C61F70"/>
    <w:rsid w:val="00C62592"/>
    <w:rsid w:val="00C64003"/>
    <w:rsid w:val="00C666D3"/>
    <w:rsid w:val="00C71C91"/>
    <w:rsid w:val="00C72620"/>
    <w:rsid w:val="00C76BF8"/>
    <w:rsid w:val="00C76F89"/>
    <w:rsid w:val="00C82919"/>
    <w:rsid w:val="00C833C3"/>
    <w:rsid w:val="00C86BFA"/>
    <w:rsid w:val="00C86C3C"/>
    <w:rsid w:val="00C9168B"/>
    <w:rsid w:val="00C92E69"/>
    <w:rsid w:val="00C93E0E"/>
    <w:rsid w:val="00C95CC4"/>
    <w:rsid w:val="00C96C97"/>
    <w:rsid w:val="00CB5182"/>
    <w:rsid w:val="00CD0A64"/>
    <w:rsid w:val="00CD46CA"/>
    <w:rsid w:val="00CD7B23"/>
    <w:rsid w:val="00CE156F"/>
    <w:rsid w:val="00CE47DF"/>
    <w:rsid w:val="00CE5551"/>
    <w:rsid w:val="00CF01F8"/>
    <w:rsid w:val="00CF07BA"/>
    <w:rsid w:val="00CF09AE"/>
    <w:rsid w:val="00CF1691"/>
    <w:rsid w:val="00CF19B4"/>
    <w:rsid w:val="00D00001"/>
    <w:rsid w:val="00D028F3"/>
    <w:rsid w:val="00D12C3D"/>
    <w:rsid w:val="00D14CDA"/>
    <w:rsid w:val="00D16452"/>
    <w:rsid w:val="00D1716E"/>
    <w:rsid w:val="00D20B4D"/>
    <w:rsid w:val="00D21AC9"/>
    <w:rsid w:val="00D226A0"/>
    <w:rsid w:val="00D305B4"/>
    <w:rsid w:val="00D307B1"/>
    <w:rsid w:val="00D31130"/>
    <w:rsid w:val="00D318C5"/>
    <w:rsid w:val="00D36E59"/>
    <w:rsid w:val="00D40526"/>
    <w:rsid w:val="00D44E9B"/>
    <w:rsid w:val="00D45920"/>
    <w:rsid w:val="00D55715"/>
    <w:rsid w:val="00D6308E"/>
    <w:rsid w:val="00D66FFF"/>
    <w:rsid w:val="00D67BCF"/>
    <w:rsid w:val="00D706B0"/>
    <w:rsid w:val="00D70859"/>
    <w:rsid w:val="00D70D04"/>
    <w:rsid w:val="00D71C71"/>
    <w:rsid w:val="00D739C4"/>
    <w:rsid w:val="00D73B8D"/>
    <w:rsid w:val="00D73CC4"/>
    <w:rsid w:val="00D743AF"/>
    <w:rsid w:val="00D7602E"/>
    <w:rsid w:val="00D76D43"/>
    <w:rsid w:val="00D77FDD"/>
    <w:rsid w:val="00D80156"/>
    <w:rsid w:val="00D825C6"/>
    <w:rsid w:val="00D849F8"/>
    <w:rsid w:val="00D8540F"/>
    <w:rsid w:val="00D8669E"/>
    <w:rsid w:val="00D92FC1"/>
    <w:rsid w:val="00D94697"/>
    <w:rsid w:val="00D965B0"/>
    <w:rsid w:val="00DA0CCF"/>
    <w:rsid w:val="00DA2517"/>
    <w:rsid w:val="00DB1F96"/>
    <w:rsid w:val="00DB70EC"/>
    <w:rsid w:val="00DC19CB"/>
    <w:rsid w:val="00DC5868"/>
    <w:rsid w:val="00DC5DCC"/>
    <w:rsid w:val="00DD0E95"/>
    <w:rsid w:val="00DD13C8"/>
    <w:rsid w:val="00DD2D1B"/>
    <w:rsid w:val="00DD615E"/>
    <w:rsid w:val="00DD632F"/>
    <w:rsid w:val="00DD74E1"/>
    <w:rsid w:val="00DE1BC5"/>
    <w:rsid w:val="00DE4F0F"/>
    <w:rsid w:val="00DE5346"/>
    <w:rsid w:val="00DF11B2"/>
    <w:rsid w:val="00DF3A6D"/>
    <w:rsid w:val="00DF4D9D"/>
    <w:rsid w:val="00DF7479"/>
    <w:rsid w:val="00DF7826"/>
    <w:rsid w:val="00E01605"/>
    <w:rsid w:val="00E01C29"/>
    <w:rsid w:val="00E04CBB"/>
    <w:rsid w:val="00E061FF"/>
    <w:rsid w:val="00E132E6"/>
    <w:rsid w:val="00E14D6C"/>
    <w:rsid w:val="00E1511A"/>
    <w:rsid w:val="00E1517D"/>
    <w:rsid w:val="00E202C7"/>
    <w:rsid w:val="00E219B2"/>
    <w:rsid w:val="00E23A18"/>
    <w:rsid w:val="00E26086"/>
    <w:rsid w:val="00E263EB"/>
    <w:rsid w:val="00E26D42"/>
    <w:rsid w:val="00E30C2E"/>
    <w:rsid w:val="00E30DA5"/>
    <w:rsid w:val="00E32863"/>
    <w:rsid w:val="00E3490C"/>
    <w:rsid w:val="00E40419"/>
    <w:rsid w:val="00E47CBF"/>
    <w:rsid w:val="00E47D7D"/>
    <w:rsid w:val="00E50858"/>
    <w:rsid w:val="00E52134"/>
    <w:rsid w:val="00E60D0D"/>
    <w:rsid w:val="00E60E58"/>
    <w:rsid w:val="00E6273C"/>
    <w:rsid w:val="00E65729"/>
    <w:rsid w:val="00E65D37"/>
    <w:rsid w:val="00E669B1"/>
    <w:rsid w:val="00E71A2E"/>
    <w:rsid w:val="00E75A38"/>
    <w:rsid w:val="00E76273"/>
    <w:rsid w:val="00E7759C"/>
    <w:rsid w:val="00E7774E"/>
    <w:rsid w:val="00E77A66"/>
    <w:rsid w:val="00E77A88"/>
    <w:rsid w:val="00E80FD7"/>
    <w:rsid w:val="00E835C1"/>
    <w:rsid w:val="00E85275"/>
    <w:rsid w:val="00E94EB3"/>
    <w:rsid w:val="00E964FA"/>
    <w:rsid w:val="00E97F28"/>
    <w:rsid w:val="00EA04BF"/>
    <w:rsid w:val="00EA1059"/>
    <w:rsid w:val="00EA1B6E"/>
    <w:rsid w:val="00EA3370"/>
    <w:rsid w:val="00EA3554"/>
    <w:rsid w:val="00EA3D58"/>
    <w:rsid w:val="00EA4D19"/>
    <w:rsid w:val="00EA5F6F"/>
    <w:rsid w:val="00EA7F46"/>
    <w:rsid w:val="00EB02F5"/>
    <w:rsid w:val="00EB380E"/>
    <w:rsid w:val="00EB4046"/>
    <w:rsid w:val="00EC1319"/>
    <w:rsid w:val="00ED3076"/>
    <w:rsid w:val="00EE0725"/>
    <w:rsid w:val="00EE3A08"/>
    <w:rsid w:val="00EE5760"/>
    <w:rsid w:val="00EE5E68"/>
    <w:rsid w:val="00EE602C"/>
    <w:rsid w:val="00EE62E4"/>
    <w:rsid w:val="00EF023B"/>
    <w:rsid w:val="00EF0E52"/>
    <w:rsid w:val="00EF1BE4"/>
    <w:rsid w:val="00EF3FAB"/>
    <w:rsid w:val="00EF5F19"/>
    <w:rsid w:val="00EF7728"/>
    <w:rsid w:val="00EF7821"/>
    <w:rsid w:val="00F000AE"/>
    <w:rsid w:val="00F0191C"/>
    <w:rsid w:val="00F02282"/>
    <w:rsid w:val="00F02425"/>
    <w:rsid w:val="00F03CA9"/>
    <w:rsid w:val="00F162AD"/>
    <w:rsid w:val="00F163BC"/>
    <w:rsid w:val="00F16532"/>
    <w:rsid w:val="00F17F1C"/>
    <w:rsid w:val="00F2673F"/>
    <w:rsid w:val="00F32F14"/>
    <w:rsid w:val="00F35F82"/>
    <w:rsid w:val="00F40224"/>
    <w:rsid w:val="00F46223"/>
    <w:rsid w:val="00F4689C"/>
    <w:rsid w:val="00F473B5"/>
    <w:rsid w:val="00F53F83"/>
    <w:rsid w:val="00F543A4"/>
    <w:rsid w:val="00F579D1"/>
    <w:rsid w:val="00F57E43"/>
    <w:rsid w:val="00F613A8"/>
    <w:rsid w:val="00F63BCD"/>
    <w:rsid w:val="00F73005"/>
    <w:rsid w:val="00F7305B"/>
    <w:rsid w:val="00F747E1"/>
    <w:rsid w:val="00F81949"/>
    <w:rsid w:val="00F82A9F"/>
    <w:rsid w:val="00F83B11"/>
    <w:rsid w:val="00F931E6"/>
    <w:rsid w:val="00F94346"/>
    <w:rsid w:val="00F960A1"/>
    <w:rsid w:val="00F9611A"/>
    <w:rsid w:val="00F96358"/>
    <w:rsid w:val="00FA00A3"/>
    <w:rsid w:val="00FA2D6D"/>
    <w:rsid w:val="00FA3324"/>
    <w:rsid w:val="00FA5EA7"/>
    <w:rsid w:val="00FB2295"/>
    <w:rsid w:val="00FB42BA"/>
    <w:rsid w:val="00FB589C"/>
    <w:rsid w:val="00FB63A3"/>
    <w:rsid w:val="00FC020C"/>
    <w:rsid w:val="00FC3BA4"/>
    <w:rsid w:val="00FC43D2"/>
    <w:rsid w:val="00FC79CC"/>
    <w:rsid w:val="00FC7A73"/>
    <w:rsid w:val="00FC7F8B"/>
    <w:rsid w:val="00FD3B63"/>
    <w:rsid w:val="00FE2362"/>
    <w:rsid w:val="00FE291F"/>
    <w:rsid w:val="00FE7DF1"/>
    <w:rsid w:val="00FF1B42"/>
    <w:rsid w:val="00FF60FE"/>
    <w:rsid w:val="00FF6EAA"/>
    <w:rsid w:val="011865A4"/>
    <w:rsid w:val="015E4572"/>
    <w:rsid w:val="016D2D5B"/>
    <w:rsid w:val="017D4F5C"/>
    <w:rsid w:val="018E2A45"/>
    <w:rsid w:val="01BB3589"/>
    <w:rsid w:val="01DA56FF"/>
    <w:rsid w:val="01FF3BC3"/>
    <w:rsid w:val="0227299C"/>
    <w:rsid w:val="02464224"/>
    <w:rsid w:val="02587777"/>
    <w:rsid w:val="026531FA"/>
    <w:rsid w:val="0298774D"/>
    <w:rsid w:val="02B50726"/>
    <w:rsid w:val="02B640B5"/>
    <w:rsid w:val="02C2405D"/>
    <w:rsid w:val="02C5783A"/>
    <w:rsid w:val="02D44B88"/>
    <w:rsid w:val="031713E0"/>
    <w:rsid w:val="032E2B81"/>
    <w:rsid w:val="037A6946"/>
    <w:rsid w:val="038073BC"/>
    <w:rsid w:val="03AE752A"/>
    <w:rsid w:val="03D32EE8"/>
    <w:rsid w:val="03E5503B"/>
    <w:rsid w:val="03E76489"/>
    <w:rsid w:val="03F32878"/>
    <w:rsid w:val="03F51075"/>
    <w:rsid w:val="03FA44FB"/>
    <w:rsid w:val="03FD6D27"/>
    <w:rsid w:val="04212517"/>
    <w:rsid w:val="04277401"/>
    <w:rsid w:val="042D24F6"/>
    <w:rsid w:val="043F2FC4"/>
    <w:rsid w:val="04567B72"/>
    <w:rsid w:val="04A62A1C"/>
    <w:rsid w:val="04E94B2C"/>
    <w:rsid w:val="053A520C"/>
    <w:rsid w:val="054F5C6B"/>
    <w:rsid w:val="056531B8"/>
    <w:rsid w:val="05806550"/>
    <w:rsid w:val="05904D6D"/>
    <w:rsid w:val="059A1A77"/>
    <w:rsid w:val="05B72758"/>
    <w:rsid w:val="05CA7A7C"/>
    <w:rsid w:val="05D010FC"/>
    <w:rsid w:val="05F43268"/>
    <w:rsid w:val="060E6ACB"/>
    <w:rsid w:val="064A57C3"/>
    <w:rsid w:val="066869D6"/>
    <w:rsid w:val="06686BF5"/>
    <w:rsid w:val="06823015"/>
    <w:rsid w:val="06907561"/>
    <w:rsid w:val="069D7E4F"/>
    <w:rsid w:val="06ED4932"/>
    <w:rsid w:val="06F24A71"/>
    <w:rsid w:val="06FD1917"/>
    <w:rsid w:val="07006F4F"/>
    <w:rsid w:val="071735CB"/>
    <w:rsid w:val="071D689A"/>
    <w:rsid w:val="0729064F"/>
    <w:rsid w:val="073562D9"/>
    <w:rsid w:val="074D44A4"/>
    <w:rsid w:val="074D4CA1"/>
    <w:rsid w:val="07807554"/>
    <w:rsid w:val="07A96D55"/>
    <w:rsid w:val="07E21FBD"/>
    <w:rsid w:val="07E51AAD"/>
    <w:rsid w:val="080D690E"/>
    <w:rsid w:val="08447C83"/>
    <w:rsid w:val="08640C24"/>
    <w:rsid w:val="086C7163"/>
    <w:rsid w:val="087D1CE6"/>
    <w:rsid w:val="08AB250E"/>
    <w:rsid w:val="08C64C26"/>
    <w:rsid w:val="08CE0793"/>
    <w:rsid w:val="08DA1D18"/>
    <w:rsid w:val="08DE558A"/>
    <w:rsid w:val="08FF094D"/>
    <w:rsid w:val="09137F54"/>
    <w:rsid w:val="09174190"/>
    <w:rsid w:val="096B1B3E"/>
    <w:rsid w:val="09762D7C"/>
    <w:rsid w:val="09903C9B"/>
    <w:rsid w:val="09A43413"/>
    <w:rsid w:val="09A643CA"/>
    <w:rsid w:val="0A0312C0"/>
    <w:rsid w:val="0A216426"/>
    <w:rsid w:val="0A294FB2"/>
    <w:rsid w:val="0A424215"/>
    <w:rsid w:val="0A466107"/>
    <w:rsid w:val="0A48700F"/>
    <w:rsid w:val="0A540D8C"/>
    <w:rsid w:val="0A567485"/>
    <w:rsid w:val="0A586566"/>
    <w:rsid w:val="0A7569B0"/>
    <w:rsid w:val="0AB55DA1"/>
    <w:rsid w:val="0AC51919"/>
    <w:rsid w:val="0AF3628F"/>
    <w:rsid w:val="0B0A4727"/>
    <w:rsid w:val="0B372620"/>
    <w:rsid w:val="0B3E4533"/>
    <w:rsid w:val="0B4B2D10"/>
    <w:rsid w:val="0B5375B9"/>
    <w:rsid w:val="0B995089"/>
    <w:rsid w:val="0BCE2B3D"/>
    <w:rsid w:val="0BFE6C9A"/>
    <w:rsid w:val="0C063863"/>
    <w:rsid w:val="0C1A00DD"/>
    <w:rsid w:val="0C211466"/>
    <w:rsid w:val="0C450D6C"/>
    <w:rsid w:val="0C5976C7"/>
    <w:rsid w:val="0C6C3599"/>
    <w:rsid w:val="0C6C62F9"/>
    <w:rsid w:val="0CB718B5"/>
    <w:rsid w:val="0D0316C4"/>
    <w:rsid w:val="0D215336"/>
    <w:rsid w:val="0D35689F"/>
    <w:rsid w:val="0D557999"/>
    <w:rsid w:val="0D790EFC"/>
    <w:rsid w:val="0D7A2E7E"/>
    <w:rsid w:val="0DC675D6"/>
    <w:rsid w:val="0DD26630"/>
    <w:rsid w:val="0DDA3736"/>
    <w:rsid w:val="0DE620DB"/>
    <w:rsid w:val="0DFF319D"/>
    <w:rsid w:val="0E2D0993"/>
    <w:rsid w:val="0E2F49DE"/>
    <w:rsid w:val="0E323572"/>
    <w:rsid w:val="0E416080"/>
    <w:rsid w:val="0E5938D0"/>
    <w:rsid w:val="0E967D56"/>
    <w:rsid w:val="0EBD454D"/>
    <w:rsid w:val="0EC848FA"/>
    <w:rsid w:val="0ED239BD"/>
    <w:rsid w:val="0ED566C3"/>
    <w:rsid w:val="0EDB59B8"/>
    <w:rsid w:val="0EDF7256"/>
    <w:rsid w:val="0F003628"/>
    <w:rsid w:val="0F347BC0"/>
    <w:rsid w:val="0F9A4F2B"/>
    <w:rsid w:val="0FC8009F"/>
    <w:rsid w:val="0FF459F3"/>
    <w:rsid w:val="101D4977"/>
    <w:rsid w:val="104C49B0"/>
    <w:rsid w:val="1050024D"/>
    <w:rsid w:val="10793EC0"/>
    <w:rsid w:val="108D6846"/>
    <w:rsid w:val="10981D16"/>
    <w:rsid w:val="10A01A9E"/>
    <w:rsid w:val="10B14C22"/>
    <w:rsid w:val="10B50053"/>
    <w:rsid w:val="10B80835"/>
    <w:rsid w:val="10EF0BED"/>
    <w:rsid w:val="10FC5772"/>
    <w:rsid w:val="111B6540"/>
    <w:rsid w:val="112B3518"/>
    <w:rsid w:val="11812847"/>
    <w:rsid w:val="118C11EC"/>
    <w:rsid w:val="118C5418"/>
    <w:rsid w:val="11BE2E6A"/>
    <w:rsid w:val="11C4173F"/>
    <w:rsid w:val="11C912BB"/>
    <w:rsid w:val="11CD68D0"/>
    <w:rsid w:val="11D15AD5"/>
    <w:rsid w:val="11DA4C45"/>
    <w:rsid w:val="11F7357F"/>
    <w:rsid w:val="1255782F"/>
    <w:rsid w:val="127410DF"/>
    <w:rsid w:val="128E0A51"/>
    <w:rsid w:val="128E26F8"/>
    <w:rsid w:val="12C15BBC"/>
    <w:rsid w:val="12F33D9C"/>
    <w:rsid w:val="131F4AA4"/>
    <w:rsid w:val="13557155"/>
    <w:rsid w:val="13623FB2"/>
    <w:rsid w:val="13677FBE"/>
    <w:rsid w:val="13706552"/>
    <w:rsid w:val="137379E5"/>
    <w:rsid w:val="137E6912"/>
    <w:rsid w:val="138008DC"/>
    <w:rsid w:val="13971974"/>
    <w:rsid w:val="13D37641"/>
    <w:rsid w:val="13E57ACD"/>
    <w:rsid w:val="13FF2163"/>
    <w:rsid w:val="14076FA7"/>
    <w:rsid w:val="14096B23"/>
    <w:rsid w:val="14226259"/>
    <w:rsid w:val="14250B6B"/>
    <w:rsid w:val="1425391A"/>
    <w:rsid w:val="145F4D99"/>
    <w:rsid w:val="149E7323"/>
    <w:rsid w:val="14B37C51"/>
    <w:rsid w:val="14C33176"/>
    <w:rsid w:val="14C8253B"/>
    <w:rsid w:val="14F275B8"/>
    <w:rsid w:val="154D66D9"/>
    <w:rsid w:val="157678E3"/>
    <w:rsid w:val="157E709D"/>
    <w:rsid w:val="15A32ED3"/>
    <w:rsid w:val="15BB3E4D"/>
    <w:rsid w:val="15F15F84"/>
    <w:rsid w:val="160457F4"/>
    <w:rsid w:val="16285F75"/>
    <w:rsid w:val="162E0AC3"/>
    <w:rsid w:val="16406583"/>
    <w:rsid w:val="16446468"/>
    <w:rsid w:val="167364D6"/>
    <w:rsid w:val="167C39AF"/>
    <w:rsid w:val="16A06BC0"/>
    <w:rsid w:val="16D358FE"/>
    <w:rsid w:val="16E1737D"/>
    <w:rsid w:val="170B2BB3"/>
    <w:rsid w:val="171C4DC0"/>
    <w:rsid w:val="17262A17"/>
    <w:rsid w:val="172A3039"/>
    <w:rsid w:val="173C0933"/>
    <w:rsid w:val="175C22CA"/>
    <w:rsid w:val="17681DB3"/>
    <w:rsid w:val="176D257A"/>
    <w:rsid w:val="176E373B"/>
    <w:rsid w:val="17793FC0"/>
    <w:rsid w:val="177B5EAF"/>
    <w:rsid w:val="1789530B"/>
    <w:rsid w:val="17B6768F"/>
    <w:rsid w:val="17B86896"/>
    <w:rsid w:val="182A0E16"/>
    <w:rsid w:val="18754787"/>
    <w:rsid w:val="18950986"/>
    <w:rsid w:val="18952734"/>
    <w:rsid w:val="18A37240"/>
    <w:rsid w:val="18B21538"/>
    <w:rsid w:val="18CC2B9A"/>
    <w:rsid w:val="18CD6489"/>
    <w:rsid w:val="18CF3F6C"/>
    <w:rsid w:val="19296DE1"/>
    <w:rsid w:val="19487371"/>
    <w:rsid w:val="19570331"/>
    <w:rsid w:val="195720DF"/>
    <w:rsid w:val="196A6FEC"/>
    <w:rsid w:val="197902A7"/>
    <w:rsid w:val="199E3297"/>
    <w:rsid w:val="19AB3A08"/>
    <w:rsid w:val="19AC7E28"/>
    <w:rsid w:val="19BD070A"/>
    <w:rsid w:val="19FF204F"/>
    <w:rsid w:val="1A1D365C"/>
    <w:rsid w:val="1A3021D6"/>
    <w:rsid w:val="1A303911"/>
    <w:rsid w:val="1A442663"/>
    <w:rsid w:val="1A5A1870"/>
    <w:rsid w:val="1A8707A2"/>
    <w:rsid w:val="1AA5515F"/>
    <w:rsid w:val="1AB44CB1"/>
    <w:rsid w:val="1AD32060"/>
    <w:rsid w:val="1B065B6B"/>
    <w:rsid w:val="1B0B3181"/>
    <w:rsid w:val="1B536678"/>
    <w:rsid w:val="1B773DB4"/>
    <w:rsid w:val="1B7754FA"/>
    <w:rsid w:val="1B8F3BEC"/>
    <w:rsid w:val="1B9969DF"/>
    <w:rsid w:val="1BAD1A9B"/>
    <w:rsid w:val="1BBE1FA1"/>
    <w:rsid w:val="1BD01CD5"/>
    <w:rsid w:val="1BD86A48"/>
    <w:rsid w:val="1BF305C5"/>
    <w:rsid w:val="1C200EAE"/>
    <w:rsid w:val="1C324319"/>
    <w:rsid w:val="1C3708E0"/>
    <w:rsid w:val="1D0C5576"/>
    <w:rsid w:val="1D134B7B"/>
    <w:rsid w:val="1D1502E7"/>
    <w:rsid w:val="1D197FAA"/>
    <w:rsid w:val="1D311589"/>
    <w:rsid w:val="1D3D5EE0"/>
    <w:rsid w:val="1D83241E"/>
    <w:rsid w:val="1DAD780A"/>
    <w:rsid w:val="1DEF7239"/>
    <w:rsid w:val="1DF443A0"/>
    <w:rsid w:val="1E110617"/>
    <w:rsid w:val="1E1E5F22"/>
    <w:rsid w:val="1E3921A5"/>
    <w:rsid w:val="1E3C6438"/>
    <w:rsid w:val="1E8860EC"/>
    <w:rsid w:val="1E892D3B"/>
    <w:rsid w:val="1E9E0F00"/>
    <w:rsid w:val="1EA062D6"/>
    <w:rsid w:val="1EBA3933"/>
    <w:rsid w:val="1EC32FCF"/>
    <w:rsid w:val="1ECF7228"/>
    <w:rsid w:val="1EFB52BB"/>
    <w:rsid w:val="1EFE2DBE"/>
    <w:rsid w:val="1F486752"/>
    <w:rsid w:val="1F577E11"/>
    <w:rsid w:val="1F656DA7"/>
    <w:rsid w:val="1F9B466D"/>
    <w:rsid w:val="1FC003D1"/>
    <w:rsid w:val="1FC07AC6"/>
    <w:rsid w:val="1FC551FE"/>
    <w:rsid w:val="1FCF6E73"/>
    <w:rsid w:val="1FE32671"/>
    <w:rsid w:val="1FE810E9"/>
    <w:rsid w:val="1FF16DE9"/>
    <w:rsid w:val="200E3A7E"/>
    <w:rsid w:val="20694393"/>
    <w:rsid w:val="206A094A"/>
    <w:rsid w:val="208C7C90"/>
    <w:rsid w:val="20DF3407"/>
    <w:rsid w:val="20FF5536"/>
    <w:rsid w:val="21095493"/>
    <w:rsid w:val="210D17E5"/>
    <w:rsid w:val="21121738"/>
    <w:rsid w:val="212F641C"/>
    <w:rsid w:val="213571AA"/>
    <w:rsid w:val="21496E4F"/>
    <w:rsid w:val="217C6913"/>
    <w:rsid w:val="218B45E3"/>
    <w:rsid w:val="21B20FBC"/>
    <w:rsid w:val="21E878C2"/>
    <w:rsid w:val="22266AF2"/>
    <w:rsid w:val="22357ABE"/>
    <w:rsid w:val="223E517A"/>
    <w:rsid w:val="22436453"/>
    <w:rsid w:val="226715E5"/>
    <w:rsid w:val="229936CE"/>
    <w:rsid w:val="22B04A83"/>
    <w:rsid w:val="22BA2936"/>
    <w:rsid w:val="23005595"/>
    <w:rsid w:val="23091DFE"/>
    <w:rsid w:val="23267C2C"/>
    <w:rsid w:val="236D6218"/>
    <w:rsid w:val="237357DC"/>
    <w:rsid w:val="2383244E"/>
    <w:rsid w:val="23A5103A"/>
    <w:rsid w:val="23C65A24"/>
    <w:rsid w:val="24646E5F"/>
    <w:rsid w:val="246851A0"/>
    <w:rsid w:val="24690A71"/>
    <w:rsid w:val="24704055"/>
    <w:rsid w:val="248531CC"/>
    <w:rsid w:val="248C3824"/>
    <w:rsid w:val="249A7745"/>
    <w:rsid w:val="24A25738"/>
    <w:rsid w:val="24CA3748"/>
    <w:rsid w:val="24EF141E"/>
    <w:rsid w:val="24FA2625"/>
    <w:rsid w:val="24FD5A7C"/>
    <w:rsid w:val="250E2B8B"/>
    <w:rsid w:val="251B3144"/>
    <w:rsid w:val="25251249"/>
    <w:rsid w:val="252F1CD4"/>
    <w:rsid w:val="253E01BB"/>
    <w:rsid w:val="254900F3"/>
    <w:rsid w:val="257302A1"/>
    <w:rsid w:val="257A162F"/>
    <w:rsid w:val="257F1DD0"/>
    <w:rsid w:val="258B6932"/>
    <w:rsid w:val="25A55F80"/>
    <w:rsid w:val="25D5255E"/>
    <w:rsid w:val="25F47FA8"/>
    <w:rsid w:val="25FB7AB8"/>
    <w:rsid w:val="25FC0296"/>
    <w:rsid w:val="26130CE1"/>
    <w:rsid w:val="26243349"/>
    <w:rsid w:val="26264AE4"/>
    <w:rsid w:val="263C416D"/>
    <w:rsid w:val="26442651"/>
    <w:rsid w:val="26C012C4"/>
    <w:rsid w:val="26C8461C"/>
    <w:rsid w:val="26CC1106"/>
    <w:rsid w:val="26CC79C4"/>
    <w:rsid w:val="27275F7C"/>
    <w:rsid w:val="27303806"/>
    <w:rsid w:val="27383550"/>
    <w:rsid w:val="2740315F"/>
    <w:rsid w:val="2741230C"/>
    <w:rsid w:val="275A1718"/>
    <w:rsid w:val="27A4002A"/>
    <w:rsid w:val="27A97FAA"/>
    <w:rsid w:val="27AC35F6"/>
    <w:rsid w:val="27BB7CDD"/>
    <w:rsid w:val="282B6C11"/>
    <w:rsid w:val="283C7070"/>
    <w:rsid w:val="28553C8E"/>
    <w:rsid w:val="28686379"/>
    <w:rsid w:val="288051AE"/>
    <w:rsid w:val="288307FB"/>
    <w:rsid w:val="2896196F"/>
    <w:rsid w:val="28A117D6"/>
    <w:rsid w:val="28A41ADE"/>
    <w:rsid w:val="28B57ABC"/>
    <w:rsid w:val="28B603C6"/>
    <w:rsid w:val="28C72DDD"/>
    <w:rsid w:val="28C91BFF"/>
    <w:rsid w:val="28CE363E"/>
    <w:rsid w:val="28D31337"/>
    <w:rsid w:val="28DF3F58"/>
    <w:rsid w:val="28FA4916"/>
    <w:rsid w:val="290F208E"/>
    <w:rsid w:val="2910178B"/>
    <w:rsid w:val="294268ED"/>
    <w:rsid w:val="295E17D5"/>
    <w:rsid w:val="298F1060"/>
    <w:rsid w:val="29A34776"/>
    <w:rsid w:val="29A529F3"/>
    <w:rsid w:val="29BF56FD"/>
    <w:rsid w:val="29C015DB"/>
    <w:rsid w:val="29F332BC"/>
    <w:rsid w:val="2A0B44D0"/>
    <w:rsid w:val="2A0E1951"/>
    <w:rsid w:val="2A306760"/>
    <w:rsid w:val="2A5266D7"/>
    <w:rsid w:val="2A527064"/>
    <w:rsid w:val="2A8E2F7B"/>
    <w:rsid w:val="2A905451"/>
    <w:rsid w:val="2A934AE6"/>
    <w:rsid w:val="2A9F71BF"/>
    <w:rsid w:val="2AA04C98"/>
    <w:rsid w:val="2AB643C4"/>
    <w:rsid w:val="2AD03ECE"/>
    <w:rsid w:val="2AD259CE"/>
    <w:rsid w:val="2B133171"/>
    <w:rsid w:val="2B597F39"/>
    <w:rsid w:val="2BA14770"/>
    <w:rsid w:val="2BE932ED"/>
    <w:rsid w:val="2C1A0E3F"/>
    <w:rsid w:val="2C3047F6"/>
    <w:rsid w:val="2C381DB1"/>
    <w:rsid w:val="2C457EF6"/>
    <w:rsid w:val="2C501141"/>
    <w:rsid w:val="2C6A684E"/>
    <w:rsid w:val="2C711907"/>
    <w:rsid w:val="2C802549"/>
    <w:rsid w:val="2C8D7CED"/>
    <w:rsid w:val="2CBC71CE"/>
    <w:rsid w:val="2CBC7947"/>
    <w:rsid w:val="2D196175"/>
    <w:rsid w:val="2D576BA6"/>
    <w:rsid w:val="2D592552"/>
    <w:rsid w:val="2D677A73"/>
    <w:rsid w:val="2D730862"/>
    <w:rsid w:val="2DA0009A"/>
    <w:rsid w:val="2DA3030A"/>
    <w:rsid w:val="2E1C7591"/>
    <w:rsid w:val="2E350548"/>
    <w:rsid w:val="2E627104"/>
    <w:rsid w:val="2E6966E5"/>
    <w:rsid w:val="2EA5029A"/>
    <w:rsid w:val="2EA96AE1"/>
    <w:rsid w:val="2EBD60B6"/>
    <w:rsid w:val="2ED41CCC"/>
    <w:rsid w:val="2EF550EC"/>
    <w:rsid w:val="2F325C88"/>
    <w:rsid w:val="2F3850AE"/>
    <w:rsid w:val="2F835584"/>
    <w:rsid w:val="2F971030"/>
    <w:rsid w:val="2FC507D9"/>
    <w:rsid w:val="30045885"/>
    <w:rsid w:val="307A6A38"/>
    <w:rsid w:val="307B121D"/>
    <w:rsid w:val="30BB3295"/>
    <w:rsid w:val="30D37F5D"/>
    <w:rsid w:val="30E87E4A"/>
    <w:rsid w:val="31396368"/>
    <w:rsid w:val="31462D0D"/>
    <w:rsid w:val="3166515D"/>
    <w:rsid w:val="31703EEE"/>
    <w:rsid w:val="31717D8A"/>
    <w:rsid w:val="31880C30"/>
    <w:rsid w:val="31C81974"/>
    <w:rsid w:val="31D43055"/>
    <w:rsid w:val="31E22A36"/>
    <w:rsid w:val="320343BC"/>
    <w:rsid w:val="3203475A"/>
    <w:rsid w:val="32046BBF"/>
    <w:rsid w:val="320F4EAD"/>
    <w:rsid w:val="32215B4A"/>
    <w:rsid w:val="32323A4D"/>
    <w:rsid w:val="323759CE"/>
    <w:rsid w:val="325F0DF7"/>
    <w:rsid w:val="3264169D"/>
    <w:rsid w:val="327D62BB"/>
    <w:rsid w:val="327F2033"/>
    <w:rsid w:val="32800679"/>
    <w:rsid w:val="328D0AC2"/>
    <w:rsid w:val="32911D66"/>
    <w:rsid w:val="32A45821"/>
    <w:rsid w:val="32A777DC"/>
    <w:rsid w:val="32C1739D"/>
    <w:rsid w:val="32C42FB4"/>
    <w:rsid w:val="32CE6B16"/>
    <w:rsid w:val="32FE55A7"/>
    <w:rsid w:val="331A1D5C"/>
    <w:rsid w:val="33705E1F"/>
    <w:rsid w:val="33753436"/>
    <w:rsid w:val="33772E96"/>
    <w:rsid w:val="338471AB"/>
    <w:rsid w:val="33880EEF"/>
    <w:rsid w:val="33B470BA"/>
    <w:rsid w:val="33B52C20"/>
    <w:rsid w:val="341A4C21"/>
    <w:rsid w:val="34645F9B"/>
    <w:rsid w:val="3492076E"/>
    <w:rsid w:val="34C86684"/>
    <w:rsid w:val="34DB0F65"/>
    <w:rsid w:val="34E6283D"/>
    <w:rsid w:val="35064C8D"/>
    <w:rsid w:val="350D21DB"/>
    <w:rsid w:val="35101FD2"/>
    <w:rsid w:val="355015E8"/>
    <w:rsid w:val="35505F08"/>
    <w:rsid w:val="357C22BA"/>
    <w:rsid w:val="357C4B76"/>
    <w:rsid w:val="35A324DC"/>
    <w:rsid w:val="35A42634"/>
    <w:rsid w:val="35C30488"/>
    <w:rsid w:val="35D452FA"/>
    <w:rsid w:val="35DD4A4C"/>
    <w:rsid w:val="35E202DB"/>
    <w:rsid w:val="361E7DB5"/>
    <w:rsid w:val="363F0056"/>
    <w:rsid w:val="365376F1"/>
    <w:rsid w:val="366A124C"/>
    <w:rsid w:val="366B0188"/>
    <w:rsid w:val="368C16AA"/>
    <w:rsid w:val="3690716D"/>
    <w:rsid w:val="36BF327A"/>
    <w:rsid w:val="36CF7301"/>
    <w:rsid w:val="373D469D"/>
    <w:rsid w:val="375508DB"/>
    <w:rsid w:val="375A4E1C"/>
    <w:rsid w:val="3781684D"/>
    <w:rsid w:val="37914BC2"/>
    <w:rsid w:val="37AD5E7C"/>
    <w:rsid w:val="37D22BEC"/>
    <w:rsid w:val="37F20E26"/>
    <w:rsid w:val="38194D73"/>
    <w:rsid w:val="381B3A34"/>
    <w:rsid w:val="382D3AB0"/>
    <w:rsid w:val="383438BF"/>
    <w:rsid w:val="383F0F55"/>
    <w:rsid w:val="384973F4"/>
    <w:rsid w:val="386D27BD"/>
    <w:rsid w:val="387C4AC7"/>
    <w:rsid w:val="38C369F1"/>
    <w:rsid w:val="38C8225A"/>
    <w:rsid w:val="38E5105E"/>
    <w:rsid w:val="390866F2"/>
    <w:rsid w:val="391B58DE"/>
    <w:rsid w:val="391E49D6"/>
    <w:rsid w:val="392343BE"/>
    <w:rsid w:val="393726B5"/>
    <w:rsid w:val="393C11B7"/>
    <w:rsid w:val="394B509F"/>
    <w:rsid w:val="394E2BF6"/>
    <w:rsid w:val="39621D38"/>
    <w:rsid w:val="39663F4D"/>
    <w:rsid w:val="39691347"/>
    <w:rsid w:val="399B2B26"/>
    <w:rsid w:val="39A14F85"/>
    <w:rsid w:val="39BA08EC"/>
    <w:rsid w:val="39DB7619"/>
    <w:rsid w:val="39F32DDC"/>
    <w:rsid w:val="3A0175C9"/>
    <w:rsid w:val="3A055438"/>
    <w:rsid w:val="3A0B7D70"/>
    <w:rsid w:val="3A1F7EB9"/>
    <w:rsid w:val="3A232BF1"/>
    <w:rsid w:val="3A2A2B18"/>
    <w:rsid w:val="3A472903"/>
    <w:rsid w:val="3A491E52"/>
    <w:rsid w:val="3A6C5593"/>
    <w:rsid w:val="3A7D6499"/>
    <w:rsid w:val="3A8A7DD9"/>
    <w:rsid w:val="3AB9343E"/>
    <w:rsid w:val="3AC422B6"/>
    <w:rsid w:val="3AD82C28"/>
    <w:rsid w:val="3AD93E04"/>
    <w:rsid w:val="3ADC3D9A"/>
    <w:rsid w:val="3B2D2C73"/>
    <w:rsid w:val="3B754182"/>
    <w:rsid w:val="3BBA6224"/>
    <w:rsid w:val="3BE13D5E"/>
    <w:rsid w:val="3C08758F"/>
    <w:rsid w:val="3C291261"/>
    <w:rsid w:val="3C48005A"/>
    <w:rsid w:val="3C5C6A5C"/>
    <w:rsid w:val="3C601127"/>
    <w:rsid w:val="3C691344"/>
    <w:rsid w:val="3C6D5BB8"/>
    <w:rsid w:val="3C7921E9"/>
    <w:rsid w:val="3CC16572"/>
    <w:rsid w:val="3CC8312E"/>
    <w:rsid w:val="3CF67259"/>
    <w:rsid w:val="3D0146AB"/>
    <w:rsid w:val="3D031A94"/>
    <w:rsid w:val="3D0C6BB9"/>
    <w:rsid w:val="3D233F03"/>
    <w:rsid w:val="3D314871"/>
    <w:rsid w:val="3D5E726D"/>
    <w:rsid w:val="3D60032A"/>
    <w:rsid w:val="3D9C6243"/>
    <w:rsid w:val="3DA60DBB"/>
    <w:rsid w:val="3DA67D06"/>
    <w:rsid w:val="3DB070CE"/>
    <w:rsid w:val="3DB8289D"/>
    <w:rsid w:val="3DDA0A65"/>
    <w:rsid w:val="3DEA7F36"/>
    <w:rsid w:val="3E0103E7"/>
    <w:rsid w:val="3E04219D"/>
    <w:rsid w:val="3E112948"/>
    <w:rsid w:val="3E1751CE"/>
    <w:rsid w:val="3E1F12B0"/>
    <w:rsid w:val="3E2219F5"/>
    <w:rsid w:val="3E2E2B5F"/>
    <w:rsid w:val="3E304CDE"/>
    <w:rsid w:val="3E68434F"/>
    <w:rsid w:val="3E785CB5"/>
    <w:rsid w:val="3E7B53CD"/>
    <w:rsid w:val="3EA23693"/>
    <w:rsid w:val="3EB47508"/>
    <w:rsid w:val="3EC14F5E"/>
    <w:rsid w:val="3EDA5C3F"/>
    <w:rsid w:val="3EE17CB8"/>
    <w:rsid w:val="3EF51FB7"/>
    <w:rsid w:val="3F1306FF"/>
    <w:rsid w:val="3F185650"/>
    <w:rsid w:val="3F3D74FE"/>
    <w:rsid w:val="3F5C6563"/>
    <w:rsid w:val="3F6658BE"/>
    <w:rsid w:val="3F6E5909"/>
    <w:rsid w:val="3F732F1F"/>
    <w:rsid w:val="3F8B4DCB"/>
    <w:rsid w:val="3F8F585D"/>
    <w:rsid w:val="3F943D1B"/>
    <w:rsid w:val="3FA02DBC"/>
    <w:rsid w:val="3FA53551"/>
    <w:rsid w:val="3FB377C0"/>
    <w:rsid w:val="3FE924AB"/>
    <w:rsid w:val="3FF57B93"/>
    <w:rsid w:val="400A234C"/>
    <w:rsid w:val="400D2DE3"/>
    <w:rsid w:val="4016635C"/>
    <w:rsid w:val="40203834"/>
    <w:rsid w:val="40307E9A"/>
    <w:rsid w:val="403D1DDC"/>
    <w:rsid w:val="407231D7"/>
    <w:rsid w:val="4093731B"/>
    <w:rsid w:val="40BC6B48"/>
    <w:rsid w:val="40D23719"/>
    <w:rsid w:val="40E30222"/>
    <w:rsid w:val="40E83FE1"/>
    <w:rsid w:val="40FA31CC"/>
    <w:rsid w:val="410C4458"/>
    <w:rsid w:val="410D4CAE"/>
    <w:rsid w:val="413D55B0"/>
    <w:rsid w:val="41434CD3"/>
    <w:rsid w:val="416D0BAF"/>
    <w:rsid w:val="41807B75"/>
    <w:rsid w:val="41822A2D"/>
    <w:rsid w:val="41960681"/>
    <w:rsid w:val="419F13B9"/>
    <w:rsid w:val="41B0357E"/>
    <w:rsid w:val="41B45A71"/>
    <w:rsid w:val="41C6542E"/>
    <w:rsid w:val="41DC3051"/>
    <w:rsid w:val="41F1543D"/>
    <w:rsid w:val="428B2CBA"/>
    <w:rsid w:val="428E0A7D"/>
    <w:rsid w:val="42A67168"/>
    <w:rsid w:val="431C7B37"/>
    <w:rsid w:val="431D7DF7"/>
    <w:rsid w:val="432A79A3"/>
    <w:rsid w:val="43305B7C"/>
    <w:rsid w:val="43417218"/>
    <w:rsid w:val="43526EC5"/>
    <w:rsid w:val="435B4E76"/>
    <w:rsid w:val="43702C5B"/>
    <w:rsid w:val="43A6084D"/>
    <w:rsid w:val="43AB6ABC"/>
    <w:rsid w:val="43B27D8E"/>
    <w:rsid w:val="43CC5F8B"/>
    <w:rsid w:val="43F36892"/>
    <w:rsid w:val="43F860E9"/>
    <w:rsid w:val="44143569"/>
    <w:rsid w:val="442567B2"/>
    <w:rsid w:val="442878AA"/>
    <w:rsid w:val="44817CB0"/>
    <w:rsid w:val="448E6DB8"/>
    <w:rsid w:val="44DF2E05"/>
    <w:rsid w:val="44EE26CA"/>
    <w:rsid w:val="44FB0820"/>
    <w:rsid w:val="44FF65D0"/>
    <w:rsid w:val="452B117E"/>
    <w:rsid w:val="454D07BA"/>
    <w:rsid w:val="45680CEB"/>
    <w:rsid w:val="457823F7"/>
    <w:rsid w:val="45976B09"/>
    <w:rsid w:val="459A61E7"/>
    <w:rsid w:val="45CA13BF"/>
    <w:rsid w:val="464F2553"/>
    <w:rsid w:val="46594243"/>
    <w:rsid w:val="465D66D7"/>
    <w:rsid w:val="46A43729"/>
    <w:rsid w:val="46CA191C"/>
    <w:rsid w:val="46CE51A3"/>
    <w:rsid w:val="47351061"/>
    <w:rsid w:val="47511E6C"/>
    <w:rsid w:val="47625724"/>
    <w:rsid w:val="476B6BD2"/>
    <w:rsid w:val="478B5D38"/>
    <w:rsid w:val="479E48B1"/>
    <w:rsid w:val="47A65E5C"/>
    <w:rsid w:val="47A74968"/>
    <w:rsid w:val="47B86FB2"/>
    <w:rsid w:val="47C512BC"/>
    <w:rsid w:val="47D44777"/>
    <w:rsid w:val="480506E4"/>
    <w:rsid w:val="48075044"/>
    <w:rsid w:val="481201FA"/>
    <w:rsid w:val="482371C6"/>
    <w:rsid w:val="483A4048"/>
    <w:rsid w:val="48487B87"/>
    <w:rsid w:val="484B06FC"/>
    <w:rsid w:val="48524340"/>
    <w:rsid w:val="48710218"/>
    <w:rsid w:val="48721043"/>
    <w:rsid w:val="48B335CE"/>
    <w:rsid w:val="48D569F9"/>
    <w:rsid w:val="49197167"/>
    <w:rsid w:val="491D12AA"/>
    <w:rsid w:val="49282FCC"/>
    <w:rsid w:val="49297731"/>
    <w:rsid w:val="49380A58"/>
    <w:rsid w:val="49423962"/>
    <w:rsid w:val="49951CE4"/>
    <w:rsid w:val="49A07EED"/>
    <w:rsid w:val="49A255F3"/>
    <w:rsid w:val="49AD4EFF"/>
    <w:rsid w:val="49AF0FF8"/>
    <w:rsid w:val="49BD2E50"/>
    <w:rsid w:val="49CA5C34"/>
    <w:rsid w:val="4A0307A1"/>
    <w:rsid w:val="4A391C17"/>
    <w:rsid w:val="4A3A576B"/>
    <w:rsid w:val="4A91694F"/>
    <w:rsid w:val="4A9257A1"/>
    <w:rsid w:val="4AA65B36"/>
    <w:rsid w:val="4AA93C99"/>
    <w:rsid w:val="4AB76303"/>
    <w:rsid w:val="4AE06F51"/>
    <w:rsid w:val="4AF63FE5"/>
    <w:rsid w:val="4B111174"/>
    <w:rsid w:val="4B180E1F"/>
    <w:rsid w:val="4B313AC2"/>
    <w:rsid w:val="4B313C8F"/>
    <w:rsid w:val="4B4B2FA2"/>
    <w:rsid w:val="4B7B407F"/>
    <w:rsid w:val="4B7D2A7E"/>
    <w:rsid w:val="4BB70638"/>
    <w:rsid w:val="4BB943B0"/>
    <w:rsid w:val="4BCF4CF7"/>
    <w:rsid w:val="4BE3142D"/>
    <w:rsid w:val="4BF313AD"/>
    <w:rsid w:val="4C596707"/>
    <w:rsid w:val="4C5A4769"/>
    <w:rsid w:val="4C6B5F7E"/>
    <w:rsid w:val="4C78555F"/>
    <w:rsid w:val="4C8D2994"/>
    <w:rsid w:val="4CA6423D"/>
    <w:rsid w:val="4CAE4E71"/>
    <w:rsid w:val="4CAF22A0"/>
    <w:rsid w:val="4CC528E0"/>
    <w:rsid w:val="4CF37A6E"/>
    <w:rsid w:val="4CFB1AA9"/>
    <w:rsid w:val="4D061187"/>
    <w:rsid w:val="4D2362C4"/>
    <w:rsid w:val="4D496A60"/>
    <w:rsid w:val="4D7E1318"/>
    <w:rsid w:val="4D9D13AC"/>
    <w:rsid w:val="4DBE5CAD"/>
    <w:rsid w:val="4DCE1C69"/>
    <w:rsid w:val="4DDA6DAB"/>
    <w:rsid w:val="4DFC7F38"/>
    <w:rsid w:val="4E005311"/>
    <w:rsid w:val="4E125FF9"/>
    <w:rsid w:val="4E2022AF"/>
    <w:rsid w:val="4E4279C8"/>
    <w:rsid w:val="4E766588"/>
    <w:rsid w:val="4E953FA2"/>
    <w:rsid w:val="4E9D78C9"/>
    <w:rsid w:val="4E9E788D"/>
    <w:rsid w:val="4EB64BD7"/>
    <w:rsid w:val="4EB66833"/>
    <w:rsid w:val="4EBA567C"/>
    <w:rsid w:val="4EC372F3"/>
    <w:rsid w:val="4F0771E0"/>
    <w:rsid w:val="4F0C734F"/>
    <w:rsid w:val="4F182285"/>
    <w:rsid w:val="4F343D4D"/>
    <w:rsid w:val="4F372EF6"/>
    <w:rsid w:val="4F71350D"/>
    <w:rsid w:val="4FAA7826"/>
    <w:rsid w:val="4FC41575"/>
    <w:rsid w:val="4FCC257F"/>
    <w:rsid w:val="4FD277EE"/>
    <w:rsid w:val="50167546"/>
    <w:rsid w:val="503362B4"/>
    <w:rsid w:val="50341134"/>
    <w:rsid w:val="50597F0F"/>
    <w:rsid w:val="50997485"/>
    <w:rsid w:val="50CA0A51"/>
    <w:rsid w:val="50D8127C"/>
    <w:rsid w:val="50DE6FA3"/>
    <w:rsid w:val="50E365B7"/>
    <w:rsid w:val="50E44D44"/>
    <w:rsid w:val="50F034FD"/>
    <w:rsid w:val="50F97139"/>
    <w:rsid w:val="51166987"/>
    <w:rsid w:val="512C2F2E"/>
    <w:rsid w:val="5184720E"/>
    <w:rsid w:val="51CE443E"/>
    <w:rsid w:val="522930DC"/>
    <w:rsid w:val="522F4945"/>
    <w:rsid w:val="5245699D"/>
    <w:rsid w:val="525249CF"/>
    <w:rsid w:val="525E180D"/>
    <w:rsid w:val="52734B8D"/>
    <w:rsid w:val="527C1FF7"/>
    <w:rsid w:val="52A7134F"/>
    <w:rsid w:val="52AF6ACA"/>
    <w:rsid w:val="52C42AF5"/>
    <w:rsid w:val="52D74CB9"/>
    <w:rsid w:val="52F35702"/>
    <w:rsid w:val="52FD1516"/>
    <w:rsid w:val="53285FDB"/>
    <w:rsid w:val="53315E9D"/>
    <w:rsid w:val="5334431C"/>
    <w:rsid w:val="53364538"/>
    <w:rsid w:val="53373BA6"/>
    <w:rsid w:val="533F1BB2"/>
    <w:rsid w:val="534F1156"/>
    <w:rsid w:val="53634C56"/>
    <w:rsid w:val="536F4BB4"/>
    <w:rsid w:val="538D538A"/>
    <w:rsid w:val="53953E9A"/>
    <w:rsid w:val="539F032F"/>
    <w:rsid w:val="53D72ED1"/>
    <w:rsid w:val="541933F3"/>
    <w:rsid w:val="541A79B6"/>
    <w:rsid w:val="541C5D98"/>
    <w:rsid w:val="543C5B7E"/>
    <w:rsid w:val="54404F95"/>
    <w:rsid w:val="54482775"/>
    <w:rsid w:val="545A7756"/>
    <w:rsid w:val="546926EB"/>
    <w:rsid w:val="548D63DA"/>
    <w:rsid w:val="54D81AA5"/>
    <w:rsid w:val="54FA4DAE"/>
    <w:rsid w:val="54FC2E74"/>
    <w:rsid w:val="55251628"/>
    <w:rsid w:val="552E728A"/>
    <w:rsid w:val="554247F4"/>
    <w:rsid w:val="556619E9"/>
    <w:rsid w:val="55750581"/>
    <w:rsid w:val="55C53951"/>
    <w:rsid w:val="55F37A70"/>
    <w:rsid w:val="564A1454"/>
    <w:rsid w:val="566551B1"/>
    <w:rsid w:val="569552AE"/>
    <w:rsid w:val="56996C69"/>
    <w:rsid w:val="569E03DD"/>
    <w:rsid w:val="56A25910"/>
    <w:rsid w:val="56D54347"/>
    <w:rsid w:val="56E115C3"/>
    <w:rsid w:val="56F4057A"/>
    <w:rsid w:val="5736038E"/>
    <w:rsid w:val="57454D4A"/>
    <w:rsid w:val="574B60D8"/>
    <w:rsid w:val="578F79EE"/>
    <w:rsid w:val="57A64695"/>
    <w:rsid w:val="57A731FB"/>
    <w:rsid w:val="57C85EC1"/>
    <w:rsid w:val="57C943F0"/>
    <w:rsid w:val="57CF51E1"/>
    <w:rsid w:val="57E80FEC"/>
    <w:rsid w:val="57F760AF"/>
    <w:rsid w:val="58095C74"/>
    <w:rsid w:val="58171E14"/>
    <w:rsid w:val="58184AB9"/>
    <w:rsid w:val="58305506"/>
    <w:rsid w:val="586C6306"/>
    <w:rsid w:val="586F70F4"/>
    <w:rsid w:val="589942FF"/>
    <w:rsid w:val="58BE1257"/>
    <w:rsid w:val="58C15EA3"/>
    <w:rsid w:val="58C623F4"/>
    <w:rsid w:val="58E32A6C"/>
    <w:rsid w:val="59007E68"/>
    <w:rsid w:val="59466FF0"/>
    <w:rsid w:val="59554156"/>
    <w:rsid w:val="59847060"/>
    <w:rsid w:val="59C22414"/>
    <w:rsid w:val="5A162382"/>
    <w:rsid w:val="5A4C2893"/>
    <w:rsid w:val="5A5D6854"/>
    <w:rsid w:val="5A690A56"/>
    <w:rsid w:val="5A773F56"/>
    <w:rsid w:val="5A895D8A"/>
    <w:rsid w:val="5AA30202"/>
    <w:rsid w:val="5AA7739B"/>
    <w:rsid w:val="5AC24903"/>
    <w:rsid w:val="5ADC3952"/>
    <w:rsid w:val="5AF80325"/>
    <w:rsid w:val="5AFA22EF"/>
    <w:rsid w:val="5B1222A2"/>
    <w:rsid w:val="5B2566EB"/>
    <w:rsid w:val="5B2D6AF3"/>
    <w:rsid w:val="5B323837"/>
    <w:rsid w:val="5B434D37"/>
    <w:rsid w:val="5B4F0260"/>
    <w:rsid w:val="5B99464A"/>
    <w:rsid w:val="5BBA1592"/>
    <w:rsid w:val="5BBE156E"/>
    <w:rsid w:val="5BC83538"/>
    <w:rsid w:val="5BE70AC5"/>
    <w:rsid w:val="5BEC5B75"/>
    <w:rsid w:val="5BED7A53"/>
    <w:rsid w:val="5BEF091F"/>
    <w:rsid w:val="5C0F0B93"/>
    <w:rsid w:val="5C7165E1"/>
    <w:rsid w:val="5C8433E2"/>
    <w:rsid w:val="5C8C71A2"/>
    <w:rsid w:val="5CC91F79"/>
    <w:rsid w:val="5CDC7EFE"/>
    <w:rsid w:val="5CE6531F"/>
    <w:rsid w:val="5CFA4828"/>
    <w:rsid w:val="5D961054"/>
    <w:rsid w:val="5D96721D"/>
    <w:rsid w:val="5DAB7081"/>
    <w:rsid w:val="5DB466C0"/>
    <w:rsid w:val="5DB62BEA"/>
    <w:rsid w:val="5DBE4ED2"/>
    <w:rsid w:val="5DCE024E"/>
    <w:rsid w:val="5DD605FF"/>
    <w:rsid w:val="5DDD2180"/>
    <w:rsid w:val="5DE71D52"/>
    <w:rsid w:val="5DFA76CB"/>
    <w:rsid w:val="5DFB0858"/>
    <w:rsid w:val="5E227684"/>
    <w:rsid w:val="5E353DB6"/>
    <w:rsid w:val="5E3E24F3"/>
    <w:rsid w:val="5E5403C9"/>
    <w:rsid w:val="5E5B30A5"/>
    <w:rsid w:val="5E8B0989"/>
    <w:rsid w:val="5E99092A"/>
    <w:rsid w:val="5EC57149"/>
    <w:rsid w:val="5EE27322"/>
    <w:rsid w:val="5EEC10EE"/>
    <w:rsid w:val="5F074FDA"/>
    <w:rsid w:val="5F2D4BE2"/>
    <w:rsid w:val="5F3202A9"/>
    <w:rsid w:val="5F681F1D"/>
    <w:rsid w:val="5FA17B0B"/>
    <w:rsid w:val="5FB171AF"/>
    <w:rsid w:val="5FB77972"/>
    <w:rsid w:val="5FC1162D"/>
    <w:rsid w:val="5FCD7FD2"/>
    <w:rsid w:val="5FD107C0"/>
    <w:rsid w:val="5FDC2140"/>
    <w:rsid w:val="5FF41558"/>
    <w:rsid w:val="5FF512DA"/>
    <w:rsid w:val="60002561"/>
    <w:rsid w:val="60092EC5"/>
    <w:rsid w:val="600D6135"/>
    <w:rsid w:val="601C4FBB"/>
    <w:rsid w:val="603E4E92"/>
    <w:rsid w:val="604828E9"/>
    <w:rsid w:val="608E00BE"/>
    <w:rsid w:val="60AF2018"/>
    <w:rsid w:val="60C07B37"/>
    <w:rsid w:val="60CC7C75"/>
    <w:rsid w:val="60DA145C"/>
    <w:rsid w:val="60F81756"/>
    <w:rsid w:val="611D5F18"/>
    <w:rsid w:val="61262D1D"/>
    <w:rsid w:val="61355094"/>
    <w:rsid w:val="61412A26"/>
    <w:rsid w:val="615C33BC"/>
    <w:rsid w:val="61887B84"/>
    <w:rsid w:val="6192502F"/>
    <w:rsid w:val="61D90EB0"/>
    <w:rsid w:val="61DE2022"/>
    <w:rsid w:val="6211064A"/>
    <w:rsid w:val="622D3B93"/>
    <w:rsid w:val="62312A9A"/>
    <w:rsid w:val="62571DD5"/>
    <w:rsid w:val="62745919"/>
    <w:rsid w:val="627D5CDF"/>
    <w:rsid w:val="62882281"/>
    <w:rsid w:val="628A2684"/>
    <w:rsid w:val="629061C2"/>
    <w:rsid w:val="62CE02E9"/>
    <w:rsid w:val="62E21FE6"/>
    <w:rsid w:val="62E93375"/>
    <w:rsid w:val="62EF63E6"/>
    <w:rsid w:val="633B1BF7"/>
    <w:rsid w:val="633D5887"/>
    <w:rsid w:val="634D73B8"/>
    <w:rsid w:val="635F53E5"/>
    <w:rsid w:val="63660A46"/>
    <w:rsid w:val="639130C5"/>
    <w:rsid w:val="63B45B93"/>
    <w:rsid w:val="63B5579F"/>
    <w:rsid w:val="63D556A7"/>
    <w:rsid w:val="63DC4C88"/>
    <w:rsid w:val="63E05ED2"/>
    <w:rsid w:val="63E85BB7"/>
    <w:rsid w:val="64055F8C"/>
    <w:rsid w:val="640C3BFD"/>
    <w:rsid w:val="64482DD2"/>
    <w:rsid w:val="64517412"/>
    <w:rsid w:val="64707239"/>
    <w:rsid w:val="6489237D"/>
    <w:rsid w:val="64AA280D"/>
    <w:rsid w:val="64AF7285"/>
    <w:rsid w:val="64B259E8"/>
    <w:rsid w:val="64CB331D"/>
    <w:rsid w:val="64E23358"/>
    <w:rsid w:val="64F12533"/>
    <w:rsid w:val="6532174F"/>
    <w:rsid w:val="6548623C"/>
    <w:rsid w:val="655D3BA6"/>
    <w:rsid w:val="65666CFE"/>
    <w:rsid w:val="658729D1"/>
    <w:rsid w:val="658F011F"/>
    <w:rsid w:val="65DE1645"/>
    <w:rsid w:val="65DE2EE3"/>
    <w:rsid w:val="66160DDB"/>
    <w:rsid w:val="6622578F"/>
    <w:rsid w:val="66256A09"/>
    <w:rsid w:val="66391F1D"/>
    <w:rsid w:val="665751A3"/>
    <w:rsid w:val="66630D48"/>
    <w:rsid w:val="66E55400"/>
    <w:rsid w:val="66F2475B"/>
    <w:rsid w:val="670718A6"/>
    <w:rsid w:val="671158DA"/>
    <w:rsid w:val="67194A9A"/>
    <w:rsid w:val="671D1AA0"/>
    <w:rsid w:val="672273D3"/>
    <w:rsid w:val="672E506D"/>
    <w:rsid w:val="67353D46"/>
    <w:rsid w:val="678E728A"/>
    <w:rsid w:val="679230DC"/>
    <w:rsid w:val="67A26F35"/>
    <w:rsid w:val="67B023C7"/>
    <w:rsid w:val="67F36AA6"/>
    <w:rsid w:val="67F91949"/>
    <w:rsid w:val="67FB6CA3"/>
    <w:rsid w:val="67FB7C60"/>
    <w:rsid w:val="68000819"/>
    <w:rsid w:val="686D3E0B"/>
    <w:rsid w:val="687731C1"/>
    <w:rsid w:val="68BB130F"/>
    <w:rsid w:val="68C857DA"/>
    <w:rsid w:val="68F51067"/>
    <w:rsid w:val="69252C2D"/>
    <w:rsid w:val="692C5D69"/>
    <w:rsid w:val="6933091D"/>
    <w:rsid w:val="69A255F9"/>
    <w:rsid w:val="69CF5776"/>
    <w:rsid w:val="69E83D91"/>
    <w:rsid w:val="69FC1894"/>
    <w:rsid w:val="69FE0812"/>
    <w:rsid w:val="6A047E6A"/>
    <w:rsid w:val="6A200A15"/>
    <w:rsid w:val="6A2A3A3D"/>
    <w:rsid w:val="6A2B5A61"/>
    <w:rsid w:val="6A6E37B1"/>
    <w:rsid w:val="6A800E76"/>
    <w:rsid w:val="6AB9362D"/>
    <w:rsid w:val="6ADD14DF"/>
    <w:rsid w:val="6AFD6D86"/>
    <w:rsid w:val="6B286208"/>
    <w:rsid w:val="6B33284D"/>
    <w:rsid w:val="6B841E8D"/>
    <w:rsid w:val="6BA50055"/>
    <w:rsid w:val="6BD373AD"/>
    <w:rsid w:val="6BE20037"/>
    <w:rsid w:val="6BE9737A"/>
    <w:rsid w:val="6BF863D7"/>
    <w:rsid w:val="6C1825D5"/>
    <w:rsid w:val="6C423AF6"/>
    <w:rsid w:val="6C5775A1"/>
    <w:rsid w:val="6C726189"/>
    <w:rsid w:val="6C7D1EA3"/>
    <w:rsid w:val="6C9A123C"/>
    <w:rsid w:val="6C9E46F2"/>
    <w:rsid w:val="6CBE13CE"/>
    <w:rsid w:val="6D064B23"/>
    <w:rsid w:val="6D104FF0"/>
    <w:rsid w:val="6D2B48F0"/>
    <w:rsid w:val="6D2E5262"/>
    <w:rsid w:val="6D782E38"/>
    <w:rsid w:val="6DBF077F"/>
    <w:rsid w:val="6DC312DB"/>
    <w:rsid w:val="6DC42C23"/>
    <w:rsid w:val="6E090942"/>
    <w:rsid w:val="6E227659"/>
    <w:rsid w:val="6E315278"/>
    <w:rsid w:val="6E4F3FA8"/>
    <w:rsid w:val="6E5D69C5"/>
    <w:rsid w:val="6EA619DB"/>
    <w:rsid w:val="6EB1360D"/>
    <w:rsid w:val="6ED547AD"/>
    <w:rsid w:val="6EEA46FD"/>
    <w:rsid w:val="6F194782"/>
    <w:rsid w:val="6F197B27"/>
    <w:rsid w:val="6F282B2F"/>
    <w:rsid w:val="6F67284A"/>
    <w:rsid w:val="6F763AAD"/>
    <w:rsid w:val="6F8A5598"/>
    <w:rsid w:val="6F975F07"/>
    <w:rsid w:val="6FDA1CCC"/>
    <w:rsid w:val="6FEA110A"/>
    <w:rsid w:val="6FED5B27"/>
    <w:rsid w:val="701D18D3"/>
    <w:rsid w:val="70227EC6"/>
    <w:rsid w:val="70270E2B"/>
    <w:rsid w:val="702F4391"/>
    <w:rsid w:val="7062714A"/>
    <w:rsid w:val="70A121F1"/>
    <w:rsid w:val="70AD73F2"/>
    <w:rsid w:val="70F771AB"/>
    <w:rsid w:val="711C2058"/>
    <w:rsid w:val="711F5929"/>
    <w:rsid w:val="71326055"/>
    <w:rsid w:val="71367258"/>
    <w:rsid w:val="71744751"/>
    <w:rsid w:val="71807876"/>
    <w:rsid w:val="71840874"/>
    <w:rsid w:val="71867FE1"/>
    <w:rsid w:val="71897008"/>
    <w:rsid w:val="719B73D9"/>
    <w:rsid w:val="71C10866"/>
    <w:rsid w:val="71FB629D"/>
    <w:rsid w:val="720E45A6"/>
    <w:rsid w:val="723D4B43"/>
    <w:rsid w:val="72473C14"/>
    <w:rsid w:val="724E4528"/>
    <w:rsid w:val="726B070E"/>
    <w:rsid w:val="726B5B54"/>
    <w:rsid w:val="72807126"/>
    <w:rsid w:val="72AC7F1B"/>
    <w:rsid w:val="72CD025F"/>
    <w:rsid w:val="72E77F23"/>
    <w:rsid w:val="731358A4"/>
    <w:rsid w:val="734972AD"/>
    <w:rsid w:val="735E7467"/>
    <w:rsid w:val="73632232"/>
    <w:rsid w:val="73726199"/>
    <w:rsid w:val="738A5E33"/>
    <w:rsid w:val="738C31E3"/>
    <w:rsid w:val="73AF381F"/>
    <w:rsid w:val="73DE54F2"/>
    <w:rsid w:val="73E831D5"/>
    <w:rsid w:val="73FE47A6"/>
    <w:rsid w:val="740351D7"/>
    <w:rsid w:val="74040C06"/>
    <w:rsid w:val="74046346"/>
    <w:rsid w:val="7443040B"/>
    <w:rsid w:val="7443320F"/>
    <w:rsid w:val="745A4C9C"/>
    <w:rsid w:val="745B4B48"/>
    <w:rsid w:val="748A1881"/>
    <w:rsid w:val="74B15375"/>
    <w:rsid w:val="74C32FC7"/>
    <w:rsid w:val="74CB28DA"/>
    <w:rsid w:val="74F70269"/>
    <w:rsid w:val="7511101A"/>
    <w:rsid w:val="75220020"/>
    <w:rsid w:val="754548E7"/>
    <w:rsid w:val="757649DB"/>
    <w:rsid w:val="75B26CAA"/>
    <w:rsid w:val="75B320F2"/>
    <w:rsid w:val="75C4172D"/>
    <w:rsid w:val="75D022F6"/>
    <w:rsid w:val="75DE7C53"/>
    <w:rsid w:val="75FC2F67"/>
    <w:rsid w:val="76053BCA"/>
    <w:rsid w:val="7617511F"/>
    <w:rsid w:val="762439B5"/>
    <w:rsid w:val="76281940"/>
    <w:rsid w:val="762823CA"/>
    <w:rsid w:val="7636061C"/>
    <w:rsid w:val="76370FB6"/>
    <w:rsid w:val="765B457B"/>
    <w:rsid w:val="766C0F95"/>
    <w:rsid w:val="76912D50"/>
    <w:rsid w:val="76A445BA"/>
    <w:rsid w:val="76A7208A"/>
    <w:rsid w:val="76FC5FED"/>
    <w:rsid w:val="770519A8"/>
    <w:rsid w:val="771147F0"/>
    <w:rsid w:val="7721047C"/>
    <w:rsid w:val="776F2007"/>
    <w:rsid w:val="77C048CC"/>
    <w:rsid w:val="77CD0F1C"/>
    <w:rsid w:val="77D47CF8"/>
    <w:rsid w:val="77E15F71"/>
    <w:rsid w:val="77EB3191"/>
    <w:rsid w:val="77F04406"/>
    <w:rsid w:val="77F42148"/>
    <w:rsid w:val="77F55EC0"/>
    <w:rsid w:val="78142B9B"/>
    <w:rsid w:val="783E60B0"/>
    <w:rsid w:val="78743F14"/>
    <w:rsid w:val="787E7C64"/>
    <w:rsid w:val="788A03B6"/>
    <w:rsid w:val="78B239B5"/>
    <w:rsid w:val="78CD25D6"/>
    <w:rsid w:val="78DB4F1F"/>
    <w:rsid w:val="79202452"/>
    <w:rsid w:val="792D0D1D"/>
    <w:rsid w:val="79466237"/>
    <w:rsid w:val="7951511F"/>
    <w:rsid w:val="796B6DDB"/>
    <w:rsid w:val="796C3F60"/>
    <w:rsid w:val="797116FA"/>
    <w:rsid w:val="798132EA"/>
    <w:rsid w:val="79D51B05"/>
    <w:rsid w:val="7A15284A"/>
    <w:rsid w:val="7A7B4132"/>
    <w:rsid w:val="7AA53173"/>
    <w:rsid w:val="7ABA1743"/>
    <w:rsid w:val="7ABA3BCE"/>
    <w:rsid w:val="7AEC35AA"/>
    <w:rsid w:val="7B024B7C"/>
    <w:rsid w:val="7B0F7299"/>
    <w:rsid w:val="7B3A2568"/>
    <w:rsid w:val="7B783E16"/>
    <w:rsid w:val="7B9D48A5"/>
    <w:rsid w:val="7BA140DD"/>
    <w:rsid w:val="7BA5663A"/>
    <w:rsid w:val="7BAD7354"/>
    <w:rsid w:val="7BB21CB6"/>
    <w:rsid w:val="7BBF41D0"/>
    <w:rsid w:val="7BC938EC"/>
    <w:rsid w:val="7BD15627"/>
    <w:rsid w:val="7BDF0DD0"/>
    <w:rsid w:val="7BDF310F"/>
    <w:rsid w:val="7BFF180C"/>
    <w:rsid w:val="7C140D40"/>
    <w:rsid w:val="7C3866E3"/>
    <w:rsid w:val="7C41588D"/>
    <w:rsid w:val="7C417926"/>
    <w:rsid w:val="7C7F1C27"/>
    <w:rsid w:val="7CC1007A"/>
    <w:rsid w:val="7CE54755"/>
    <w:rsid w:val="7D1826DB"/>
    <w:rsid w:val="7D214ADD"/>
    <w:rsid w:val="7D292894"/>
    <w:rsid w:val="7D2C5B4E"/>
    <w:rsid w:val="7D2F491B"/>
    <w:rsid w:val="7D3C10C6"/>
    <w:rsid w:val="7D5B4A17"/>
    <w:rsid w:val="7D80447E"/>
    <w:rsid w:val="7DA02B57"/>
    <w:rsid w:val="7DB427B3"/>
    <w:rsid w:val="7DF264DA"/>
    <w:rsid w:val="7E152447"/>
    <w:rsid w:val="7E176B90"/>
    <w:rsid w:val="7E2B6A30"/>
    <w:rsid w:val="7E2F17DD"/>
    <w:rsid w:val="7E5C2E16"/>
    <w:rsid w:val="7E7C266C"/>
    <w:rsid w:val="7E871658"/>
    <w:rsid w:val="7E967D09"/>
    <w:rsid w:val="7EC319FB"/>
    <w:rsid w:val="7EC90283"/>
    <w:rsid w:val="7F0215EE"/>
    <w:rsid w:val="7F263702"/>
    <w:rsid w:val="7F7A3E47"/>
    <w:rsid w:val="7F7E416E"/>
    <w:rsid w:val="7F971818"/>
    <w:rsid w:val="7FED5851"/>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0"/>
    <w:pPr>
      <w:keepNext/>
      <w:keepLines/>
      <w:spacing w:before="340" w:after="330" w:line="576" w:lineRule="auto"/>
      <w:outlineLvl w:val="0"/>
    </w:pPr>
    <w:rPr>
      <w:rFonts w:eastAsia="黑体"/>
      <w:b/>
      <w:bCs/>
      <w:kern w:val="44"/>
      <w:szCs w:val="44"/>
    </w:rPr>
  </w:style>
  <w:style w:type="paragraph" w:styleId="4">
    <w:name w:val="heading 2"/>
    <w:basedOn w:val="1"/>
    <w:next w:val="1"/>
    <w:link w:val="32"/>
    <w:qFormat/>
    <w:uiPriority w:val="0"/>
    <w:pPr>
      <w:keepNext/>
      <w:keepLines/>
      <w:adjustRightInd w:val="0"/>
      <w:snapToGrid w:val="0"/>
      <w:spacing w:before="240" w:after="120"/>
      <w:outlineLvl w:val="1"/>
    </w:pPr>
    <w:rPr>
      <w:rFonts w:ascii="黑体" w:hAnsi="宋体" w:eastAsia="黑体" w:cs="Courier New"/>
      <w:bCs/>
      <w:sz w:val="32"/>
      <w:szCs w:val="32"/>
    </w:rPr>
  </w:style>
  <w:style w:type="paragraph" w:styleId="5">
    <w:name w:val="heading 3"/>
    <w:basedOn w:val="1"/>
    <w:next w:val="1"/>
    <w:link w:val="36"/>
    <w:unhideWhenUsed/>
    <w:qFormat/>
    <w:uiPriority w:val="9"/>
    <w:pPr>
      <w:keepNext/>
      <w:keepLines/>
      <w:spacing w:before="260" w:after="260" w:line="416" w:lineRule="auto"/>
      <w:outlineLvl w:val="2"/>
    </w:pPr>
    <w:rPr>
      <w:b/>
      <w:bCs/>
      <w:sz w:val="32"/>
      <w:szCs w:val="32"/>
    </w:rPr>
  </w:style>
  <w:style w:type="character" w:default="1" w:styleId="16">
    <w:name w:val="Default Paragraph Font"/>
    <w:unhideWhenUsed/>
    <w:qFormat/>
    <w:uiPriority w:val="1"/>
  </w:style>
  <w:style w:type="table" w:default="1" w:styleId="22">
    <w:name w:val="Normal Table"/>
    <w:unhideWhenUsed/>
    <w:qFormat/>
    <w:uiPriority w:val="99"/>
    <w:tblPr>
      <w:tblLayout w:type="fixed"/>
      <w:tblCellMar>
        <w:top w:w="0" w:type="dxa"/>
        <w:left w:w="108" w:type="dxa"/>
        <w:bottom w:w="0" w:type="dxa"/>
        <w:right w:w="108" w:type="dxa"/>
      </w:tblCellMar>
    </w:tblPr>
  </w:style>
  <w:style w:type="paragraph" w:styleId="2">
    <w:name w:val="Title"/>
    <w:basedOn w:val="1"/>
    <w:next w:val="1"/>
    <w:qFormat/>
    <w:uiPriority w:val="0"/>
    <w:pPr>
      <w:spacing w:before="240" w:after="60"/>
      <w:jc w:val="center"/>
      <w:outlineLvl w:val="0"/>
    </w:pPr>
    <w:rPr>
      <w:rFonts w:ascii="Calibri Light" w:hAnsi="Calibri Light" w:cs="Times New Roman"/>
      <w:b/>
      <w:bCs/>
      <w:sz w:val="32"/>
      <w:szCs w:val="32"/>
    </w:rPr>
  </w:style>
  <w:style w:type="paragraph" w:styleId="6">
    <w:name w:val="annotation text"/>
    <w:basedOn w:val="1"/>
    <w:unhideWhenUsed/>
    <w:qFormat/>
    <w:uiPriority w:val="99"/>
    <w:pPr>
      <w:jc w:val="left"/>
    </w:pPr>
    <w:rPr>
      <w:rFonts w:eastAsia="宋体"/>
    </w:rPr>
  </w:style>
  <w:style w:type="paragraph" w:styleId="7">
    <w:name w:val="Body Text"/>
    <w:basedOn w:val="1"/>
    <w:link w:val="29"/>
    <w:qFormat/>
    <w:uiPriority w:val="0"/>
    <w:pPr>
      <w:spacing w:after="120"/>
    </w:pPr>
    <w:rPr>
      <w:szCs w:val="24"/>
    </w:rPr>
  </w:style>
  <w:style w:type="paragraph" w:styleId="8">
    <w:name w:val="toc 3"/>
    <w:basedOn w:val="1"/>
    <w:next w:val="1"/>
    <w:unhideWhenUsed/>
    <w:qFormat/>
    <w:uiPriority w:val="39"/>
    <w:pPr>
      <w:ind w:left="840" w:leftChars="400"/>
    </w:pPr>
  </w:style>
  <w:style w:type="paragraph" w:styleId="9">
    <w:name w:val="Date"/>
    <w:basedOn w:val="1"/>
    <w:next w:val="1"/>
    <w:link w:val="28"/>
    <w:unhideWhenUsed/>
    <w:qFormat/>
    <w:uiPriority w:val="99"/>
    <w:pPr>
      <w:ind w:left="100" w:leftChars="2500"/>
    </w:pPr>
  </w:style>
  <w:style w:type="paragraph" w:styleId="10">
    <w:name w:val="Balloon Text"/>
    <w:basedOn w:val="1"/>
    <w:link w:val="41"/>
    <w:unhideWhenUsed/>
    <w:qFormat/>
    <w:uiPriority w:val="99"/>
    <w:rPr>
      <w:sz w:val="18"/>
      <w:szCs w:val="18"/>
    </w:rPr>
  </w:style>
  <w:style w:type="paragraph" w:styleId="11">
    <w:name w:val="footer"/>
    <w:basedOn w:val="1"/>
    <w:link w:val="25"/>
    <w:unhideWhenUsed/>
    <w:qFormat/>
    <w:uiPriority w:val="99"/>
    <w:pPr>
      <w:tabs>
        <w:tab w:val="center" w:pos="4153"/>
        <w:tab w:val="right" w:pos="8306"/>
      </w:tabs>
      <w:snapToGrid w:val="0"/>
      <w:jc w:val="left"/>
    </w:pPr>
    <w:rPr>
      <w:sz w:val="18"/>
      <w:szCs w:val="18"/>
    </w:rPr>
  </w:style>
  <w:style w:type="paragraph" w:styleId="12">
    <w:name w:val="header"/>
    <w:basedOn w:val="1"/>
    <w:link w:val="24"/>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toc 1"/>
    <w:basedOn w:val="1"/>
    <w:next w:val="1"/>
    <w:unhideWhenUsed/>
    <w:qFormat/>
    <w:uiPriority w:val="39"/>
  </w:style>
  <w:style w:type="paragraph" w:styleId="14">
    <w:name w:val="toc 2"/>
    <w:basedOn w:val="1"/>
    <w:next w:val="1"/>
    <w:unhideWhenUsed/>
    <w:qFormat/>
    <w:uiPriority w:val="39"/>
    <w:pPr>
      <w:ind w:left="420" w:leftChars="200"/>
    </w:pPr>
  </w:style>
  <w:style w:type="paragraph" w:styleId="15">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17">
    <w:name w:val="Strong"/>
    <w:basedOn w:val="16"/>
    <w:qFormat/>
    <w:uiPriority w:val="22"/>
    <w:rPr>
      <w:b/>
      <w:bCs/>
    </w:rPr>
  </w:style>
  <w:style w:type="character" w:styleId="18">
    <w:name w:val="FollowedHyperlink"/>
    <w:basedOn w:val="16"/>
    <w:unhideWhenUsed/>
    <w:qFormat/>
    <w:uiPriority w:val="99"/>
    <w:rPr>
      <w:color w:val="333333"/>
      <w:u w:val="none"/>
    </w:rPr>
  </w:style>
  <w:style w:type="character" w:styleId="19">
    <w:name w:val="Emphasis"/>
    <w:basedOn w:val="16"/>
    <w:qFormat/>
    <w:uiPriority w:val="20"/>
    <w:rPr>
      <w:i/>
      <w:iCs/>
    </w:rPr>
  </w:style>
  <w:style w:type="character" w:styleId="20">
    <w:name w:val="Hyperlink"/>
    <w:basedOn w:val="16"/>
    <w:unhideWhenUsed/>
    <w:qFormat/>
    <w:uiPriority w:val="99"/>
    <w:rPr>
      <w:color w:val="333333"/>
      <w:u w:val="none"/>
    </w:rPr>
  </w:style>
  <w:style w:type="character" w:styleId="21">
    <w:name w:val="annotation reference"/>
    <w:basedOn w:val="16"/>
    <w:unhideWhenUsed/>
    <w:qFormat/>
    <w:uiPriority w:val="99"/>
    <w:rPr>
      <w:sz w:val="21"/>
      <w:szCs w:val="21"/>
    </w:rPr>
  </w:style>
  <w:style w:type="table" w:styleId="23">
    <w:name w:val="Table Grid"/>
    <w:basedOn w:val="2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24">
    <w:name w:val="页眉 字符"/>
    <w:basedOn w:val="16"/>
    <w:link w:val="12"/>
    <w:qFormat/>
    <w:uiPriority w:val="99"/>
    <w:rPr>
      <w:sz w:val="18"/>
      <w:szCs w:val="18"/>
    </w:rPr>
  </w:style>
  <w:style w:type="character" w:customStyle="1" w:styleId="25">
    <w:name w:val="页脚 字符"/>
    <w:basedOn w:val="16"/>
    <w:link w:val="11"/>
    <w:qFormat/>
    <w:uiPriority w:val="99"/>
    <w:rPr>
      <w:sz w:val="18"/>
      <w:szCs w:val="18"/>
    </w:rPr>
  </w:style>
  <w:style w:type="paragraph" w:customStyle="1" w:styleId="26">
    <w:name w:val="样式  Char + 首行缩进:  2 字符"/>
    <w:basedOn w:val="27"/>
    <w:qFormat/>
    <w:uiPriority w:val="0"/>
    <w:pPr>
      <w:tabs>
        <w:tab w:val="left" w:pos="4665"/>
        <w:tab w:val="left" w:pos="8970"/>
      </w:tabs>
      <w:spacing w:line="360" w:lineRule="auto"/>
      <w:ind w:firstLine="420"/>
    </w:pPr>
    <w:rPr>
      <w:rFonts w:ascii="宋体" w:hAnsi="宋体" w:eastAsia="宋体" w:cs="宋体"/>
      <w:sz w:val="28"/>
      <w:szCs w:val="28"/>
    </w:rPr>
  </w:style>
  <w:style w:type="paragraph" w:customStyle="1" w:styleId="27">
    <w:name w:val="Char"/>
    <w:basedOn w:val="1"/>
    <w:qFormat/>
    <w:uiPriority w:val="0"/>
    <w:pPr>
      <w:spacing w:line="360" w:lineRule="auto"/>
    </w:pPr>
    <w:rPr>
      <w:rFonts w:ascii="宋体" w:hAnsi="宋体"/>
      <w:b/>
      <w:bCs/>
      <w:sz w:val="28"/>
      <w:szCs w:val="28"/>
    </w:rPr>
  </w:style>
  <w:style w:type="character" w:customStyle="1" w:styleId="28">
    <w:name w:val="日期 字符"/>
    <w:basedOn w:val="16"/>
    <w:link w:val="9"/>
    <w:semiHidden/>
    <w:qFormat/>
    <w:uiPriority w:val="99"/>
  </w:style>
  <w:style w:type="character" w:customStyle="1" w:styleId="29">
    <w:name w:val="正文文本 字符"/>
    <w:basedOn w:val="16"/>
    <w:link w:val="7"/>
    <w:qFormat/>
    <w:uiPriority w:val="0"/>
    <w:rPr>
      <w:szCs w:val="24"/>
    </w:rPr>
  </w:style>
  <w:style w:type="character" w:customStyle="1" w:styleId="30">
    <w:name w:val="NormalCharacter"/>
    <w:link w:val="31"/>
    <w:qFormat/>
    <w:locked/>
    <w:uiPriority w:val="0"/>
    <w:rPr>
      <w:rFonts w:ascii="宋体" w:hAnsi="宋体" w:cs="Times New Roman"/>
      <w:szCs w:val="21"/>
    </w:rPr>
  </w:style>
  <w:style w:type="paragraph" w:customStyle="1" w:styleId="31">
    <w:name w:val="UserStyle_0"/>
    <w:basedOn w:val="1"/>
    <w:link w:val="30"/>
    <w:qFormat/>
    <w:uiPriority w:val="0"/>
    <w:pPr>
      <w:widowControl/>
      <w:spacing w:after="160" w:line="240" w:lineRule="exact"/>
    </w:pPr>
    <w:rPr>
      <w:rFonts w:ascii="宋体" w:hAnsi="宋体" w:cs="Times New Roman"/>
      <w:szCs w:val="21"/>
    </w:rPr>
  </w:style>
  <w:style w:type="character" w:customStyle="1" w:styleId="32">
    <w:name w:val="标题 2 字符"/>
    <w:basedOn w:val="16"/>
    <w:link w:val="4"/>
    <w:qFormat/>
    <w:uiPriority w:val="0"/>
    <w:rPr>
      <w:rFonts w:ascii="黑体" w:hAnsi="宋体" w:eastAsia="黑体" w:cs="Courier New"/>
      <w:bCs/>
      <w:sz w:val="32"/>
      <w:szCs w:val="32"/>
    </w:rPr>
  </w:style>
  <w:style w:type="character" w:customStyle="1" w:styleId="33">
    <w:name w:val="fontstyle01"/>
    <w:basedOn w:val="16"/>
    <w:qFormat/>
    <w:uiPriority w:val="0"/>
    <w:rPr>
      <w:rFonts w:hint="default" w:ascii="E-BZ" w:hAnsi="E-BZ"/>
      <w:color w:val="000000"/>
      <w:sz w:val="30"/>
      <w:szCs w:val="30"/>
    </w:rPr>
  </w:style>
  <w:style w:type="character" w:customStyle="1" w:styleId="34">
    <w:name w:val="fontstyle21"/>
    <w:basedOn w:val="16"/>
    <w:qFormat/>
    <w:uiPriority w:val="0"/>
    <w:rPr>
      <w:rFonts w:hint="default" w:ascii="FZFSK--GBK1-0" w:hAnsi="FZFSK--GBK1-0"/>
      <w:color w:val="000000"/>
      <w:sz w:val="30"/>
      <w:szCs w:val="30"/>
    </w:rPr>
  </w:style>
  <w:style w:type="character" w:customStyle="1" w:styleId="35">
    <w:name w:val="fontstyle31"/>
    <w:basedOn w:val="16"/>
    <w:qFormat/>
    <w:uiPriority w:val="0"/>
    <w:rPr>
      <w:rFonts w:hint="default" w:ascii="E-BX" w:hAnsi="E-BX"/>
      <w:color w:val="000000"/>
      <w:sz w:val="30"/>
      <w:szCs w:val="30"/>
    </w:rPr>
  </w:style>
  <w:style w:type="character" w:customStyle="1" w:styleId="36">
    <w:name w:val="标题 3 字符"/>
    <w:basedOn w:val="16"/>
    <w:link w:val="5"/>
    <w:qFormat/>
    <w:uiPriority w:val="9"/>
    <w:rPr>
      <w:b/>
      <w:bCs/>
      <w:sz w:val="32"/>
      <w:szCs w:val="32"/>
    </w:rPr>
  </w:style>
  <w:style w:type="character" w:customStyle="1" w:styleId="37">
    <w:name w:val="bjh-p"/>
    <w:basedOn w:val="16"/>
    <w:qFormat/>
    <w:uiPriority w:val="0"/>
  </w:style>
  <w:style w:type="character" w:customStyle="1" w:styleId="38">
    <w:name w:val="bjh-strong"/>
    <w:basedOn w:val="16"/>
    <w:qFormat/>
    <w:uiPriority w:val="0"/>
  </w:style>
  <w:style w:type="paragraph" w:customStyle="1" w:styleId="39">
    <w:name w:val="Body Text First Indent 21"/>
    <w:basedOn w:val="40"/>
    <w:qFormat/>
    <w:uiPriority w:val="0"/>
    <w:pPr>
      <w:ind w:firstLine="420"/>
    </w:pPr>
    <w:rPr>
      <w:rFonts w:ascii="Times New Roman" w:hAnsi="Times New Roman" w:eastAsia="宋体" w:cs="Times New Roman"/>
      <w:szCs w:val="24"/>
    </w:rPr>
  </w:style>
  <w:style w:type="paragraph" w:customStyle="1" w:styleId="40">
    <w:name w:val="Body Text Indent1"/>
    <w:basedOn w:val="1"/>
    <w:qFormat/>
    <w:uiPriority w:val="0"/>
    <w:pPr>
      <w:spacing w:line="500" w:lineRule="exact"/>
      <w:ind w:firstLine="880" w:firstLineChars="200"/>
    </w:pPr>
  </w:style>
  <w:style w:type="character" w:customStyle="1" w:styleId="41">
    <w:name w:val="批注框文本 字符"/>
    <w:basedOn w:val="16"/>
    <w:link w:val="10"/>
    <w:semiHidden/>
    <w:qFormat/>
    <w:uiPriority w:val="99"/>
    <w:rPr>
      <w:sz w:val="18"/>
      <w:szCs w:val="18"/>
    </w:rPr>
  </w:style>
  <w:style w:type="paragraph" w:customStyle="1" w:styleId="42">
    <w:name w:val="List Paragraph"/>
    <w:basedOn w:val="1"/>
    <w:qFormat/>
    <w:uiPriority w:val="34"/>
    <w:pPr>
      <w:ind w:firstLine="420" w:firstLineChars="200"/>
    </w:pPr>
  </w:style>
  <w:style w:type="character" w:customStyle="1" w:styleId="43">
    <w:name w:val="dot"/>
    <w:basedOn w:val="16"/>
    <w:qFormat/>
    <w:uiPriority w:val="0"/>
  </w:style>
  <w:style w:type="character" w:customStyle="1" w:styleId="44">
    <w:name w:val="layui-layer-tabnow"/>
    <w:basedOn w:val="16"/>
    <w:qFormat/>
    <w:uiPriority w:val="0"/>
    <w:rPr>
      <w:bdr w:val="single" w:color="CCCCCC" w:sz="6" w:space="0"/>
      <w:shd w:val="clear" w:color="auto" w:fill="FFFFFF"/>
    </w:rPr>
  </w:style>
  <w:style w:type="character" w:customStyle="1" w:styleId="45">
    <w:name w:val="first-child"/>
    <w:basedOn w:val="16"/>
    <w:qFormat/>
    <w:uiPriority w:val="0"/>
  </w:style>
  <w:style w:type="character" w:customStyle="1" w:styleId="46">
    <w:name w:val="time"/>
    <w:basedOn w:val="16"/>
    <w:qFormat/>
    <w:uiPriority w:val="0"/>
    <w:rPr>
      <w:color w:val="999999"/>
    </w:rPr>
  </w:style>
  <w:style w:type="paragraph" w:customStyle="1" w:styleId="47">
    <w:name w:val="修订1"/>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48">
    <w:name w:val="Revision"/>
    <w:hidden/>
    <w:semiHidden/>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D2BFD6B-ED5A-4478-A359-4047D4737A2F}">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79</Pages>
  <Words>9030</Words>
  <Characters>9484</Characters>
  <Lines>333</Lines>
  <Paragraphs>94</Paragraphs>
  <TotalTime>0</TotalTime>
  <ScaleCrop>false</ScaleCrop>
  <LinksUpToDate>false</LinksUpToDate>
  <CharactersWithSpaces>9620</CharactersWithSpaces>
  <Application>WPS Office_10.8.0.5391_F1E327BC-269C-435d-A152-05C5408002CA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2021-09-23T08:16:00Z</dcterms:created>
  <dc:creator>Administrator</dc:creator>
  <cp:lastModifiedBy>张程</cp:lastModifiedBy>
  <cp:lastPrinted>2022-04-02T08:09:00Z</cp:lastPrinted>
  <dcterms:modified xsi:type="dcterms:W3CDTF">2025-12-09T02:02:09Z</dcterms:modified>
  <cp:revision>61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2052-10.8.0.5391</vt:lpwstr>
  </property>
  <property fmtid="{D5CDD505-2E9C-101B-9397-08002B2CF9AE}" pid="3" name="ICV">
    <vt:lpwstr>06ED8CAC6DD64F13B9EFC04D5DC55C52_13</vt:lpwstr>
  </property>
  <property fmtid="{D5CDD505-2E9C-101B-9397-08002B2CF9AE}" pid="4" name="KSOTemplateDocerSaveRecord">
    <vt:lpwstr>eyJoZGlkIjoiNzg3MDYzYmM5Zjc1MjJhOGMzMDY0M2Y1N2E0N2JmZjAiLCJ1c2VySWQiOiI0Mjg4MjI4OTgifQ==</vt:lpwstr>
  </property>
</Properties>
</file>