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7089">
      <w:pPr>
        <w:keepNext w:val="0"/>
        <w:keepLines w:val="0"/>
        <w:pageBreakBefore w:val="0"/>
        <w:widowControl w:val="0"/>
        <w:shd w:val="clear"/>
        <w:kinsoku/>
        <w:wordWrap/>
        <w:overflowPunct/>
        <w:topLinePunct w:val="0"/>
        <w:autoSpaceDE/>
        <w:autoSpaceDN/>
        <w:bidi w:val="0"/>
        <w:adjustRightInd/>
        <w:snapToGrid/>
        <w:spacing w:line="660" w:lineRule="exact"/>
        <w:jc w:val="both"/>
        <w:textAlignment w:val="auto"/>
        <w:rPr>
          <w:rFonts w:hint="default" w:ascii="Times New Roman" w:hAnsi="Times New Roman" w:eastAsia="方正小标宋简体" w:cs="Times New Roman"/>
          <w:sz w:val="44"/>
          <w:szCs w:val="44"/>
          <w:highlight w:val="none"/>
        </w:rPr>
      </w:pPr>
      <w:r>
        <w:rPr>
          <w:rFonts w:hint="eastAsia" w:eastAsia="方正小标宋简体" w:cs="Times New Roman"/>
          <w:sz w:val="44"/>
          <w:szCs w:val="44"/>
          <w:highlight w:val="none"/>
          <w:lang w:val="en-US" w:eastAsia="zh-CN"/>
        </w:rPr>
        <w:t>关于濉溪县第十八届人民代表大会第四</w:t>
      </w:r>
      <w:r>
        <w:rPr>
          <w:rFonts w:hint="default" w:ascii="Times New Roman" w:hAnsi="Times New Roman" w:eastAsia="方正小标宋简体" w:cs="Times New Roman"/>
          <w:sz w:val="44"/>
          <w:szCs w:val="44"/>
          <w:highlight w:val="none"/>
        </w:rPr>
        <w:t>次会议</w:t>
      </w:r>
    </w:p>
    <w:p w14:paraId="12A5ABFB">
      <w:pPr>
        <w:keepNext w:val="0"/>
        <w:keepLines w:val="0"/>
        <w:pageBreakBefore w:val="0"/>
        <w:widowControl w:val="0"/>
        <w:shd w:val="clear"/>
        <w:kinsoku/>
        <w:wordWrap/>
        <w:overflowPunct/>
        <w:topLinePunct w:val="0"/>
        <w:autoSpaceDE/>
        <w:autoSpaceDN/>
        <w:bidi w:val="0"/>
        <w:adjustRightInd/>
        <w:snapToGrid/>
        <w:spacing w:after="313" w:afterLines="100"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代表建议、批评和意见办理情况的报告</w:t>
      </w:r>
    </w:p>
    <w:p w14:paraId="65C3919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b/>
          <w:bCs/>
          <w:color w:val="000000"/>
          <w:spacing w:val="0"/>
          <w:sz w:val="32"/>
          <w:szCs w:val="32"/>
          <w:highlight w:val="none"/>
          <w:lang w:val="en-US" w:eastAsia="zh-CN"/>
        </w:rPr>
      </w:pPr>
      <w:r>
        <w:rPr>
          <w:rFonts w:hint="default" w:ascii="Times New Roman" w:hAnsi="Times New Roman" w:eastAsia="楷体_GB2312" w:cs="Times New Roman"/>
          <w:b/>
          <w:bCs/>
          <w:color w:val="000000"/>
          <w:spacing w:val="0"/>
          <w:sz w:val="32"/>
          <w:szCs w:val="32"/>
          <w:highlight w:val="none"/>
          <w:lang w:val="en-US" w:eastAsia="zh-CN"/>
        </w:rPr>
        <w:t>濉溪县人民政府</w:t>
      </w:r>
    </w:p>
    <w:p w14:paraId="37D97E2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eastAsia="楷体_GB2312"/>
          <w:lang w:val="en-US" w:eastAsia="zh-CN"/>
        </w:rPr>
      </w:pPr>
      <w:r>
        <w:rPr>
          <w:rFonts w:hint="eastAsia" w:ascii="Times New Roman" w:hAnsi="Times New Roman" w:eastAsia="楷体_GB2312" w:cs="Times New Roman"/>
          <w:b/>
          <w:bCs/>
          <w:color w:val="auto"/>
          <w:sz w:val="32"/>
          <w:highlight w:val="none"/>
          <w:shd w:val="clear" w:color="050000" w:fill="auto"/>
          <w:lang w:eastAsia="zh-CN"/>
        </w:rPr>
        <w:t>（</w:t>
      </w:r>
      <w:r>
        <w:rPr>
          <w:rFonts w:hint="eastAsia" w:ascii="Times New Roman" w:hAnsi="Times New Roman" w:eastAsia="楷体_GB2312" w:cs="Times New Roman"/>
          <w:b/>
          <w:bCs/>
          <w:color w:val="auto"/>
          <w:sz w:val="32"/>
          <w:highlight w:val="none"/>
          <w:shd w:val="clear" w:color="050000" w:fill="auto"/>
          <w:lang w:val="en-US" w:eastAsia="zh-CN"/>
        </w:rPr>
        <w:t>2026年1月29日</w:t>
      </w:r>
      <w:r>
        <w:rPr>
          <w:rFonts w:hint="eastAsia" w:ascii="Times New Roman" w:hAnsi="Times New Roman" w:eastAsia="楷体_GB2312" w:cs="Times New Roman"/>
          <w:b/>
          <w:bCs/>
          <w:color w:val="auto"/>
          <w:sz w:val="32"/>
          <w:highlight w:val="none"/>
          <w:shd w:val="clear" w:color="050000" w:fill="auto"/>
          <w:lang w:eastAsia="zh-CN"/>
        </w:rPr>
        <w:t>）</w:t>
      </w:r>
    </w:p>
    <w:p w14:paraId="02DAE39A">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32"/>
          <w:szCs w:val="32"/>
          <w:highlight w:val="none"/>
        </w:rPr>
      </w:pPr>
    </w:p>
    <w:p w14:paraId="2F982A83">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各位代表：</w:t>
      </w:r>
    </w:p>
    <w:p w14:paraId="063D7BE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现将县十</w:t>
      </w:r>
      <w:r>
        <w:rPr>
          <w:rFonts w:hint="default" w:ascii="Times New Roman" w:hAnsi="Times New Roman" w:eastAsia="仿宋_GB2312" w:cs="Times New Roman"/>
          <w:spacing w:val="0"/>
          <w:sz w:val="32"/>
          <w:szCs w:val="32"/>
          <w:highlight w:val="none"/>
          <w:lang w:val="en-US" w:eastAsia="zh-CN"/>
        </w:rPr>
        <w:t>八</w:t>
      </w:r>
      <w:r>
        <w:rPr>
          <w:rFonts w:hint="default" w:ascii="Times New Roman" w:hAnsi="Times New Roman" w:eastAsia="仿宋_GB2312" w:cs="Times New Roman"/>
          <w:spacing w:val="0"/>
          <w:sz w:val="32"/>
          <w:szCs w:val="32"/>
          <w:highlight w:val="none"/>
        </w:rPr>
        <w:t>届人大</w:t>
      </w:r>
      <w:r>
        <w:rPr>
          <w:rFonts w:hint="eastAsia" w:cs="Times New Roman"/>
          <w:spacing w:val="0"/>
          <w:sz w:val="32"/>
          <w:szCs w:val="32"/>
          <w:highlight w:val="none"/>
          <w:lang w:val="en-US" w:eastAsia="zh-CN"/>
        </w:rPr>
        <w:t>四</w:t>
      </w:r>
      <w:r>
        <w:rPr>
          <w:rFonts w:hint="default" w:ascii="Times New Roman" w:hAnsi="Times New Roman" w:eastAsia="仿宋_GB2312" w:cs="Times New Roman"/>
          <w:spacing w:val="0"/>
          <w:sz w:val="32"/>
          <w:szCs w:val="32"/>
          <w:highlight w:val="none"/>
        </w:rPr>
        <w:t>次会议代表建议、批评和意见办理情况报告如下，请予审议，并请县</w:t>
      </w:r>
      <w:r>
        <w:rPr>
          <w:rFonts w:hint="eastAsia" w:cs="Times New Roman"/>
          <w:spacing w:val="0"/>
          <w:sz w:val="32"/>
          <w:szCs w:val="32"/>
          <w:highlight w:val="none"/>
          <w:lang w:val="en-US" w:eastAsia="zh-CN"/>
        </w:rPr>
        <w:t>政协委员</w:t>
      </w:r>
      <w:r>
        <w:rPr>
          <w:rFonts w:hint="default" w:ascii="Times New Roman" w:hAnsi="Times New Roman" w:eastAsia="仿宋_GB2312" w:cs="Times New Roman"/>
          <w:spacing w:val="0"/>
          <w:sz w:val="32"/>
          <w:szCs w:val="32"/>
          <w:highlight w:val="none"/>
        </w:rPr>
        <w:t>和其他列席会议的同志提出意见。</w:t>
      </w:r>
    </w:p>
    <w:p w14:paraId="61E3896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spacing w:val="0"/>
          <w:highlight w:val="none"/>
        </w:rPr>
      </w:pPr>
      <w:r>
        <w:rPr>
          <w:rFonts w:hint="default" w:ascii="Times New Roman" w:hAnsi="Times New Roman" w:eastAsia="黑体" w:cs="Times New Roman"/>
          <w:b w:val="0"/>
          <w:bCs w:val="0"/>
          <w:spacing w:val="0"/>
          <w:sz w:val="32"/>
          <w:szCs w:val="32"/>
          <w:highlight w:val="none"/>
        </w:rPr>
        <w:t>一、基本情况</w:t>
      </w:r>
    </w:p>
    <w:p w14:paraId="437FA287">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pacing w:val="0"/>
          <w:sz w:val="32"/>
          <w:szCs w:val="32"/>
          <w:highlight w:val="none"/>
        </w:rPr>
      </w:pPr>
      <w:r>
        <w:rPr>
          <w:rFonts w:hint="default" w:ascii="Times New Roman" w:hAnsi="Times New Roman" w:eastAsia="仿宋_GB2312" w:cs="Times New Roman"/>
          <w:b w:val="0"/>
          <w:bCs w:val="0"/>
          <w:spacing w:val="0"/>
          <w:sz w:val="32"/>
          <w:szCs w:val="32"/>
          <w:highlight w:val="none"/>
        </w:rPr>
        <w:t>202</w:t>
      </w:r>
      <w:r>
        <w:rPr>
          <w:rFonts w:hint="default" w:ascii="Times New Roman" w:hAnsi="Times New Roman" w:eastAsia="仿宋_GB2312" w:cs="Times New Roman"/>
          <w:b w:val="0"/>
          <w:bCs w:val="0"/>
          <w:spacing w:val="0"/>
          <w:sz w:val="32"/>
          <w:szCs w:val="32"/>
          <w:highlight w:val="none"/>
          <w:lang w:val="en-US" w:eastAsia="zh-CN"/>
        </w:rPr>
        <w:t>5</w:t>
      </w:r>
      <w:r>
        <w:rPr>
          <w:rFonts w:hint="default" w:ascii="Times New Roman" w:hAnsi="Times New Roman" w:eastAsia="仿宋_GB2312" w:cs="Times New Roman"/>
          <w:b w:val="0"/>
          <w:bCs w:val="0"/>
          <w:spacing w:val="0"/>
          <w:sz w:val="32"/>
          <w:szCs w:val="32"/>
          <w:highlight w:val="none"/>
        </w:rPr>
        <w:t>年，县政府承办县人大代表建议11</w:t>
      </w:r>
      <w:r>
        <w:rPr>
          <w:rFonts w:hint="default" w:ascii="Times New Roman" w:hAnsi="Times New Roman" w:eastAsia="仿宋_GB2312" w:cs="Times New Roman"/>
          <w:b w:val="0"/>
          <w:bCs w:val="0"/>
          <w:spacing w:val="0"/>
          <w:sz w:val="32"/>
          <w:szCs w:val="32"/>
          <w:highlight w:val="none"/>
          <w:lang w:val="en-US" w:eastAsia="zh-CN"/>
        </w:rPr>
        <w:t>6</w:t>
      </w:r>
      <w:r>
        <w:rPr>
          <w:rFonts w:hint="default" w:ascii="Times New Roman" w:hAnsi="Times New Roman" w:eastAsia="仿宋_GB2312" w:cs="Times New Roman"/>
          <w:b w:val="0"/>
          <w:bCs w:val="0"/>
          <w:spacing w:val="0"/>
          <w:sz w:val="32"/>
          <w:szCs w:val="32"/>
          <w:highlight w:val="none"/>
        </w:rPr>
        <w:t>件。</w:t>
      </w:r>
      <w:r>
        <w:rPr>
          <w:rFonts w:hint="default" w:ascii="Times New Roman" w:hAnsi="Times New Roman" w:eastAsia="仿宋_GB2312" w:cs="Times New Roman"/>
          <w:b w:val="0"/>
          <w:bCs w:val="0"/>
          <w:color w:val="000000"/>
          <w:spacing w:val="0"/>
          <w:sz w:val="32"/>
          <w:szCs w:val="32"/>
          <w:highlight w:val="none"/>
        </w:rPr>
        <w:t>202</w:t>
      </w:r>
      <w:r>
        <w:rPr>
          <w:rFonts w:hint="default" w:ascii="Times New Roman" w:hAnsi="Times New Roman" w:eastAsia="仿宋_GB2312" w:cs="Times New Roman"/>
          <w:b w:val="0"/>
          <w:bCs w:val="0"/>
          <w:color w:val="000000"/>
          <w:spacing w:val="0"/>
          <w:sz w:val="32"/>
          <w:szCs w:val="32"/>
          <w:highlight w:val="none"/>
          <w:lang w:val="en-US" w:eastAsia="zh-CN"/>
        </w:rPr>
        <w:t>5</w:t>
      </w:r>
      <w:r>
        <w:rPr>
          <w:rFonts w:hint="default" w:ascii="Times New Roman" w:hAnsi="Times New Roman" w:eastAsia="仿宋_GB2312" w:cs="Times New Roman"/>
          <w:b w:val="0"/>
          <w:bCs w:val="0"/>
          <w:color w:val="000000"/>
          <w:spacing w:val="0"/>
          <w:sz w:val="32"/>
          <w:szCs w:val="32"/>
          <w:highlight w:val="none"/>
        </w:rPr>
        <w:t>年4月</w:t>
      </w:r>
      <w:r>
        <w:rPr>
          <w:rFonts w:hint="eastAsia" w:cs="Times New Roman"/>
          <w:b w:val="0"/>
          <w:bCs w:val="0"/>
          <w:color w:val="000000"/>
          <w:spacing w:val="0"/>
          <w:sz w:val="32"/>
          <w:szCs w:val="32"/>
          <w:highlight w:val="none"/>
          <w:lang w:val="en-US" w:eastAsia="zh-CN"/>
        </w:rPr>
        <w:t>1</w:t>
      </w:r>
      <w:r>
        <w:rPr>
          <w:rFonts w:hint="default" w:ascii="Times New Roman" w:hAnsi="Times New Roman" w:eastAsia="仿宋_GB2312" w:cs="Times New Roman"/>
          <w:b w:val="0"/>
          <w:bCs w:val="0"/>
          <w:color w:val="000000"/>
          <w:spacing w:val="0"/>
          <w:sz w:val="32"/>
          <w:szCs w:val="32"/>
          <w:highlight w:val="none"/>
        </w:rPr>
        <w:t>日，县政府联合县人大有关委室召开建议办理交办工作会议，对30家</w:t>
      </w:r>
      <w:r>
        <w:rPr>
          <w:rFonts w:hint="default" w:ascii="Times New Roman" w:hAnsi="Times New Roman" w:eastAsia="仿宋_GB2312" w:cs="Times New Roman"/>
          <w:b w:val="0"/>
          <w:bCs w:val="0"/>
          <w:spacing w:val="0"/>
          <w:sz w:val="32"/>
          <w:szCs w:val="32"/>
          <w:highlight w:val="none"/>
        </w:rPr>
        <w:t>承办单位进行安排部署。</w:t>
      </w:r>
      <w:r>
        <w:rPr>
          <w:rFonts w:hint="eastAsia" w:ascii="Times New Roman" w:hAnsi="Times New Roman" w:eastAsia="仿宋_GB2312" w:cs="Times New Roman"/>
          <w:b w:val="0"/>
          <w:bCs w:val="0"/>
          <w:spacing w:val="0"/>
          <w:sz w:val="32"/>
          <w:szCs w:val="32"/>
          <w:highlight w:val="none"/>
          <w:lang w:val="en-US" w:eastAsia="zh-CN"/>
        </w:rPr>
        <w:t>目前，</w:t>
      </w:r>
      <w:r>
        <w:rPr>
          <w:rFonts w:hint="default" w:ascii="Times New Roman" w:hAnsi="Times New Roman" w:eastAsia="仿宋_GB2312" w:cs="Times New Roman"/>
          <w:b w:val="0"/>
          <w:bCs w:val="0"/>
          <w:spacing w:val="0"/>
          <w:sz w:val="32"/>
          <w:szCs w:val="32"/>
          <w:highlight w:val="none"/>
        </w:rPr>
        <w:t>11</w:t>
      </w:r>
      <w:r>
        <w:rPr>
          <w:rFonts w:hint="default" w:ascii="Times New Roman" w:hAnsi="Times New Roman" w:eastAsia="仿宋_GB2312" w:cs="Times New Roman"/>
          <w:b w:val="0"/>
          <w:bCs w:val="0"/>
          <w:spacing w:val="0"/>
          <w:sz w:val="32"/>
          <w:szCs w:val="32"/>
          <w:highlight w:val="none"/>
          <w:lang w:val="en-US" w:eastAsia="zh-CN"/>
        </w:rPr>
        <w:t>6</w:t>
      </w:r>
      <w:r>
        <w:rPr>
          <w:rFonts w:hint="default" w:ascii="Times New Roman" w:hAnsi="Times New Roman" w:eastAsia="仿宋_GB2312" w:cs="Times New Roman"/>
          <w:b w:val="0"/>
          <w:bCs w:val="0"/>
          <w:spacing w:val="0"/>
          <w:sz w:val="32"/>
          <w:szCs w:val="32"/>
          <w:highlight w:val="none"/>
        </w:rPr>
        <w:t>件建议均完成答复，其中，已解决或基本解决（A类）95件，占81.9%；正在解决或纳入计划逐步落实（B类）16件，占13.8%；因客观条件限制暂未解决（C类）5件，占4.3%。</w:t>
      </w:r>
    </w:p>
    <w:p w14:paraId="1436E03D">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pacing w:val="0"/>
          <w:highlight w:val="none"/>
        </w:rPr>
      </w:pPr>
      <w:r>
        <w:rPr>
          <w:rFonts w:hint="eastAsia" w:eastAsia="黑体" w:cs="Times New Roman"/>
          <w:spacing w:val="0"/>
          <w:highlight w:val="none"/>
          <w:lang w:val="en-US" w:eastAsia="zh-CN"/>
        </w:rPr>
        <w:t>二</w:t>
      </w:r>
      <w:r>
        <w:rPr>
          <w:rFonts w:hint="default" w:ascii="Times New Roman" w:hAnsi="Times New Roman" w:eastAsia="黑体" w:cs="Times New Roman"/>
          <w:spacing w:val="0"/>
          <w:highlight w:val="none"/>
        </w:rPr>
        <w:t>、主要做法</w:t>
      </w:r>
    </w:p>
    <w:p w14:paraId="0F4F4453">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pacing w:val="0"/>
          <w:sz w:val="32"/>
          <w:szCs w:val="32"/>
          <w:highlight w:val="none"/>
        </w:rPr>
      </w:pPr>
      <w:r>
        <w:rPr>
          <w:rFonts w:hint="eastAsia" w:ascii="楷体_GB2312" w:hAnsi="楷体_GB2312" w:eastAsia="楷体_GB2312" w:cs="楷体_GB2312"/>
          <w:b/>
          <w:bCs/>
          <w:spacing w:val="0"/>
          <w:sz w:val="32"/>
          <w:szCs w:val="32"/>
          <w:highlight w:val="none"/>
        </w:rPr>
        <w:t>一是高位推进，压实责任。</w:t>
      </w:r>
      <w:r>
        <w:rPr>
          <w:rFonts w:hint="default" w:ascii="Times New Roman" w:hAnsi="Times New Roman" w:eastAsia="仿宋_GB2312" w:cs="Times New Roman"/>
          <w:b w:val="0"/>
          <w:bCs w:val="0"/>
          <w:spacing w:val="0"/>
          <w:sz w:val="32"/>
          <w:szCs w:val="32"/>
          <w:highlight w:val="none"/>
        </w:rPr>
        <w:t>县政府高度重视，明确各承办单位“一把手”为第一责任人，将沟通代表贯穿办理全程，通过邀请调研、座谈等方式听取意见，着力解决问题，提升代表满意度。</w:t>
      </w:r>
    </w:p>
    <w:p w14:paraId="24B3F251">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val="0"/>
          <w:bCs w:val="0"/>
          <w:spacing w:val="0"/>
          <w:sz w:val="32"/>
          <w:szCs w:val="32"/>
          <w:highlight w:val="none"/>
        </w:rPr>
      </w:pPr>
      <w:r>
        <w:rPr>
          <w:rFonts w:hint="default" w:ascii="楷体_GB2312" w:hAnsi="楷体_GB2312" w:eastAsia="楷体_GB2312" w:cs="楷体_GB2312"/>
          <w:b/>
          <w:bCs/>
          <w:spacing w:val="0"/>
          <w:sz w:val="32"/>
          <w:szCs w:val="32"/>
          <w:highlight w:val="none"/>
        </w:rPr>
        <w:t>二是合力推进，提升质效。</w:t>
      </w:r>
      <w:r>
        <w:rPr>
          <w:rFonts w:hint="default" w:ascii="Times New Roman" w:hAnsi="Times New Roman" w:eastAsia="仿宋_GB2312" w:cs="Times New Roman"/>
          <w:b w:val="0"/>
          <w:bCs w:val="0"/>
          <w:spacing w:val="0"/>
          <w:sz w:val="32"/>
          <w:szCs w:val="32"/>
          <w:highlight w:val="none"/>
        </w:rPr>
        <w:t>强化部门协同，树立“一盘棋”思想，形成工作合力。实行办理过程与结果双公开，接受社会监督。推行办前联系、办中见面、办后回访的全流程沟通机制。对涉及多部门的建议，由主办单位牵头、协办单位配合，协同推进落实。同时推动建议办理与年度重点工作同步调度、一体落实。</w:t>
      </w:r>
    </w:p>
    <w:p w14:paraId="58627AB7">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val="0"/>
          <w:bCs w:val="0"/>
          <w:spacing w:val="0"/>
          <w:sz w:val="32"/>
          <w:szCs w:val="32"/>
          <w:highlight w:val="none"/>
        </w:rPr>
      </w:pPr>
      <w:r>
        <w:rPr>
          <w:rFonts w:hint="default" w:ascii="楷体_GB2312" w:hAnsi="楷体_GB2312" w:eastAsia="楷体_GB2312" w:cs="楷体_GB2312"/>
          <w:b/>
          <w:bCs/>
          <w:spacing w:val="0"/>
          <w:sz w:val="32"/>
          <w:szCs w:val="32"/>
          <w:highlight w:val="none"/>
        </w:rPr>
        <w:t>三是督导推进，确保进度。</w:t>
      </w:r>
      <w:r>
        <w:rPr>
          <w:rFonts w:hint="default" w:ascii="Times New Roman" w:hAnsi="Times New Roman" w:eastAsia="仿宋_GB2312" w:cs="Times New Roman"/>
          <w:b w:val="0"/>
          <w:bCs w:val="0"/>
          <w:spacing w:val="0"/>
          <w:sz w:val="32"/>
          <w:szCs w:val="32"/>
          <w:highlight w:val="none"/>
        </w:rPr>
        <w:t>完善“提、办、督、评”一体化工作机制，通过集中督办、重点督查等方式跟踪问效。对重点建议开展现场督查，动态掌握进度，加强调度推进。建立督导整改机制，规范办理流程，对答复不规范的情形退回重办，切实保障办理工作高质高效完成。</w:t>
      </w:r>
    </w:p>
    <w:p w14:paraId="01B682B4">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黑体" w:cs="Times New Roman"/>
          <w:b w:val="0"/>
          <w:bCs w:val="0"/>
          <w:spacing w:val="0"/>
          <w:sz w:val="32"/>
          <w:szCs w:val="32"/>
          <w:highlight w:val="none"/>
          <w:lang w:val="en-US" w:eastAsia="zh-CN"/>
        </w:rPr>
      </w:pPr>
      <w:r>
        <w:rPr>
          <w:rFonts w:hint="eastAsia" w:ascii="Times New Roman" w:hAnsi="Times New Roman" w:eastAsia="黑体" w:cs="Times New Roman"/>
          <w:b w:val="0"/>
          <w:bCs w:val="0"/>
          <w:spacing w:val="0"/>
          <w:sz w:val="32"/>
          <w:szCs w:val="32"/>
          <w:highlight w:val="none"/>
          <w:lang w:val="en-US" w:eastAsia="zh-CN"/>
        </w:rPr>
        <w:t>三、工作成效</w:t>
      </w:r>
    </w:p>
    <w:p w14:paraId="26D6685B">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仿宋_GB2312" w:cs="Times New Roman"/>
          <w:spacing w:val="0"/>
          <w:sz w:val="32"/>
          <w:szCs w:val="32"/>
          <w:highlight w:val="none"/>
          <w:lang w:val="en-US" w:eastAsia="zh-CN"/>
        </w:rPr>
      </w:pPr>
      <w:r>
        <w:rPr>
          <w:rFonts w:hint="eastAsia" w:ascii="楷体_GB2312" w:hAnsi="楷体_GB2312" w:eastAsia="楷体_GB2312" w:cs="楷体_GB2312"/>
          <w:b/>
          <w:bCs/>
          <w:spacing w:val="0"/>
          <w:sz w:val="32"/>
          <w:szCs w:val="32"/>
          <w:highlight w:val="none"/>
          <w:lang w:val="en-US" w:eastAsia="zh-CN"/>
        </w:rPr>
        <w:t>社会及公共事务领域，</w:t>
      </w:r>
      <w:r>
        <w:rPr>
          <w:rFonts w:hint="eastAsia" w:ascii="Times New Roman" w:hAnsi="Times New Roman" w:eastAsia="仿宋_GB2312" w:cs="Times New Roman"/>
          <w:spacing w:val="0"/>
          <w:sz w:val="32"/>
          <w:szCs w:val="32"/>
          <w:highlight w:val="none"/>
          <w:lang w:val="en-US" w:eastAsia="zh-CN"/>
        </w:rPr>
        <w:t>回应停车、充电、交通信号等建议36件。累计开放路内停车位3487个及停车场泊位2368个；投入各类充电设施4916处；经调研分析，逐步在相关路段新增红绿灯。</w:t>
      </w:r>
    </w:p>
    <w:p w14:paraId="421240D0">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仿宋_GB2312" w:cs="Times New Roman"/>
          <w:spacing w:val="0"/>
          <w:sz w:val="32"/>
          <w:szCs w:val="32"/>
          <w:highlight w:val="none"/>
          <w:lang w:val="en-US" w:eastAsia="zh-CN"/>
        </w:rPr>
      </w:pPr>
      <w:r>
        <w:rPr>
          <w:rFonts w:hint="eastAsia" w:ascii="楷体_GB2312" w:hAnsi="楷体_GB2312" w:eastAsia="楷体_GB2312" w:cs="楷体_GB2312"/>
          <w:b/>
          <w:bCs/>
          <w:spacing w:val="0"/>
          <w:sz w:val="32"/>
          <w:szCs w:val="32"/>
          <w:highlight w:val="none"/>
          <w:lang w:val="en-US" w:eastAsia="zh-CN"/>
        </w:rPr>
        <w:t>科教文卫体领域，</w:t>
      </w:r>
      <w:r>
        <w:rPr>
          <w:rFonts w:hint="eastAsia" w:ascii="Times New Roman" w:hAnsi="Times New Roman" w:eastAsia="仿宋_GB2312" w:cs="Times New Roman"/>
          <w:spacing w:val="0"/>
          <w:sz w:val="32"/>
          <w:szCs w:val="32"/>
          <w:highlight w:val="none"/>
          <w:lang w:val="en-US" w:eastAsia="zh-CN"/>
        </w:rPr>
        <w:t>围绕卫生、教育等建议22件扎实推进。建成省级临床重点（特色）专科5个；推进县医院南部次中心院区与双堆新城医院建设，卒中中心达国家高级标准，引进多台高端医疗设备；在临涣、百善等镇建成标准化寄宿制学校6所，投入校车122辆，完成宿舍改造并新增床位1500个。</w:t>
      </w:r>
    </w:p>
    <w:p w14:paraId="0E09C6C8">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仿宋_GB2312" w:cs="Times New Roman"/>
          <w:spacing w:val="0"/>
          <w:sz w:val="32"/>
          <w:szCs w:val="32"/>
          <w:highlight w:val="none"/>
          <w:lang w:val="en-US" w:eastAsia="zh-CN"/>
        </w:rPr>
      </w:pPr>
      <w:r>
        <w:rPr>
          <w:rFonts w:hint="eastAsia" w:ascii="楷体_GB2312" w:hAnsi="楷体_GB2312" w:eastAsia="楷体_GB2312" w:cs="楷体_GB2312"/>
          <w:b/>
          <w:bCs/>
          <w:spacing w:val="0"/>
          <w:sz w:val="32"/>
          <w:szCs w:val="32"/>
          <w:highlight w:val="none"/>
          <w:lang w:val="en-US" w:eastAsia="zh-CN"/>
        </w:rPr>
        <w:t>城乡建设与资源环境领域，</w:t>
      </w:r>
      <w:r>
        <w:rPr>
          <w:rFonts w:hint="eastAsia" w:ascii="Times New Roman" w:hAnsi="Times New Roman" w:eastAsia="仿宋_GB2312" w:cs="Times New Roman"/>
          <w:spacing w:val="0"/>
          <w:sz w:val="32"/>
          <w:szCs w:val="32"/>
          <w:highlight w:val="none"/>
          <w:lang w:val="en-US" w:eastAsia="zh-CN"/>
        </w:rPr>
        <w:t>落实基建类建议20件。对标城市更新年度计划，重点推进24个项目，包括古城片区品质提升、龙脊山路贯通、闸河路改造、新型文化广场商业综合体及双墨阁大酒店等项目。</w:t>
      </w:r>
    </w:p>
    <w:p w14:paraId="05D2095F">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val="0"/>
          <w:bCs w:val="0"/>
          <w:spacing w:val="0"/>
          <w:sz w:val="28"/>
          <w:szCs w:val="28"/>
          <w:highlight w:val="none"/>
          <w:lang w:val="en-US" w:eastAsia="zh-CN"/>
        </w:rPr>
      </w:pPr>
      <w:r>
        <w:rPr>
          <w:rFonts w:hint="eastAsia" w:ascii="楷体_GB2312" w:hAnsi="楷体_GB2312" w:eastAsia="楷体_GB2312" w:cs="楷体_GB2312"/>
          <w:b/>
          <w:bCs/>
          <w:spacing w:val="0"/>
          <w:sz w:val="32"/>
          <w:szCs w:val="32"/>
          <w:highlight w:val="none"/>
          <w:lang w:val="en-US" w:eastAsia="zh-CN"/>
        </w:rPr>
        <w:t>农林牧渔和水利领域，</w:t>
      </w:r>
      <w:r>
        <w:rPr>
          <w:rFonts w:hint="eastAsia" w:ascii="Times New Roman" w:hAnsi="Times New Roman" w:eastAsia="仿宋_GB2312" w:cs="Times New Roman"/>
          <w:spacing w:val="0"/>
          <w:sz w:val="32"/>
          <w:szCs w:val="32"/>
          <w:highlight w:val="none"/>
          <w:lang w:val="en-US" w:eastAsia="zh-CN"/>
        </w:rPr>
        <w:t>响应绿色农业、生态发展等建议17件。制定绿色高产高效行动方案，推广大豆玉米复合种植与耕地轮作；积极推行畜禽粪污资源化利用、秸秆过腹还田等多种生态循环模式，有效降低资源成本并缓解养殖污染问题</w:t>
      </w:r>
      <w:r>
        <w:rPr>
          <w:rFonts w:hint="eastAsia" w:ascii="Times New Roman" w:hAnsi="Times New Roman" w:cs="Times New Roman"/>
          <w:spacing w:val="0"/>
          <w:sz w:val="32"/>
          <w:szCs w:val="32"/>
          <w:highlight w:val="none"/>
          <w:lang w:val="en-US" w:eastAsia="zh-CN"/>
        </w:rPr>
        <w:t>等</w:t>
      </w:r>
      <w:r>
        <w:rPr>
          <w:rFonts w:hint="eastAsia" w:ascii="Times New Roman" w:hAnsi="Times New Roman" w:eastAsia="仿宋_GB2312" w:cs="Times New Roman"/>
          <w:spacing w:val="0"/>
          <w:sz w:val="32"/>
          <w:szCs w:val="32"/>
          <w:highlight w:val="none"/>
          <w:lang w:val="en-US" w:eastAsia="zh-CN"/>
        </w:rPr>
        <w:t>。</w:t>
      </w:r>
    </w:p>
    <w:p w14:paraId="4CFC69AE">
      <w:pPr>
        <w:pStyle w:val="16"/>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70" w:lineRule="exact"/>
        <w:ind w:left="0" w:right="0" w:firstLine="640" w:firstLineChars="200"/>
        <w:jc w:val="both"/>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b w:val="0"/>
          <w:bCs w:val="0"/>
          <w:spacing w:val="0"/>
          <w:kern w:val="2"/>
          <w:sz w:val="32"/>
          <w:szCs w:val="32"/>
          <w:highlight w:val="none"/>
          <w:lang w:val="en-US" w:eastAsia="zh-CN" w:bidi="ar-SA"/>
        </w:rPr>
        <w:t>2025年</w:t>
      </w:r>
      <w:r>
        <w:rPr>
          <w:rFonts w:hint="default" w:ascii="Times New Roman" w:hAnsi="Times New Roman" w:eastAsia="仿宋_GB2312" w:cs="Times New Roman"/>
          <w:b w:val="0"/>
          <w:bCs w:val="0"/>
          <w:spacing w:val="0"/>
          <w:sz w:val="32"/>
          <w:szCs w:val="32"/>
          <w:highlight w:val="none"/>
        </w:rPr>
        <w:t>人大</w:t>
      </w:r>
      <w:r>
        <w:rPr>
          <w:rFonts w:hint="eastAsia" w:ascii="Times New Roman" w:hAnsi="Times New Roman" w:cs="Times New Roman"/>
          <w:b w:val="0"/>
          <w:bCs w:val="0"/>
          <w:spacing w:val="0"/>
          <w:sz w:val="32"/>
          <w:szCs w:val="32"/>
          <w:highlight w:val="none"/>
          <w:lang w:eastAsia="zh-CN"/>
        </w:rPr>
        <w:t>代表</w:t>
      </w:r>
      <w:r>
        <w:rPr>
          <w:rFonts w:hint="default" w:ascii="Times New Roman" w:hAnsi="Times New Roman" w:eastAsia="仿宋_GB2312" w:cs="Times New Roman"/>
          <w:b w:val="0"/>
          <w:bCs w:val="0"/>
          <w:spacing w:val="0"/>
          <w:sz w:val="32"/>
          <w:szCs w:val="32"/>
          <w:highlight w:val="none"/>
        </w:rPr>
        <w:t>建议办理工作虽取得了一定成效</w:t>
      </w:r>
      <w:r>
        <w:rPr>
          <w:rFonts w:hint="default" w:ascii="Times New Roman" w:hAnsi="Times New Roman" w:eastAsia="仿宋_GB2312" w:cs="Times New Roman"/>
          <w:b w:val="0"/>
          <w:bCs w:val="0"/>
          <w:spacing w:val="0"/>
          <w:kern w:val="2"/>
          <w:sz w:val="32"/>
          <w:szCs w:val="32"/>
          <w:highlight w:val="none"/>
          <w:lang w:val="en-US" w:eastAsia="zh-CN" w:bidi="ar-SA"/>
        </w:rPr>
        <w:t>，但也存在不足：一是部分承办单位重视程度仍有欠缺，办理工作有时流于形式；二是对一些涉及面广、协调难度大的建议，破解力度尚需加强；三是与人大代表的全过程沟通机制有待深化，办理的精准性仍需提升。下一步，县政府将坚持问题导向，在巩固现有成效基础上，进一步创新工作机制、压实办理责任、强化跟踪问效，着力推动每一件议案建议落到实处、取得实效，为</w:t>
      </w:r>
      <w:r>
        <w:rPr>
          <w:rFonts w:hint="eastAsia" w:ascii="Times New Roman" w:hAnsi="Times New Roman" w:cs="Times New Roman"/>
          <w:b w:val="0"/>
          <w:bCs w:val="0"/>
          <w:spacing w:val="0"/>
          <w:kern w:val="2"/>
          <w:sz w:val="32"/>
          <w:szCs w:val="32"/>
          <w:highlight w:val="none"/>
          <w:lang w:val="en-US" w:eastAsia="zh-CN" w:bidi="ar-SA"/>
        </w:rPr>
        <w:t>濉溪</w:t>
      </w:r>
      <w:r>
        <w:rPr>
          <w:rFonts w:hint="default" w:ascii="Times New Roman" w:hAnsi="Times New Roman" w:eastAsia="仿宋_GB2312" w:cs="Times New Roman"/>
          <w:b w:val="0"/>
          <w:bCs w:val="0"/>
          <w:spacing w:val="0"/>
          <w:kern w:val="2"/>
          <w:sz w:val="32"/>
          <w:szCs w:val="32"/>
          <w:highlight w:val="none"/>
          <w:lang w:val="en-US" w:eastAsia="zh-CN" w:bidi="ar-SA"/>
        </w:rPr>
        <w:t>县高质量发展贡献更大力量。</w:t>
      </w:r>
    </w:p>
    <w:p w14:paraId="7E27F942">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Cs/>
          <w:color w:val="000000"/>
          <w:spacing w:val="0"/>
          <w:sz w:val="32"/>
          <w:szCs w:val="32"/>
          <w:highlight w:val="none"/>
        </w:rPr>
      </w:pPr>
    </w:p>
    <w:p w14:paraId="6967B6B1">
      <w:pPr>
        <w:keepNext w:val="0"/>
        <w:keepLines w:val="0"/>
        <w:pageBreakBefore w:val="0"/>
        <w:widowControl w:val="0"/>
        <w:shd w:val="clear"/>
        <w:kinsoku/>
        <w:wordWrap/>
        <w:overflowPunct/>
        <w:topLinePunct w:val="0"/>
        <w:autoSpaceDE/>
        <w:autoSpaceDN/>
        <w:bidi w:val="0"/>
        <w:adjustRightInd/>
        <w:snapToGrid/>
        <w:spacing w:line="570" w:lineRule="exact"/>
        <w:ind w:left="1600" w:leftChars="200" w:hanging="960" w:hangingChars="300"/>
        <w:jc w:val="both"/>
        <w:textAlignment w:val="auto"/>
        <w:rPr>
          <w:rFonts w:hint="default" w:ascii="Times New Roman" w:hAnsi="Times New Roman" w:cs="Times New Roman"/>
          <w:spacing w:val="0"/>
          <w:highlight w:val="none"/>
        </w:rPr>
      </w:pPr>
      <w:r>
        <w:rPr>
          <w:rFonts w:hint="default" w:ascii="Times New Roman" w:hAnsi="Times New Roman" w:eastAsia="黑体" w:cs="Times New Roman"/>
          <w:bCs/>
          <w:color w:val="000000"/>
          <w:spacing w:val="0"/>
          <w:sz w:val="32"/>
          <w:szCs w:val="32"/>
          <w:highlight w:val="none"/>
        </w:rPr>
        <w:t>附件：</w:t>
      </w:r>
      <w:r>
        <w:rPr>
          <w:rFonts w:hint="default" w:ascii="Times New Roman" w:hAnsi="Times New Roman" w:eastAsia="仿宋_GB2312" w:cs="Times New Roman"/>
          <w:bCs/>
          <w:color w:val="000000"/>
          <w:spacing w:val="0"/>
          <w:sz w:val="32"/>
          <w:szCs w:val="32"/>
          <w:highlight w:val="none"/>
        </w:rPr>
        <w:t>濉溪县第十</w:t>
      </w:r>
      <w:r>
        <w:rPr>
          <w:rFonts w:hint="default" w:ascii="Times New Roman" w:hAnsi="Times New Roman" w:eastAsia="仿宋_GB2312" w:cs="Times New Roman"/>
          <w:bCs/>
          <w:color w:val="000000"/>
          <w:spacing w:val="0"/>
          <w:sz w:val="32"/>
          <w:szCs w:val="32"/>
          <w:highlight w:val="none"/>
          <w:lang w:val="en-US" w:eastAsia="zh-CN"/>
        </w:rPr>
        <w:t>八</w:t>
      </w:r>
      <w:r>
        <w:rPr>
          <w:rFonts w:hint="default" w:ascii="Times New Roman" w:hAnsi="Times New Roman" w:eastAsia="仿宋_GB2312" w:cs="Times New Roman"/>
          <w:bCs/>
          <w:color w:val="000000"/>
          <w:spacing w:val="0"/>
          <w:sz w:val="32"/>
          <w:szCs w:val="32"/>
          <w:highlight w:val="none"/>
        </w:rPr>
        <w:t>届人民代表大会第</w:t>
      </w:r>
      <w:r>
        <w:rPr>
          <w:rFonts w:hint="eastAsia" w:cs="Times New Roman"/>
          <w:bCs/>
          <w:color w:val="000000"/>
          <w:spacing w:val="0"/>
          <w:sz w:val="32"/>
          <w:szCs w:val="32"/>
          <w:highlight w:val="none"/>
          <w:lang w:val="en-US" w:eastAsia="zh-CN"/>
        </w:rPr>
        <w:t>四</w:t>
      </w:r>
      <w:r>
        <w:rPr>
          <w:rFonts w:hint="default" w:ascii="Times New Roman" w:hAnsi="Times New Roman" w:eastAsia="仿宋_GB2312" w:cs="Times New Roman"/>
          <w:bCs/>
          <w:color w:val="000000"/>
          <w:spacing w:val="0"/>
          <w:sz w:val="32"/>
          <w:szCs w:val="32"/>
          <w:highlight w:val="none"/>
        </w:rPr>
        <w:t>次会议代表建议、批评、意见办理情况</w:t>
      </w:r>
    </w:p>
    <w:p w14:paraId="4C7E4993">
      <w:pPr>
        <w:pStyle w:val="2"/>
        <w:keepNext w:val="0"/>
        <w:keepLines w:val="0"/>
        <w:pageBreakBefore w:val="0"/>
        <w:widowControl w:val="0"/>
        <w:shd w:val="clear"/>
        <w:kinsoku/>
        <w:wordWrap/>
        <w:overflowPunct/>
        <w:topLinePunct w:val="0"/>
        <w:autoSpaceDE/>
        <w:autoSpaceDN/>
        <w:bidi w:val="0"/>
        <w:adjustRightInd/>
        <w:snapToGrid/>
        <w:spacing w:line="570" w:lineRule="exact"/>
        <w:ind w:firstLine="482" w:firstLineChars="200"/>
        <w:jc w:val="both"/>
        <w:textAlignment w:val="auto"/>
        <w:rPr>
          <w:rFonts w:hint="default" w:ascii="Times New Roman" w:hAnsi="Times New Roman" w:cs="Times New Roman"/>
          <w:spacing w:val="0"/>
          <w:highlight w:val="none"/>
        </w:rPr>
      </w:pPr>
    </w:p>
    <w:p w14:paraId="2D2B690A">
      <w:pPr>
        <w:pStyle w:val="2"/>
        <w:keepNext w:val="0"/>
        <w:keepLines w:val="0"/>
        <w:pageBreakBefore w:val="0"/>
        <w:widowControl w:val="0"/>
        <w:shd w:val="clear"/>
        <w:kinsoku/>
        <w:wordWrap/>
        <w:overflowPunct/>
        <w:topLinePunct w:val="0"/>
        <w:autoSpaceDE/>
        <w:autoSpaceDN/>
        <w:bidi w:val="0"/>
        <w:adjustRightInd/>
        <w:snapToGrid/>
        <w:spacing w:line="570" w:lineRule="exact"/>
        <w:ind w:firstLine="482" w:firstLineChars="200"/>
        <w:jc w:val="both"/>
        <w:textAlignment w:val="auto"/>
        <w:rPr>
          <w:rFonts w:hint="default" w:ascii="Times New Roman" w:hAnsi="Times New Roman" w:cs="Times New Roman"/>
          <w:spacing w:val="0"/>
          <w:highlight w:val="none"/>
        </w:rPr>
      </w:pPr>
    </w:p>
    <w:p w14:paraId="095C5023">
      <w:pPr>
        <w:pStyle w:val="2"/>
        <w:keepNext w:val="0"/>
        <w:keepLines w:val="0"/>
        <w:pageBreakBefore w:val="0"/>
        <w:widowControl w:val="0"/>
        <w:shd w:val="clear"/>
        <w:kinsoku/>
        <w:wordWrap/>
        <w:overflowPunct/>
        <w:topLinePunct w:val="0"/>
        <w:autoSpaceDE/>
        <w:autoSpaceDN/>
        <w:bidi w:val="0"/>
        <w:adjustRightInd/>
        <w:snapToGrid/>
        <w:spacing w:line="570" w:lineRule="exact"/>
        <w:ind w:firstLine="482" w:firstLineChars="200"/>
        <w:jc w:val="both"/>
        <w:textAlignment w:val="auto"/>
        <w:rPr>
          <w:rFonts w:hint="default" w:ascii="Times New Roman" w:hAnsi="Times New Roman" w:cs="Times New Roman"/>
          <w:spacing w:val="0"/>
          <w:highlight w:val="none"/>
        </w:rPr>
      </w:pPr>
    </w:p>
    <w:p w14:paraId="43B064B1">
      <w:pPr>
        <w:pStyle w:val="2"/>
        <w:keepNext w:val="0"/>
        <w:keepLines w:val="0"/>
        <w:pageBreakBefore w:val="0"/>
        <w:widowControl w:val="0"/>
        <w:shd w:val="clear"/>
        <w:kinsoku/>
        <w:wordWrap/>
        <w:overflowPunct/>
        <w:topLinePunct w:val="0"/>
        <w:autoSpaceDE/>
        <w:autoSpaceDN/>
        <w:bidi w:val="0"/>
        <w:adjustRightInd/>
        <w:snapToGrid/>
        <w:spacing w:line="570" w:lineRule="exact"/>
        <w:ind w:firstLine="482" w:firstLineChars="200"/>
        <w:jc w:val="both"/>
        <w:textAlignment w:val="auto"/>
        <w:rPr>
          <w:rFonts w:hint="default" w:ascii="Times New Roman" w:hAnsi="Times New Roman" w:cs="Times New Roman"/>
          <w:spacing w:val="0"/>
          <w:highlight w:val="none"/>
        </w:rPr>
      </w:pPr>
    </w:p>
    <w:p w14:paraId="420F2044">
      <w:pPr>
        <w:keepNext w:val="0"/>
        <w:keepLines w:val="0"/>
        <w:pageBreakBefore w:val="0"/>
        <w:widowControl w:val="0"/>
        <w:shd w:val="clear"/>
        <w:kinsoku/>
        <w:wordWrap/>
        <w:overflowPunct/>
        <w:topLinePunct w:val="0"/>
        <w:autoSpaceDE/>
        <w:autoSpaceDN/>
        <w:bidi w:val="0"/>
        <w:adjustRightInd/>
        <w:snapToGrid/>
        <w:spacing w:line="570" w:lineRule="exact"/>
        <w:jc w:val="both"/>
        <w:textAlignment w:val="auto"/>
        <w:rPr>
          <w:rFonts w:hint="default" w:ascii="Times New Roman" w:hAnsi="Times New Roman" w:eastAsia="黑体" w:cs="Times New Roman"/>
          <w:color w:val="000000"/>
          <w:spacing w:val="0"/>
          <w:kern w:val="0"/>
          <w:sz w:val="32"/>
          <w:szCs w:val="32"/>
          <w:highlight w:val="none"/>
        </w:rPr>
      </w:pPr>
    </w:p>
    <w:p w14:paraId="6B72EC67">
      <w:pPr>
        <w:keepNext w:val="0"/>
        <w:keepLines w:val="0"/>
        <w:pageBreakBefore w:val="0"/>
        <w:widowControl w:val="0"/>
        <w:shd w:val="clear"/>
        <w:kinsoku/>
        <w:wordWrap/>
        <w:overflowPunct/>
        <w:topLinePunct w:val="0"/>
        <w:autoSpaceDE/>
        <w:autoSpaceDN/>
        <w:bidi w:val="0"/>
        <w:adjustRightInd/>
        <w:snapToGrid/>
        <w:spacing w:line="570" w:lineRule="exact"/>
        <w:jc w:val="both"/>
        <w:textAlignment w:val="auto"/>
        <w:rPr>
          <w:rFonts w:hint="default" w:ascii="Times New Roman" w:hAnsi="Times New Roman" w:eastAsia="黑体" w:cs="Times New Roman"/>
          <w:color w:val="000000"/>
          <w:spacing w:val="0"/>
          <w:kern w:val="0"/>
          <w:sz w:val="32"/>
          <w:szCs w:val="32"/>
          <w:highlight w:val="none"/>
        </w:rPr>
      </w:pPr>
    </w:p>
    <w:p w14:paraId="666B8324">
      <w:pPr>
        <w:keepNext w:val="0"/>
        <w:keepLines w:val="0"/>
        <w:pageBreakBefore w:val="0"/>
        <w:widowControl w:val="0"/>
        <w:shd w:val="clear"/>
        <w:kinsoku/>
        <w:wordWrap/>
        <w:overflowPunct/>
        <w:topLinePunct w:val="0"/>
        <w:autoSpaceDE/>
        <w:autoSpaceDN/>
        <w:bidi w:val="0"/>
        <w:adjustRightInd/>
        <w:snapToGrid/>
        <w:spacing w:line="570" w:lineRule="exact"/>
        <w:jc w:val="both"/>
        <w:textAlignment w:val="auto"/>
        <w:rPr>
          <w:rFonts w:hint="default" w:ascii="Times New Roman" w:hAnsi="Times New Roman" w:eastAsia="黑体" w:cs="Times New Roman"/>
          <w:color w:val="000000"/>
          <w:spacing w:val="0"/>
          <w:kern w:val="0"/>
          <w:sz w:val="32"/>
          <w:szCs w:val="32"/>
          <w:highlight w:val="none"/>
        </w:rPr>
      </w:pPr>
    </w:p>
    <w:p w14:paraId="0E49FF78">
      <w:pPr>
        <w:keepNext w:val="0"/>
        <w:keepLines w:val="0"/>
        <w:pageBreakBefore w:val="0"/>
        <w:widowControl w:val="0"/>
        <w:shd w:val="clear"/>
        <w:kinsoku/>
        <w:wordWrap/>
        <w:overflowPunct/>
        <w:topLinePunct w:val="0"/>
        <w:autoSpaceDE/>
        <w:autoSpaceDN/>
        <w:bidi w:val="0"/>
        <w:adjustRightInd/>
        <w:snapToGrid/>
        <w:spacing w:line="570" w:lineRule="exact"/>
        <w:jc w:val="both"/>
        <w:textAlignment w:val="auto"/>
        <w:rPr>
          <w:rFonts w:hint="default" w:ascii="Times New Roman" w:hAnsi="Times New Roman" w:eastAsia="黑体" w:cs="Times New Roman"/>
          <w:color w:val="000000"/>
          <w:spacing w:val="0"/>
          <w:kern w:val="0"/>
          <w:sz w:val="32"/>
          <w:szCs w:val="32"/>
          <w:highlight w:val="none"/>
          <w:lang w:val="en-US" w:eastAsia="zh-CN"/>
        </w:rPr>
      </w:pPr>
      <w:r>
        <w:rPr>
          <w:rFonts w:hint="default" w:ascii="Times New Roman" w:hAnsi="Times New Roman" w:eastAsia="黑体" w:cs="Times New Roman"/>
          <w:color w:val="000000"/>
          <w:spacing w:val="0"/>
          <w:kern w:val="0"/>
          <w:sz w:val="32"/>
          <w:szCs w:val="32"/>
          <w:highlight w:val="none"/>
        </w:rPr>
        <w:t>附件</w:t>
      </w:r>
      <w:r>
        <w:rPr>
          <w:rFonts w:hint="default" w:ascii="Times New Roman" w:hAnsi="Times New Roman" w:eastAsia="黑体" w:cs="Times New Roman"/>
          <w:color w:val="000000"/>
          <w:spacing w:val="0"/>
          <w:kern w:val="0"/>
          <w:sz w:val="32"/>
          <w:szCs w:val="32"/>
          <w:highlight w:val="none"/>
          <w:lang w:val="en-US" w:eastAsia="zh-CN"/>
        </w:rPr>
        <w:t>：</w:t>
      </w:r>
    </w:p>
    <w:p w14:paraId="1516490D">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spacing w:val="0"/>
          <w:sz w:val="44"/>
          <w:szCs w:val="44"/>
          <w:highlight w:val="none"/>
        </w:rPr>
      </w:pPr>
      <w:r>
        <w:rPr>
          <w:rFonts w:hint="default" w:ascii="Times New Roman" w:hAnsi="Times New Roman" w:eastAsia="方正小标宋简体" w:cs="Times New Roman"/>
          <w:color w:val="000000"/>
          <w:spacing w:val="0"/>
          <w:sz w:val="44"/>
          <w:szCs w:val="44"/>
          <w:highlight w:val="none"/>
        </w:rPr>
        <w:t>濉溪县第十</w:t>
      </w:r>
      <w:r>
        <w:rPr>
          <w:rFonts w:hint="default" w:ascii="Times New Roman" w:hAnsi="Times New Roman" w:eastAsia="方正小标宋简体" w:cs="Times New Roman"/>
          <w:color w:val="000000"/>
          <w:spacing w:val="0"/>
          <w:sz w:val="44"/>
          <w:szCs w:val="44"/>
          <w:highlight w:val="none"/>
          <w:lang w:val="en-US" w:eastAsia="zh-CN"/>
        </w:rPr>
        <w:t>八</w:t>
      </w:r>
      <w:r>
        <w:rPr>
          <w:rFonts w:hint="default" w:ascii="Times New Roman" w:hAnsi="Times New Roman" w:eastAsia="方正小标宋简体" w:cs="Times New Roman"/>
          <w:color w:val="000000"/>
          <w:spacing w:val="0"/>
          <w:sz w:val="44"/>
          <w:szCs w:val="44"/>
          <w:highlight w:val="none"/>
        </w:rPr>
        <w:t>届人民代表大会第</w:t>
      </w:r>
      <w:r>
        <w:rPr>
          <w:rFonts w:hint="eastAsia" w:eastAsia="方正小标宋简体" w:cs="Times New Roman"/>
          <w:color w:val="000000"/>
          <w:spacing w:val="0"/>
          <w:sz w:val="44"/>
          <w:szCs w:val="44"/>
          <w:highlight w:val="none"/>
          <w:lang w:val="en-US" w:eastAsia="zh-CN"/>
        </w:rPr>
        <w:t>四</w:t>
      </w:r>
      <w:r>
        <w:rPr>
          <w:rFonts w:hint="default" w:ascii="Times New Roman" w:hAnsi="Times New Roman" w:eastAsia="方正小标宋简体" w:cs="Times New Roman"/>
          <w:color w:val="000000"/>
          <w:spacing w:val="0"/>
          <w:sz w:val="44"/>
          <w:szCs w:val="44"/>
          <w:highlight w:val="none"/>
        </w:rPr>
        <w:t>次会议</w:t>
      </w:r>
    </w:p>
    <w:p w14:paraId="2DB9C9A7">
      <w:pPr>
        <w:keepNext w:val="0"/>
        <w:keepLines w:val="0"/>
        <w:pageBreakBefore w:val="0"/>
        <w:widowControl w:val="0"/>
        <w:shd w:val="clear"/>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spacing w:val="0"/>
          <w:sz w:val="44"/>
          <w:szCs w:val="44"/>
          <w:highlight w:val="none"/>
        </w:rPr>
      </w:pPr>
      <w:r>
        <w:rPr>
          <w:rFonts w:hint="default" w:ascii="Times New Roman" w:hAnsi="Times New Roman" w:eastAsia="方正小标宋简体" w:cs="Times New Roman"/>
          <w:color w:val="000000"/>
          <w:spacing w:val="0"/>
          <w:sz w:val="44"/>
          <w:szCs w:val="44"/>
          <w:highlight w:val="none"/>
        </w:rPr>
        <w:t>代表建议、批评、意见办理情况</w:t>
      </w:r>
    </w:p>
    <w:p w14:paraId="56B695F8">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p>
    <w:p w14:paraId="1E1D7093">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default" w:ascii="Times New Roman" w:hAnsi="Times New Roman" w:eastAsia="楷体_GB2312" w:cs="Times New Roman"/>
          <w:b/>
          <w:bCs/>
          <w:spacing w:val="0"/>
          <w:highlight w:val="none"/>
          <w:lang w:val="en-US" w:eastAsia="zh-CN"/>
        </w:rPr>
        <w:t>关于增加县城停车位的建议（1号）</w:t>
      </w:r>
      <w:r>
        <w:rPr>
          <w:rFonts w:hint="eastAsia" w:ascii="Times New Roman" w:hAnsi="Times New Roman" w:eastAsia="楷体_GB2312" w:cs="Times New Roman"/>
          <w:b/>
          <w:bCs/>
          <w:spacing w:val="0"/>
          <w:highlight w:val="none"/>
          <w:lang w:val="en-US" w:eastAsia="zh-CN"/>
        </w:rPr>
        <w:t>。</w:t>
      </w:r>
      <w:r>
        <w:rPr>
          <w:rFonts w:hint="eastAsia" w:ascii="Times New Roman" w:hAnsi="Times New Roman" w:eastAsia="仿宋_GB2312" w:cs="Times New Roman"/>
          <w:spacing w:val="0"/>
          <w:kern w:val="0"/>
          <w:sz w:val="32"/>
          <w:szCs w:val="32"/>
          <w:highlight w:val="none"/>
          <w:lang w:val="en-US" w:eastAsia="zh-CN"/>
        </w:rPr>
        <w:t>一</w:t>
      </w:r>
      <w:r>
        <w:rPr>
          <w:rFonts w:hint="eastAsia" w:cs="Times New Roman"/>
          <w:spacing w:val="0"/>
          <w:kern w:val="0"/>
          <w:sz w:val="32"/>
          <w:szCs w:val="32"/>
          <w:highlight w:val="none"/>
          <w:lang w:val="en-US" w:eastAsia="zh-CN"/>
        </w:rPr>
        <w:t>是</w:t>
      </w:r>
      <w:r>
        <w:rPr>
          <w:rFonts w:hint="eastAsia" w:ascii="Times New Roman" w:hAnsi="Times New Roman" w:eastAsia="仿宋_GB2312" w:cs="Times New Roman"/>
          <w:spacing w:val="0"/>
          <w:kern w:val="0"/>
          <w:sz w:val="32"/>
          <w:szCs w:val="32"/>
          <w:highlight w:val="none"/>
          <w:lang w:val="en-US" w:eastAsia="zh-CN"/>
        </w:rPr>
        <w:t>盘活闲置资源</w:t>
      </w:r>
      <w:r>
        <w:rPr>
          <w:rFonts w:hint="eastAsia" w:cs="Times New Roman"/>
          <w:spacing w:val="0"/>
          <w:kern w:val="0"/>
          <w:sz w:val="32"/>
          <w:szCs w:val="32"/>
          <w:highlight w:val="none"/>
          <w:lang w:val="en-US" w:eastAsia="zh-CN"/>
        </w:rPr>
        <w:t>。</w:t>
      </w:r>
      <w:r>
        <w:rPr>
          <w:rFonts w:hint="eastAsia" w:ascii="Times New Roman" w:hAnsi="Times New Roman" w:eastAsia="仿宋_GB2312" w:cs="Times New Roman"/>
          <w:spacing w:val="0"/>
          <w:kern w:val="0"/>
          <w:sz w:val="32"/>
          <w:szCs w:val="32"/>
          <w:highlight w:val="none"/>
          <w:lang w:val="en-US" w:eastAsia="zh-CN"/>
        </w:rPr>
        <w:t>由县住建局、</w:t>
      </w:r>
      <w:r>
        <w:rPr>
          <w:rFonts w:hint="eastAsia" w:cs="Times New Roman"/>
          <w:spacing w:val="0"/>
          <w:kern w:val="0"/>
          <w:sz w:val="32"/>
          <w:szCs w:val="32"/>
          <w:highlight w:val="none"/>
          <w:lang w:val="en-US" w:eastAsia="zh-CN"/>
        </w:rPr>
        <w:t>县</w:t>
      </w:r>
      <w:r>
        <w:rPr>
          <w:rFonts w:hint="eastAsia" w:ascii="Times New Roman" w:hAnsi="Times New Roman" w:eastAsia="仿宋_GB2312" w:cs="Times New Roman"/>
          <w:spacing w:val="0"/>
          <w:kern w:val="0"/>
          <w:sz w:val="32"/>
          <w:szCs w:val="32"/>
          <w:highlight w:val="none"/>
          <w:lang w:val="en-US" w:eastAsia="zh-CN"/>
        </w:rPr>
        <w:t>自</w:t>
      </w:r>
      <w:r>
        <w:rPr>
          <w:rFonts w:hint="eastAsia" w:cs="Times New Roman"/>
          <w:spacing w:val="0"/>
          <w:kern w:val="0"/>
          <w:sz w:val="32"/>
          <w:szCs w:val="32"/>
          <w:highlight w:val="none"/>
          <w:lang w:val="en-US" w:eastAsia="zh-CN"/>
        </w:rPr>
        <w:t>规</w:t>
      </w:r>
      <w:r>
        <w:rPr>
          <w:rFonts w:hint="eastAsia" w:ascii="Times New Roman" w:hAnsi="Times New Roman" w:eastAsia="仿宋_GB2312" w:cs="Times New Roman"/>
          <w:spacing w:val="0"/>
          <w:kern w:val="0"/>
          <w:sz w:val="32"/>
          <w:szCs w:val="32"/>
          <w:highlight w:val="none"/>
          <w:lang w:val="en-US" w:eastAsia="zh-CN"/>
        </w:rPr>
        <w:t>局牵头，对已拆迁未开发地块进行全面摸排，筛选具备条件的空地改造为临时停车场，年内新增停车位450个</w:t>
      </w:r>
      <w:r>
        <w:rPr>
          <w:rFonts w:hint="eastAsia" w:cs="Times New Roman"/>
          <w:spacing w:val="0"/>
          <w:kern w:val="0"/>
          <w:sz w:val="32"/>
          <w:szCs w:val="32"/>
          <w:highlight w:val="none"/>
          <w:lang w:val="en-US" w:eastAsia="zh-CN"/>
        </w:rPr>
        <w:t>左右</w:t>
      </w:r>
      <w:r>
        <w:rPr>
          <w:rFonts w:hint="eastAsia" w:ascii="Times New Roman" w:hAnsi="Times New Roman" w:eastAsia="仿宋_GB2312" w:cs="Times New Roman"/>
          <w:spacing w:val="0"/>
          <w:kern w:val="0"/>
          <w:sz w:val="32"/>
          <w:szCs w:val="32"/>
          <w:highlight w:val="none"/>
          <w:lang w:val="en-US" w:eastAsia="zh-CN"/>
        </w:rPr>
        <w:t>。明确临时停车场管理主体，设置标识标牌、监控设施，并由讯飞智泊公司负责日常秩序维护。</w:t>
      </w:r>
      <w:r>
        <w:rPr>
          <w:rFonts w:hint="eastAsia" w:cs="Times New Roman"/>
          <w:spacing w:val="0"/>
          <w:kern w:val="0"/>
          <w:sz w:val="32"/>
          <w:szCs w:val="32"/>
          <w:highlight w:val="none"/>
          <w:lang w:val="en-US" w:eastAsia="zh-CN"/>
        </w:rPr>
        <w:t>二是</w:t>
      </w:r>
      <w:r>
        <w:rPr>
          <w:rFonts w:hint="eastAsia" w:ascii="Times New Roman" w:hAnsi="Times New Roman" w:eastAsia="仿宋_GB2312" w:cs="Times New Roman"/>
          <w:spacing w:val="0"/>
          <w:kern w:val="0"/>
          <w:sz w:val="32"/>
          <w:szCs w:val="32"/>
          <w:highlight w:val="none"/>
          <w:lang w:val="en-US" w:eastAsia="zh-CN"/>
        </w:rPr>
        <w:t>强化统筹管理</w:t>
      </w:r>
      <w:r>
        <w:rPr>
          <w:rFonts w:hint="eastAsia" w:cs="Times New Roman"/>
          <w:spacing w:val="0"/>
          <w:kern w:val="0"/>
          <w:sz w:val="32"/>
          <w:szCs w:val="32"/>
          <w:highlight w:val="none"/>
          <w:lang w:val="en-US" w:eastAsia="zh-CN"/>
        </w:rPr>
        <w:t>。以</w:t>
      </w:r>
      <w:r>
        <w:rPr>
          <w:rFonts w:hint="eastAsia" w:ascii="Times New Roman" w:hAnsi="Times New Roman" w:eastAsia="仿宋_GB2312" w:cs="Times New Roman"/>
          <w:spacing w:val="0"/>
          <w:kern w:val="0"/>
          <w:sz w:val="32"/>
          <w:szCs w:val="32"/>
          <w:highlight w:val="none"/>
          <w:lang w:val="en-US" w:eastAsia="zh-CN"/>
        </w:rPr>
        <w:t>城管、公安、属地政府组成的停车管理专班为主导，由讯飞智泊公司统筹停车场规划建设与运营，提高车位利用率。推行“智慧停车”平台建设，整合路内、路外停车资源，实现信息查询与错峰共享。</w:t>
      </w:r>
      <w:r>
        <w:rPr>
          <w:rFonts w:hint="eastAsia" w:cs="Times New Roman"/>
          <w:spacing w:val="0"/>
          <w:kern w:val="0"/>
          <w:sz w:val="32"/>
          <w:szCs w:val="32"/>
          <w:highlight w:val="none"/>
          <w:lang w:val="en-US" w:eastAsia="zh-CN"/>
        </w:rPr>
        <w:t>三是</w:t>
      </w:r>
      <w:r>
        <w:rPr>
          <w:rFonts w:hint="eastAsia" w:ascii="Times New Roman" w:hAnsi="Times New Roman" w:eastAsia="仿宋_GB2312" w:cs="Times New Roman"/>
          <w:spacing w:val="0"/>
          <w:kern w:val="0"/>
          <w:sz w:val="32"/>
          <w:szCs w:val="32"/>
          <w:highlight w:val="none"/>
          <w:lang w:val="en-US" w:eastAsia="zh-CN"/>
        </w:rPr>
        <w:t>优化政策保障</w:t>
      </w:r>
      <w:r>
        <w:rPr>
          <w:rFonts w:hint="eastAsia" w:cs="Times New Roman"/>
          <w:spacing w:val="0"/>
          <w:kern w:val="0"/>
          <w:sz w:val="32"/>
          <w:szCs w:val="32"/>
          <w:highlight w:val="none"/>
          <w:lang w:val="en-US" w:eastAsia="zh-CN"/>
        </w:rPr>
        <w:t>。</w:t>
      </w:r>
      <w:r>
        <w:rPr>
          <w:rFonts w:hint="eastAsia" w:ascii="Times New Roman" w:hAnsi="Times New Roman" w:eastAsia="仿宋_GB2312" w:cs="Times New Roman"/>
          <w:spacing w:val="0"/>
          <w:kern w:val="0"/>
          <w:sz w:val="32"/>
          <w:szCs w:val="32"/>
          <w:highlight w:val="none"/>
          <w:lang w:val="en-US" w:eastAsia="zh-CN"/>
        </w:rPr>
        <w:t>县发改委制定《关于濉溪县城区部分道路临时停车泊位及公共停车场机动车停放服务收费标准的通知》，规范收费标准和监管制度。鼓励社会资本参与，对投资改建闲置地块的企业给予政策支持。</w:t>
      </w:r>
      <w:r>
        <w:rPr>
          <w:rFonts w:hint="default" w:ascii="Times New Roman" w:hAnsi="Times New Roman" w:eastAsia="楷体_GB2312" w:cs="Times New Roman"/>
          <w:b/>
          <w:bCs/>
          <w:spacing w:val="0"/>
          <w:highlight w:val="none"/>
          <w:lang w:val="en-US" w:eastAsia="zh-CN"/>
        </w:rPr>
        <w:t>（承办单位：县建投集团）</w:t>
      </w:r>
    </w:p>
    <w:p w14:paraId="73FB9955">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default" w:ascii="Times New Roman" w:hAnsi="Times New Roman" w:eastAsia="楷体_GB2312" w:cs="Times New Roman"/>
          <w:b/>
          <w:bCs/>
          <w:spacing w:val="0"/>
          <w:highlight w:val="none"/>
          <w:lang w:val="en-US" w:eastAsia="zh-CN"/>
        </w:rPr>
        <w:t>关于消除公共卫生危害，促进健康濉溪建设的建议（2号）</w:t>
      </w:r>
      <w:r>
        <w:rPr>
          <w:rFonts w:hint="eastAsia" w:eastAsia="楷体_GB2312" w:cs="Times New Roman"/>
          <w:b/>
          <w:bCs/>
          <w:spacing w:val="0"/>
          <w:highlight w:val="none"/>
          <w:lang w:val="en-US" w:eastAsia="zh-CN"/>
        </w:rPr>
        <w:t>。</w:t>
      </w:r>
      <w:r>
        <w:rPr>
          <w:rFonts w:hint="default" w:ascii="Times New Roman" w:hAnsi="Times New Roman" w:eastAsia="仿宋_GB2312" w:cs="Times New Roman"/>
          <w:spacing w:val="0"/>
          <w:kern w:val="0"/>
          <w:sz w:val="32"/>
          <w:szCs w:val="32"/>
          <w:highlight w:val="none"/>
          <w:lang w:val="en-US" w:eastAsia="zh-CN"/>
        </w:rPr>
        <w:t>2024年5月，濉溪县疾控中心启动了丙肝微消除项目。通过对现有传染病信息系统中丙肝病例的随访检测，了解既往病例的现况。在随访调查现场进行文字、视频、音频等形式的宣传教育，发放丙肝防治信息卡、介绍丙肝药品医保报销政策，突出“丙肝可治愈，医保能报销”的核心信息。对核酸阳性且未接受过抗病毒治疗的患者，向其介绍丙肝可治愈</w:t>
      </w:r>
      <w:r>
        <w:rPr>
          <w:rFonts w:hint="eastAsia" w:cs="Times New Roman"/>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lang w:val="en-US" w:eastAsia="zh-CN"/>
        </w:rPr>
        <w:t>以及濉溪县丙肝药品医保报销政策，动员患者到丙肝定点治疗医院县医院或县中医医院接受抗病毒治疗。积极争取当地卫健委和医保局的支持，优化患者丙肝慢病证办理和医保报销流程，提高丙肝患者的治疗依从性。疾控中心负责的丙肝微消除项目检测任务400人，实际完成丙肝核酸检测453人，完成检测任务的113.25%；发现丙肝核酸阳性165人，核酸阳性率36.42%；已接受丙肝治疗47人，治疗覆盖率为28.48%。</w:t>
      </w:r>
      <w:r>
        <w:rPr>
          <w:rFonts w:hint="default" w:ascii="Times New Roman" w:hAnsi="Times New Roman" w:eastAsia="楷体_GB2312" w:cs="Times New Roman"/>
          <w:b/>
          <w:bCs/>
          <w:spacing w:val="0"/>
          <w:highlight w:val="none"/>
          <w:lang w:val="en-US" w:eastAsia="zh-CN"/>
        </w:rPr>
        <w:t>（承办单位：县卫健委）</w:t>
      </w:r>
    </w:p>
    <w:p w14:paraId="177A5D62">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pacing w:val="0"/>
          <w:kern w:val="0"/>
          <w:sz w:val="32"/>
          <w:szCs w:val="32"/>
          <w:highlight w:val="none"/>
          <w:lang w:val="en-US" w:eastAsia="zh-CN"/>
        </w:rPr>
      </w:pPr>
      <w:r>
        <w:rPr>
          <w:rFonts w:hint="default" w:ascii="Times New Roman" w:hAnsi="Times New Roman" w:eastAsia="楷体_GB2312" w:cs="Times New Roman"/>
          <w:b/>
          <w:bCs/>
          <w:spacing w:val="0"/>
          <w:highlight w:val="none"/>
          <w:lang w:val="en-US" w:eastAsia="zh-CN"/>
        </w:rPr>
        <w:t>关于拓宽提升沱河路淮海商场至烈山路段的建议（3号）</w:t>
      </w:r>
      <w:r>
        <w:rPr>
          <w:rFonts w:hint="eastAsia" w:eastAsia="楷体_GB2312" w:cs="Times New Roman"/>
          <w:b/>
          <w:bCs/>
          <w:spacing w:val="0"/>
          <w:highlight w:val="none"/>
          <w:lang w:val="en-US" w:eastAsia="zh-CN"/>
        </w:rPr>
        <w:t>。</w:t>
      </w:r>
      <w:r>
        <w:rPr>
          <w:rFonts w:hint="default" w:ascii="Times New Roman" w:hAnsi="Times New Roman" w:eastAsia="仿宋_GB2312" w:cs="Times New Roman"/>
          <w:spacing w:val="0"/>
          <w:kern w:val="0"/>
          <w:sz w:val="32"/>
          <w:szCs w:val="32"/>
          <w:highlight w:val="none"/>
          <w:lang w:val="en-US" w:eastAsia="zh-CN"/>
        </w:rPr>
        <w:t>沱河路淮海商场至烈山路段已被纳入城市更新计划</w:t>
      </w:r>
      <w:r>
        <w:rPr>
          <w:rFonts w:hint="eastAsia" w:cs="Times New Roman"/>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lang w:val="en-US" w:eastAsia="zh-CN"/>
        </w:rPr>
        <w:t>将对淮海路、闸河路、浍河路、烈山北路、碱河路、虎山路以及城关小学西门规划道路展开改造提升工作</w:t>
      </w:r>
      <w:r>
        <w:rPr>
          <w:rFonts w:hint="eastAsia" w:cs="Times New Roman"/>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lang w:val="en-US" w:eastAsia="zh-CN"/>
        </w:rPr>
        <w:t>濉溪镇拟实施沱河路中段城市更新项目，包括沱河路道路、两侧沿街各单位及南北向街巷，片区面积约230亩</w:t>
      </w:r>
      <w:r>
        <w:rPr>
          <w:rFonts w:hint="eastAsia" w:cs="Times New Roman"/>
          <w:spacing w:val="0"/>
          <w:kern w:val="0"/>
          <w:sz w:val="32"/>
          <w:szCs w:val="32"/>
          <w:highlight w:val="none"/>
          <w:lang w:val="en-US" w:eastAsia="zh-CN"/>
        </w:rPr>
        <w:t>。</w:t>
      </w:r>
      <w:r>
        <w:rPr>
          <w:rFonts w:hint="default" w:ascii="Times New Roman" w:hAnsi="Times New Roman" w:eastAsia="仿宋_GB2312" w:cs="Times New Roman"/>
          <w:spacing w:val="0"/>
          <w:kern w:val="0"/>
          <w:sz w:val="32"/>
          <w:szCs w:val="32"/>
          <w:highlight w:val="none"/>
          <w:lang w:val="en-US" w:eastAsia="zh-CN"/>
        </w:rPr>
        <w:t>拟对片区内沱河路道路景观环境及两侧建筑外立面提升改造；对道路两侧权属单位闲置资产进行功能提升；对</w:t>
      </w:r>
      <w:r>
        <w:rPr>
          <w:rFonts w:hint="eastAsia" w:cs="Times New Roman"/>
          <w:spacing w:val="0"/>
          <w:kern w:val="0"/>
          <w:sz w:val="32"/>
          <w:szCs w:val="32"/>
          <w:highlight w:val="none"/>
          <w:lang w:val="en-US" w:eastAsia="zh-CN"/>
        </w:rPr>
        <w:t>未</w:t>
      </w:r>
      <w:r>
        <w:rPr>
          <w:rFonts w:hint="default" w:ascii="Times New Roman" w:hAnsi="Times New Roman" w:eastAsia="仿宋_GB2312" w:cs="Times New Roman"/>
          <w:spacing w:val="0"/>
          <w:kern w:val="0"/>
          <w:sz w:val="32"/>
          <w:szCs w:val="32"/>
          <w:highlight w:val="none"/>
          <w:lang w:val="en-US" w:eastAsia="zh-CN"/>
        </w:rPr>
        <w:t>进行改造的或改造不到位的老旧小区进行改造；对南北向背街小巷进行环境提升；对道路两侧闲置土地进行利用</w:t>
      </w:r>
      <w:r>
        <w:rPr>
          <w:rFonts w:hint="eastAsia" w:cs="Times New Roman"/>
          <w:spacing w:val="0"/>
          <w:kern w:val="0"/>
          <w:sz w:val="32"/>
          <w:szCs w:val="32"/>
          <w:highlight w:val="none"/>
          <w:lang w:val="en-US" w:eastAsia="zh-CN"/>
        </w:rPr>
        <w:t>。</w:t>
      </w:r>
      <w:r>
        <w:rPr>
          <w:rFonts w:hint="default" w:ascii="Times New Roman" w:hAnsi="Times New Roman" w:eastAsia="楷体_GB2312" w:cs="Times New Roman"/>
          <w:b/>
          <w:bCs/>
          <w:spacing w:val="0"/>
          <w:highlight w:val="none"/>
          <w:lang w:val="en-US" w:eastAsia="zh-CN"/>
        </w:rPr>
        <w:t>（承办单位：县</w:t>
      </w:r>
      <w:r>
        <w:rPr>
          <w:rFonts w:hint="eastAsia" w:eastAsia="楷体_GB2312" w:cs="Times New Roman"/>
          <w:b/>
          <w:bCs/>
          <w:spacing w:val="0"/>
          <w:highlight w:val="none"/>
          <w:lang w:val="en-US" w:eastAsia="zh-CN"/>
        </w:rPr>
        <w:t>住建局、县城管局、濉溪镇人民政府分办</w:t>
      </w:r>
      <w:r>
        <w:rPr>
          <w:rFonts w:hint="default" w:ascii="Times New Roman" w:hAnsi="Times New Roman" w:eastAsia="楷体_GB2312" w:cs="Times New Roman"/>
          <w:b/>
          <w:bCs/>
          <w:spacing w:val="0"/>
          <w:highlight w:val="none"/>
          <w:lang w:val="en-US" w:eastAsia="zh-CN"/>
        </w:rPr>
        <w:t>）</w:t>
      </w:r>
    </w:p>
    <w:p w14:paraId="3BA1283D">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楷体_GB2312" w:cs="Times New Roman"/>
          <w:b/>
          <w:bCs/>
          <w:spacing w:val="0"/>
          <w:highlight w:val="none"/>
          <w:lang w:val="en-US" w:eastAsia="zh-CN"/>
        </w:rPr>
        <w:t>关于推进绿色农业的建议（4号）。</w:t>
      </w:r>
      <w:r>
        <w:rPr>
          <w:rFonts w:hint="eastAsia" w:cs="Times New Roman"/>
          <w:spacing w:val="0"/>
          <w:kern w:val="0"/>
          <w:sz w:val="32"/>
          <w:szCs w:val="32"/>
          <w:highlight w:val="none"/>
          <w:lang w:val="en-US" w:eastAsia="zh-CN"/>
        </w:rPr>
        <w:t>制定《濉溪县2025年绿色高产高效行动项目实施方案》《濉溪县2025年绿色高产高效行动技术方案》，成立“濉溪县2025年绿色高产高效行动项目工作专班”，促进绿色农业发展。在土壤管理上，进行施肥用量限额制，实行耕地轮作制度。在水资源利用上，实施玉米单产提升工程项目面积10万亩，涉及11个镇，利用滴灌或微喷的方式实现玉米水肥精准调控，起到节水节肥增产的目的。累计发放到户首部设备595套、4寸PVC涂塑软管190871米、3寸预制孔水带227351米，完成地埋主管道95722米。本项目总投资9000万元，其中财政投资总额3000万元，用于田间工程、首部设备采购、主管和支管采购。企业自有资金6000万元，重点用于农资采购、农机投入、毛管购置、机井修复以及田间管理等方面。在病虫害防治上，加强宣传培训和病虫害绿色防控。在农业废弃物处理上，大力推广秸秆再利用，开展秸秆综合利用技术培训和补贴支持农膜回收。</w:t>
      </w:r>
      <w:r>
        <w:rPr>
          <w:rFonts w:hint="default" w:ascii="Times New Roman" w:hAnsi="Times New Roman" w:eastAsia="楷体_GB2312" w:cs="Times New Roman"/>
          <w:b/>
          <w:bCs/>
          <w:spacing w:val="0"/>
          <w:highlight w:val="none"/>
          <w:lang w:val="en-US" w:eastAsia="zh-CN"/>
        </w:rPr>
        <w:t>（承办单位：县农业农村局）</w:t>
      </w:r>
    </w:p>
    <w:p w14:paraId="52992241">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关于推动基础设施建设，激发片区发展活力的建议（5号）</w:t>
      </w:r>
      <w:r>
        <w:rPr>
          <w:rFonts w:hint="eastAsia" w:eastAsia="楷体_GB2312" w:cs="Times New Roman"/>
          <w:b/>
          <w:bCs/>
          <w:spacing w:val="0"/>
          <w:highlight w:val="none"/>
          <w:lang w:val="en-US" w:eastAsia="zh-CN"/>
        </w:rPr>
        <w:t>。</w:t>
      </w:r>
      <w:r>
        <w:rPr>
          <w:rFonts w:hint="eastAsia" w:cs="Times New Roman"/>
          <w:spacing w:val="0"/>
          <w:sz w:val="32"/>
          <w:szCs w:val="32"/>
          <w:highlight w:val="none"/>
          <w:lang w:val="en-US" w:eastAsia="zh-CN"/>
        </w:rPr>
        <w:t>一是坚持规划引领，形成一部“更新策”。围绕生态宜居、城市特色、交通便捷、生活舒适、安全韧性等方面，开展深度城市体检，聚焦发现的“城市病”以及城市建设发展中的短板弱项，制定《濉溪县城市更新行动实施方案》，精心编制《濉溪县城市更新专项规划》，明确开展基层治理赋能、舒适街道治理、绿色封面提质、商业活力提升、文化魅力重塑、安全韧性提升六大行动，构建“一主一副多点”发展格局，着力推进城市内涵式增长。二是分区分类施策，形成一套“项目库”。按照旧城区、河西片区、古城片区、经开区、县城区分区施策，系统谋划项目。涵盖老旧小区改造、市政道路、城市管网、环境治理、服务设施提升等多个领域，加快推动老城焕新、服务添新、路网更新，优化城市功能布局、激发城市发展活力。三是聚焦项目建设，形成一张“作战图”。以群众需求为导向，提升城区品质和居民生活质量。对照城市更新2025年项目作战图，重点计划实施城市更新项目24个。古城片区品质精提升更新改造（一期）项目、濉溪县龙脊山路贯通工程、濉溪县闸河路提升项目、濉溪县新型文化广场商业综合体建设项目、双墨阁大酒店项目等有序推进。</w:t>
      </w:r>
      <w:r>
        <w:rPr>
          <w:rFonts w:hint="default" w:ascii="Times New Roman" w:hAnsi="Times New Roman" w:eastAsia="楷体_GB2312" w:cs="Times New Roman"/>
          <w:b/>
          <w:bCs/>
          <w:spacing w:val="0"/>
          <w:highlight w:val="none"/>
          <w:lang w:val="en-US" w:eastAsia="zh-CN"/>
        </w:rPr>
        <w:t>（承办单位：县住建局）</w:t>
      </w:r>
    </w:p>
    <w:p w14:paraId="30BA7416">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关于加强濉溪县医院门口地摊商贩管理的建议（6号）</w:t>
      </w:r>
      <w:r>
        <w:rPr>
          <w:rFonts w:hint="eastAsia" w:ascii="Times New Roman" w:hAnsi="Times New Roman" w:eastAsia="楷体_GB2312" w:cs="Times New Roman"/>
          <w:b/>
          <w:bCs/>
          <w:spacing w:val="0"/>
          <w:highlight w:val="none"/>
          <w:lang w:val="en-US" w:eastAsia="zh-CN"/>
        </w:rPr>
        <w:t>。</w:t>
      </w:r>
      <w:r>
        <w:rPr>
          <w:rFonts w:hint="eastAsia" w:cs="Times New Roman"/>
          <w:b w:val="0"/>
          <w:bCs w:val="0"/>
          <w:spacing w:val="0"/>
          <w:sz w:val="32"/>
          <w:szCs w:val="32"/>
          <w:highlight w:val="none"/>
          <w:lang w:val="en-US" w:eastAsia="zh-CN"/>
        </w:rPr>
        <w:t>一是</w:t>
      </w:r>
      <w:r>
        <w:rPr>
          <w:rFonts w:hint="default" w:ascii="Times New Roman" w:hAnsi="Times New Roman" w:eastAsia="仿宋_GB2312" w:cs="Times New Roman"/>
          <w:b w:val="0"/>
          <w:bCs w:val="0"/>
          <w:spacing w:val="0"/>
          <w:sz w:val="32"/>
          <w:szCs w:val="32"/>
          <w:highlight w:val="none"/>
        </w:rPr>
        <w:t>加大巡查力度</w:t>
      </w:r>
      <w:r>
        <w:rPr>
          <w:rFonts w:hint="eastAsia"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增加对医院周边的日常巡查频次，特别是早、中、晚用餐高峰期，安排专人定点值守与机动巡查相结合。</w:t>
      </w:r>
      <w:r>
        <w:rPr>
          <w:rFonts w:hint="eastAsia" w:cs="Times New Roman"/>
          <w:b w:val="0"/>
          <w:bCs w:val="0"/>
          <w:spacing w:val="0"/>
          <w:sz w:val="32"/>
          <w:szCs w:val="32"/>
          <w:highlight w:val="none"/>
          <w:lang w:val="en-US" w:eastAsia="zh-CN"/>
        </w:rPr>
        <w:t>同时</w:t>
      </w:r>
      <w:r>
        <w:rPr>
          <w:rFonts w:hint="default" w:ascii="Times New Roman" w:hAnsi="Times New Roman" w:eastAsia="仿宋_GB2312" w:cs="Times New Roman"/>
          <w:b w:val="0"/>
          <w:bCs w:val="0"/>
          <w:spacing w:val="0"/>
          <w:sz w:val="32"/>
          <w:szCs w:val="32"/>
          <w:highlight w:val="none"/>
        </w:rPr>
        <w:t>对占道经营的摊主进行劝导和管理。</w:t>
      </w:r>
      <w:r>
        <w:rPr>
          <w:rFonts w:hint="eastAsia" w:cs="Times New Roman"/>
          <w:b w:val="0"/>
          <w:bCs w:val="0"/>
          <w:spacing w:val="0"/>
          <w:sz w:val="32"/>
          <w:szCs w:val="32"/>
          <w:highlight w:val="none"/>
          <w:lang w:val="en-US" w:eastAsia="zh-CN"/>
        </w:rPr>
        <w:t>二是</w:t>
      </w:r>
      <w:r>
        <w:rPr>
          <w:rFonts w:hint="default" w:ascii="Times New Roman" w:hAnsi="Times New Roman" w:eastAsia="仿宋_GB2312" w:cs="Times New Roman"/>
          <w:b w:val="0"/>
          <w:bCs w:val="0"/>
          <w:spacing w:val="0"/>
          <w:sz w:val="32"/>
          <w:szCs w:val="32"/>
          <w:highlight w:val="none"/>
        </w:rPr>
        <w:t>宣传教育与引导</w:t>
      </w:r>
      <w:r>
        <w:rPr>
          <w:rFonts w:hint="eastAsia"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执法人员在日常管理过程中，注重对摊主的宣传教育工作。向他们详细讲解城市管理的相关法律法规，以及占道经营对交通秩序、市容环境和市民生活造成的不良影响</w:t>
      </w:r>
      <w:r>
        <w:rPr>
          <w:rFonts w:hint="eastAsia"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摊主表示，在了解相关规定后，愿意自觉遵守，共同维护医院周边的良好秩序。</w:t>
      </w:r>
      <w:r>
        <w:rPr>
          <w:rFonts w:hint="eastAsia" w:cs="Times New Roman"/>
          <w:b w:val="0"/>
          <w:bCs w:val="0"/>
          <w:spacing w:val="0"/>
          <w:sz w:val="32"/>
          <w:szCs w:val="32"/>
          <w:highlight w:val="none"/>
          <w:lang w:val="en-US" w:eastAsia="zh-CN"/>
        </w:rPr>
        <w:t>三是</w:t>
      </w:r>
      <w:r>
        <w:rPr>
          <w:rFonts w:hint="default" w:ascii="Times New Roman" w:hAnsi="Times New Roman" w:eastAsia="仿宋_GB2312" w:cs="Times New Roman"/>
          <w:b w:val="0"/>
          <w:bCs w:val="0"/>
          <w:spacing w:val="0"/>
          <w:sz w:val="32"/>
          <w:szCs w:val="32"/>
          <w:highlight w:val="none"/>
        </w:rPr>
        <w:t>集中整治行动</w:t>
      </w:r>
      <w:r>
        <w:rPr>
          <w:rFonts w:hint="eastAsia" w:cs="Times New Roman"/>
          <w:b w:val="0"/>
          <w:bCs w:val="0"/>
          <w:spacing w:val="0"/>
          <w:sz w:val="32"/>
          <w:szCs w:val="32"/>
          <w:highlight w:val="none"/>
          <w:lang w:eastAsia="zh-CN"/>
        </w:rPr>
        <w:t>。</w:t>
      </w:r>
      <w:r>
        <w:rPr>
          <w:rFonts w:hint="default" w:ascii="Times New Roman" w:hAnsi="Times New Roman" w:eastAsia="仿宋_GB2312" w:cs="Times New Roman"/>
          <w:b w:val="0"/>
          <w:bCs w:val="0"/>
          <w:spacing w:val="0"/>
          <w:sz w:val="32"/>
          <w:szCs w:val="32"/>
          <w:highlight w:val="none"/>
        </w:rPr>
        <w:t>多次组织开展集中整治行动，联合市场监督管理局等相关部门，对屡教不改、拒不配合的占道经营摊主依法进行处理。通过强有力的整治措施，对违规经营行为形成了有效震慑，医院周边占道经营现象得到了显著遏制。</w:t>
      </w:r>
      <w:r>
        <w:rPr>
          <w:rFonts w:hint="default" w:ascii="Times New Roman" w:hAnsi="Times New Roman" w:eastAsia="楷体_GB2312" w:cs="Times New Roman"/>
          <w:b/>
          <w:bCs/>
          <w:spacing w:val="0"/>
          <w:highlight w:val="none"/>
          <w:lang w:val="en-US" w:eastAsia="zh-CN"/>
        </w:rPr>
        <w:t>（承办单位：县城管局）</w:t>
      </w:r>
    </w:p>
    <w:p w14:paraId="465ABBBA">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关于加强关注中小学心理健康的建议（7号）</w:t>
      </w:r>
      <w:r>
        <w:rPr>
          <w:rFonts w:hint="eastAsia" w:ascii="Times New Roman" w:hAnsi="Times New Roman" w:eastAsia="楷体_GB2312" w:cs="Times New Roman"/>
          <w:b/>
          <w:bCs/>
          <w:spacing w:val="0"/>
          <w:highlight w:val="none"/>
          <w:lang w:val="en-US" w:eastAsia="zh-CN"/>
        </w:rPr>
        <w:t>。</w:t>
      </w:r>
      <w:r>
        <w:rPr>
          <w:rFonts w:hint="default" w:ascii="Times New Roman" w:hAnsi="Times New Roman" w:cs="Times New Roman"/>
          <w:b w:val="0"/>
          <w:bCs w:val="0"/>
          <w:spacing w:val="0"/>
          <w:kern w:val="2"/>
          <w:sz w:val="32"/>
          <w:szCs w:val="32"/>
          <w:highlight w:val="none"/>
          <w:lang w:val="en-US" w:eastAsia="zh-CN" w:bidi="ar-SA"/>
        </w:rPr>
        <w:t>一是建立健全中小学校心理健康教育工作机制。印发《濉溪县未成年人心理健康教育指导中心工作计划》《濉溪县中小学心理健康教育工作考核细则》，进一步完善中小学心理健康教育服务体系。二是加强心理健康教育师资队伍建设。将心理健康教育纳入每年暑期继续教育培训、岗前培训的内容，全面提升所有任课教师应对心理健康问题的能力。2025年以来，组织全县心理健康教育专（兼）教师和分管领导开展1次县级集中培训、1次市级培训，培训300余人次，推选3名教师参加市级优质课评选</w:t>
      </w:r>
      <w:r>
        <w:rPr>
          <w:rFonts w:hint="eastAsia" w:cs="Times New Roman"/>
          <w:b w:val="0"/>
          <w:bCs w:val="0"/>
          <w:spacing w:val="0"/>
          <w:kern w:val="2"/>
          <w:sz w:val="32"/>
          <w:szCs w:val="32"/>
          <w:highlight w:val="none"/>
          <w:lang w:val="en-US" w:eastAsia="zh-CN" w:bidi="ar-SA"/>
        </w:rPr>
        <w:t>，</w:t>
      </w:r>
      <w:r>
        <w:rPr>
          <w:rFonts w:hint="default" w:ascii="Times New Roman" w:hAnsi="Times New Roman" w:cs="Times New Roman"/>
          <w:b w:val="0"/>
          <w:bCs w:val="0"/>
          <w:spacing w:val="0"/>
          <w:kern w:val="2"/>
          <w:sz w:val="32"/>
          <w:szCs w:val="32"/>
          <w:highlight w:val="none"/>
          <w:lang w:val="en-US" w:eastAsia="zh-CN" w:bidi="ar-SA"/>
        </w:rPr>
        <w:t>组织开展心理健康情景剧评选活动，推荐4所学校参加市级评选。三是做好心理健康测评工作。扎实做好心理健康筛查工作，坚持每学期开展一次。逐步完善“一生一策”的心理健康成长档案，为学校心理健康咨询工作夯实。四是关注特殊群体。开展面向特殊群体学生（留守儿童、残疾儿童、进城务工人员子女、单亲家庭子女等）心理健康关爱活动，及时了解学生是否存在早期心理创伤、重大家庭变故、亲子关系紧张、个人遭受侵犯等情况，有针对性地做好个别谈话和团体辅导，及时予以疏导关爱。全县各学校设立班级健康委员2245名。五是创新心理健康辅导。各校通过开展心理健康月、心理健康讲座、主题班会、黑板报等活动，提升广大学生、家长心理健康素养，为学生未来奠基，家校共育助力。统筹协调各方资源，支持服务家庭教育，通过学校微信公众号、班级微信群（QQ群）等，推送心理健康教育知识讲座，积极做好家校沟通；整合社会资源，建立志愿者团队，深入推进家校协同育人，引导和帮助学生家长树立正确的教育观，积极向家长普及心理健康教育知识。</w:t>
      </w:r>
      <w:r>
        <w:rPr>
          <w:rFonts w:hint="default" w:ascii="Times New Roman" w:hAnsi="Times New Roman" w:eastAsia="楷体_GB2312" w:cs="Times New Roman"/>
          <w:b/>
          <w:bCs/>
          <w:spacing w:val="0"/>
          <w:highlight w:val="none"/>
          <w:lang w:val="en-US" w:eastAsia="zh-CN"/>
        </w:rPr>
        <w:t>（承办单位：县教育局</w:t>
      </w:r>
      <w:r>
        <w:rPr>
          <w:rFonts w:hint="eastAsia" w:eastAsia="楷体_GB2312" w:cs="Times New Roman"/>
          <w:b/>
          <w:bCs/>
          <w:spacing w:val="0"/>
          <w:highlight w:val="none"/>
          <w:lang w:val="en-US" w:eastAsia="zh-CN"/>
        </w:rPr>
        <w:t>）</w:t>
      </w:r>
    </w:p>
    <w:p w14:paraId="6F71B669">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关于对濉溪镇拆迁安置小区电梯、墙面进行维修的建议（8号）</w:t>
      </w:r>
      <w:r>
        <w:rPr>
          <w:rFonts w:hint="eastAsia" w:ascii="Times New Roman" w:hAnsi="Times New Roman" w:eastAsia="楷体_GB2312" w:cs="Times New Roman"/>
          <w:b/>
          <w:bCs/>
          <w:spacing w:val="0"/>
          <w:highlight w:val="none"/>
          <w:lang w:val="en-US" w:eastAsia="zh-CN"/>
        </w:rPr>
        <w:t>。</w:t>
      </w:r>
      <w:r>
        <w:rPr>
          <w:rFonts w:hint="eastAsia" w:ascii="Times New Roman" w:hAnsi="Times New Roman" w:eastAsia="仿宋_GB2312" w:cs="Times New Roman"/>
          <w:b w:val="0"/>
          <w:bCs w:val="0"/>
          <w:spacing w:val="0"/>
          <w:kern w:val="2"/>
          <w:sz w:val="32"/>
          <w:szCs w:val="32"/>
          <w:highlight w:val="none"/>
          <w:lang w:val="en-US" w:eastAsia="zh-CN" w:bidi="ar-SA"/>
        </w:rPr>
        <w:t>2025年，</w:t>
      </w:r>
      <w:r>
        <w:rPr>
          <w:rFonts w:hint="eastAsia" w:cs="Times New Roman"/>
          <w:b w:val="0"/>
          <w:bCs w:val="0"/>
          <w:spacing w:val="0"/>
          <w:kern w:val="2"/>
          <w:sz w:val="32"/>
          <w:szCs w:val="32"/>
          <w:highlight w:val="none"/>
          <w:lang w:val="en-US" w:eastAsia="zh-CN" w:bidi="ar-SA"/>
        </w:rPr>
        <w:t>县住建局</w:t>
      </w:r>
      <w:r>
        <w:rPr>
          <w:rFonts w:hint="eastAsia" w:ascii="Times New Roman" w:hAnsi="Times New Roman" w:eastAsia="仿宋_GB2312" w:cs="Times New Roman"/>
          <w:b w:val="0"/>
          <w:bCs w:val="0"/>
          <w:spacing w:val="0"/>
          <w:kern w:val="2"/>
          <w:sz w:val="32"/>
          <w:szCs w:val="32"/>
          <w:highlight w:val="none"/>
          <w:lang w:val="en-US" w:eastAsia="zh-CN" w:bidi="ar-SA"/>
        </w:rPr>
        <w:t>按照维修资金使用规范流程，完成住宅小区设施设备维修更新项目37个，其中维修屋面防水1.59万平方、电梯15部、外墙维修项目4个、消防维修项目5个、路面改造维修项目1个、自来水管道维修项目1个，合计使用维修资金624.62万元，涉及住户5000余户。对住宅小区中维修资金不足的情况，指导属地镇（园区）制定续筹工作实施方案，并由属地镇（园区）督促社区、业主委员会组织实施续筹工作。</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（承办单位：县住建局）</w:t>
      </w:r>
    </w:p>
    <w:p w14:paraId="63B5FAE6">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关于改善县城医院医疗条件的建议（9号）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一是能力建设强龙头。投入4.1亿元完成县级医院补短板强基工程，2家医共体牵头医院均完成三级医院登记，县医院卒中中心达到国家高级卒中中心标准，引进256排CT、直线加速器等高端设备。全县建成省级临床重点专科3个，省级临床特色专科2个。二是资源整合优布局。投资9.3亿元建设县医院南部次中心院区和双堆新城医院，推动主城区优质医疗资源向南平移，双堆新城医院已于2025年6月18日完成竣工验收，并于同年8月正式投入使用。南部次中心新城医院目前进展顺利。三是专项资金提能力。创新设立县级医师培训统筹资金池，由县政府出资200万元、县医院出资100万元、县中医院出资50万元建立，当资金池低于50万元时启动新一轮筹资。四是智能诊断精准辅助。县医院探索启用人工智能（AI）辅助影像诊断系统，基于大数据和图像智能识别IT技术实现智能辅助诊断，落实医生AI诊断双重把关机制</w:t>
      </w:r>
      <w:r>
        <w:rPr>
          <w:rFonts w:hint="eastAsia" w:cs="Times New Roman"/>
          <w:b w:val="0"/>
          <w:bCs w:val="0"/>
          <w:spacing w:val="0"/>
          <w:kern w:val="2"/>
          <w:sz w:val="32"/>
          <w:szCs w:val="32"/>
          <w:highlight w:val="none"/>
          <w:lang w:val="en-US" w:eastAsia="zh-CN" w:bidi="ar-SA"/>
        </w:rPr>
        <w:t>。</w:t>
      </w:r>
      <w:r>
        <w:rPr>
          <w:rFonts w:hint="default" w:ascii="Times New Roman" w:hAnsi="Times New Roman" w:eastAsia="楷体_GB2312" w:cs="Times New Roman"/>
          <w:b/>
          <w:bCs/>
          <w:spacing w:val="0"/>
          <w:highlight w:val="none"/>
          <w:lang w:val="en-US" w:eastAsia="zh-CN"/>
        </w:rPr>
        <w:t>（承办单位：县卫健委）</w:t>
      </w:r>
    </w:p>
    <w:p w14:paraId="6A59E12A">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楷体_GB2312" w:cs="Times New Roman"/>
          <w:b/>
          <w:bCs/>
          <w:spacing w:val="0"/>
          <w:highlight w:val="none"/>
          <w:lang w:val="en-US" w:eastAsia="zh-CN"/>
        </w:rPr>
        <w:t>关于建立县级DNA资料库的建议（10号）</w:t>
      </w:r>
      <w:r>
        <w:rPr>
          <w:rFonts w:hint="eastAsia" w:ascii="Times New Roman" w:hAnsi="Times New Roman" w:eastAsia="楷体_GB2312" w:cs="Times New Roman"/>
          <w:b/>
          <w:bCs/>
          <w:spacing w:val="0"/>
          <w:highlight w:val="none"/>
          <w:lang w:val="en-US" w:eastAsia="zh-CN"/>
        </w:rPr>
        <w:t>。</w:t>
      </w:r>
      <w:r>
        <w:rPr>
          <w:rFonts w:hint="default" w:ascii="Times New Roman" w:hAnsi="Times New Roman" w:eastAsia="仿宋_GB2312" w:cs="Times New Roman"/>
          <w:spacing w:val="0"/>
          <w:sz w:val="32"/>
          <w:szCs w:val="32"/>
          <w:highlight w:val="none"/>
          <w:lang w:val="en-US" w:eastAsia="zh-CN"/>
        </w:rPr>
        <w:t>按照安徽省公安厅统一部署，濉溪县公安局于2017年开始在全县范围内启动家系图谱建设工作，目前已基本完成。同时，积极推进DNA实验室规范化建设，建成标准化DNA实验室，配备DNA测序仪、DNA核酸提取仪、台式生物检材发现仪等仪器，在人员身份鉴定、追捕违法犯罪人员等方面作出了突出贡献。另外，国家目前尚未有建立全员DNA资料库的相关规划，公安部门将严格按照上级部署强力推进落实。</w:t>
      </w:r>
      <w:r>
        <w:rPr>
          <w:rFonts w:hint="default" w:ascii="Times New Roman" w:hAnsi="Times New Roman" w:eastAsia="楷体_GB2312" w:cs="Times New Roman"/>
          <w:b/>
          <w:bCs/>
          <w:spacing w:val="0"/>
          <w:highlight w:val="none"/>
          <w:lang w:val="en-US" w:eastAsia="zh-CN"/>
        </w:rPr>
        <w:t>（承办单位：县公安局）</w:t>
      </w:r>
    </w:p>
    <w:p w14:paraId="76682522">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关于优化道路红绿灯设置的建议（11号）</w:t>
      </w:r>
      <w:r>
        <w:rPr>
          <w:rFonts w:hint="eastAsia" w:ascii="Times New Roman" w:hAnsi="Times New Roman" w:eastAsia="楷体_GB2312" w:cs="Times New Roman"/>
          <w:b/>
          <w:bCs/>
          <w:spacing w:val="0"/>
          <w:highlight w:val="none"/>
          <w:lang w:val="en-US" w:eastAsia="zh-CN"/>
        </w:rPr>
        <w:t>。</w:t>
      </w:r>
      <w:r>
        <w:rPr>
          <w:rFonts w:hint="default" w:ascii="Times New Roman" w:hAnsi="Times New Roman" w:eastAsia="仿宋_GB2312" w:cs="Times New Roman"/>
          <w:spacing w:val="0"/>
          <w:sz w:val="32"/>
          <w:szCs w:val="32"/>
          <w:highlight w:val="none"/>
          <w:lang w:val="en-US" w:eastAsia="zh-CN"/>
        </w:rPr>
        <w:t>交管大队组织设备维护公司和红绿灯管理工作人员共商配时等问题。对现有硬件兼容好的路段，进行了配时优化。下一步积极克服硬件不兼容，一体优化难度大等问题，切实降低群众驾车等待时间，提升道路通行效率。</w:t>
      </w:r>
      <w:r>
        <w:rPr>
          <w:rFonts w:hint="default" w:ascii="Times New Roman" w:hAnsi="Times New Roman" w:eastAsia="楷体_GB2312" w:cs="Times New Roman"/>
          <w:b/>
          <w:bCs/>
          <w:spacing w:val="0"/>
          <w:highlight w:val="none"/>
          <w:lang w:val="en-US" w:eastAsia="zh-CN"/>
        </w:rPr>
        <w:t>（承办单位：县公安局）</w:t>
      </w:r>
    </w:p>
    <w:p w14:paraId="08BC5D3A">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关于在城区内广泛设置便民充电桩的建议（12号）</w:t>
      </w:r>
      <w:r>
        <w:rPr>
          <w:rFonts w:hint="eastAsia" w:ascii="Times New Roman" w:hAnsi="Times New Roman" w:eastAsia="楷体_GB2312" w:cs="Times New Roman"/>
          <w:b/>
          <w:bCs/>
          <w:spacing w:val="0"/>
          <w:highlight w:val="none"/>
          <w:lang w:val="en-US" w:eastAsia="zh-CN"/>
        </w:rPr>
        <w:t>。</w:t>
      </w:r>
      <w:r>
        <w:rPr>
          <w:rFonts w:hint="default" w:ascii="Times New Roman" w:hAnsi="Times New Roman" w:cs="Times New Roman"/>
          <w:spacing w:val="0"/>
          <w:sz w:val="32"/>
          <w:szCs w:val="32"/>
          <w:highlight w:val="none"/>
          <w:lang w:val="en-US" w:eastAsia="zh-CN"/>
        </w:rPr>
        <w:t>自濉溪县电动自行车安全隐患全链条整治行动工作专班成立以来，充分利用“濉溪消防巾帼宣传队”、“学雷锋焰蓝志愿服务队”“消防志愿者”等宣传队伍的作用，深入住宅小区、商场市场、医院、乡镇等场所，通过张贴海报，设置展板，发放手册、手机微信群等多种形式，广泛开展电动自行车消防安全宣传</w:t>
      </w:r>
      <w:r>
        <w:rPr>
          <w:rFonts w:hint="eastAsia" w:cs="Times New Roman"/>
          <w:spacing w:val="0"/>
          <w:sz w:val="32"/>
          <w:szCs w:val="32"/>
          <w:highlight w:val="none"/>
          <w:lang w:val="en-US" w:eastAsia="zh-CN"/>
        </w:rPr>
        <w:t>，并</w:t>
      </w:r>
      <w:r>
        <w:rPr>
          <w:rFonts w:hint="default" w:ascii="Times New Roman" w:hAnsi="Times New Roman" w:cs="Times New Roman"/>
          <w:spacing w:val="0"/>
          <w:sz w:val="32"/>
          <w:szCs w:val="32"/>
          <w:highlight w:val="none"/>
          <w:lang w:val="en-US" w:eastAsia="zh-CN"/>
        </w:rPr>
        <w:t>联合市</w:t>
      </w:r>
      <w:r>
        <w:rPr>
          <w:rFonts w:hint="eastAsia" w:cs="Times New Roman"/>
          <w:spacing w:val="0"/>
          <w:sz w:val="32"/>
          <w:szCs w:val="32"/>
          <w:highlight w:val="none"/>
          <w:lang w:val="en-US" w:eastAsia="zh-CN"/>
        </w:rPr>
        <w:t>传</w:t>
      </w:r>
      <w:r>
        <w:rPr>
          <w:rFonts w:hint="default" w:ascii="Times New Roman" w:hAnsi="Times New Roman" w:cs="Times New Roman"/>
          <w:spacing w:val="0"/>
          <w:sz w:val="32"/>
          <w:szCs w:val="32"/>
          <w:highlight w:val="none"/>
          <w:lang w:val="en-US" w:eastAsia="zh-CN"/>
        </w:rPr>
        <w:t>媒中心开展“隐患大曝光”行动，借助电视、网络等媒体平台，及时曝光相关隐患案例，让居民深刻认识到“楼道充电”“飞线充电”等行为的严重危害，引导居民树立安全防范意识，自觉杜绝不安全行为。</w:t>
      </w:r>
      <w:r>
        <w:rPr>
          <w:rFonts w:hint="default" w:ascii="Times New Roman" w:hAnsi="Times New Roman" w:eastAsia="楷体_GB2312" w:cs="Times New Roman"/>
          <w:b/>
          <w:bCs/>
          <w:spacing w:val="0"/>
          <w:highlight w:val="none"/>
          <w:lang w:val="en-US" w:eastAsia="zh-CN"/>
        </w:rPr>
        <w:t>（承办单位：县发改委）</w:t>
      </w:r>
    </w:p>
    <w:p w14:paraId="6B24CC67">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关于加快贯通玉兰大道至101省道的建议（13号）</w:t>
      </w:r>
      <w:r>
        <w:rPr>
          <w:rFonts w:hint="eastAsia" w:ascii="Times New Roman" w:hAnsi="Times New Roman" w:eastAsia="楷体_GB2312" w:cs="Times New Roman"/>
          <w:b/>
          <w:bCs/>
          <w:spacing w:val="0"/>
          <w:highlight w:val="none"/>
          <w:lang w:val="en-US" w:eastAsia="zh-CN"/>
        </w:rPr>
        <w:t>。</w:t>
      </w:r>
      <w:r>
        <w:rPr>
          <w:rFonts w:hint="eastAsia" w:ascii="Times New Roman" w:hAnsi="Times New Roman" w:cs="Times New Roman"/>
          <w:spacing w:val="0"/>
          <w:sz w:val="32"/>
          <w:szCs w:val="32"/>
          <w:highlight w:val="none"/>
          <w:lang w:val="en-US" w:eastAsia="zh-CN"/>
        </w:rPr>
        <w:t>在濉溪县经济开发区范围内，玉兰大道向西延伸至云集路的路段已完成方案设计。该路段全长约1.199公里，道路红线宽度48米，设计时速60公里/小时，投资概算</w:t>
      </w:r>
      <w:r>
        <w:rPr>
          <w:rFonts w:hint="eastAsia" w:cs="Times New Roman"/>
          <w:spacing w:val="0"/>
          <w:sz w:val="32"/>
          <w:szCs w:val="32"/>
          <w:highlight w:val="none"/>
          <w:lang w:val="en-US" w:eastAsia="zh-CN"/>
        </w:rPr>
        <w:t>3</w:t>
      </w:r>
      <w:r>
        <w:rPr>
          <w:rFonts w:hint="eastAsia" w:ascii="Times New Roman" w:hAnsi="Times New Roman" w:cs="Times New Roman"/>
          <w:spacing w:val="0"/>
          <w:sz w:val="32"/>
          <w:szCs w:val="32"/>
          <w:highlight w:val="none"/>
          <w:lang w:val="en-US" w:eastAsia="zh-CN"/>
        </w:rPr>
        <w:t>460万元，建设内容涵盖道路工程、交通工程、桥梁工程、排水工程、照明工程等。当前，该路段面临三项问题：一是需完成土地报批工作；二是要对道路红线范围内的地上附属物进行征迁；三是因开发区资金紧张，暂未启动建设。位于刘桥镇范围内的玉兰西路云集路至101省道段，全长约1.171公里。按照规划，该路段道路红线宽度为48米，建设内容参照东段标准执行，投资概算3379万元。此路段存在的问题：一是涉及土地报批；二是需开展道路红线内地上附属物的征迁；三是需明确建设单位及资金来源；四是建设单位需与 101 省道权属单位对接，协调道路交叉接入相关事宜。</w:t>
      </w:r>
      <w:r>
        <w:rPr>
          <w:rFonts w:hint="default" w:ascii="Times New Roman" w:hAnsi="Times New Roman" w:eastAsia="楷体_GB2312" w:cs="Times New Roman"/>
          <w:b/>
          <w:bCs/>
          <w:spacing w:val="0"/>
          <w:highlight w:val="none"/>
          <w:lang w:val="en-US" w:eastAsia="zh-CN"/>
        </w:rPr>
        <w:t>（承办单位：县住建局）</w:t>
      </w:r>
    </w:p>
    <w:p w14:paraId="28DDDEC2">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关于沱河路向西延伸修建的建议（14号）</w:t>
      </w:r>
      <w:r>
        <w:rPr>
          <w:rFonts w:hint="eastAsia" w:ascii="Times New Roman" w:hAnsi="Times New Roman" w:eastAsia="楷体_GB2312" w:cs="Times New Roman"/>
          <w:b/>
          <w:bCs/>
          <w:spacing w:val="0"/>
          <w:highlight w:val="none"/>
          <w:lang w:val="en-US" w:eastAsia="zh-CN"/>
        </w:rPr>
        <w:t>。</w:t>
      </w:r>
      <w:r>
        <w:rPr>
          <w:rFonts w:hint="eastAsia" w:ascii="Times New Roman" w:hAnsi="Times New Roman" w:eastAsia="仿宋_GB2312" w:cs="Times New Roman"/>
          <w:spacing w:val="0"/>
          <w:sz w:val="32"/>
          <w:szCs w:val="32"/>
          <w:highlight w:val="none"/>
          <w:lang w:val="en-US" w:eastAsia="zh-CN"/>
        </w:rPr>
        <w:t>因涉及土地利用总体规划调整、建设资金筹措、周边区域开发统筹等多项前置条件尚未完善，该工程暂未纳入近期建设计划。下一步，将统筹考量区域发展需求，把沱河西路等基础设施建设纳入河西片区城市更新范畴，按照分步实施的原则推进。通过系统规划与建设，打通完善</w:t>
      </w:r>
      <w:r>
        <w:rPr>
          <w:rFonts w:hint="eastAsia" w:cs="Times New Roman"/>
          <w:spacing w:val="0"/>
          <w:sz w:val="32"/>
          <w:szCs w:val="32"/>
          <w:highlight w:val="none"/>
          <w:lang w:val="en-US" w:eastAsia="zh-CN"/>
        </w:rPr>
        <w:t>县</w:t>
      </w:r>
      <w:r>
        <w:rPr>
          <w:rFonts w:hint="eastAsia" w:ascii="Times New Roman" w:hAnsi="Times New Roman" w:eastAsia="仿宋_GB2312" w:cs="Times New Roman"/>
          <w:spacing w:val="0"/>
          <w:sz w:val="32"/>
          <w:szCs w:val="32"/>
          <w:highlight w:val="none"/>
          <w:lang w:val="en-US" w:eastAsia="zh-CN"/>
        </w:rPr>
        <w:t>域路网，进一步强化该区域向东与旧城区、向西跨王引河、向北与高铁西站、向南与开发区的连接贯通，全面提升八里河西区的交通通达性和整体发展能级。</w:t>
      </w:r>
      <w:r>
        <w:rPr>
          <w:rFonts w:hint="default" w:ascii="Times New Roman" w:hAnsi="Times New Roman" w:eastAsia="楷体_GB2312" w:cs="Times New Roman"/>
          <w:b/>
          <w:bCs/>
          <w:spacing w:val="0"/>
          <w:highlight w:val="none"/>
          <w:lang w:val="en-US" w:eastAsia="zh-CN"/>
        </w:rPr>
        <w:t>（承办单位：县住建局）</w:t>
      </w:r>
    </w:p>
    <w:p w14:paraId="0DDD4C2A">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关于云集路向北修建至101省道</w:t>
      </w:r>
      <w:r>
        <w:rPr>
          <w:rFonts w:hint="eastAsia" w:eastAsia="楷体_GB2312" w:cs="Times New Roman"/>
          <w:b/>
          <w:bCs/>
          <w:spacing w:val="0"/>
          <w:highlight w:val="none"/>
          <w:lang w:val="en-US" w:eastAsia="zh-CN"/>
        </w:rPr>
        <w:t>的</w:t>
      </w:r>
      <w:r>
        <w:rPr>
          <w:rFonts w:hint="default" w:ascii="Times New Roman" w:hAnsi="Times New Roman" w:eastAsia="楷体_GB2312" w:cs="Times New Roman"/>
          <w:b/>
          <w:bCs/>
          <w:spacing w:val="0"/>
          <w:highlight w:val="none"/>
          <w:lang w:val="en-US" w:eastAsia="zh-CN"/>
        </w:rPr>
        <w:t>建议（15号）</w:t>
      </w:r>
      <w:r>
        <w:rPr>
          <w:rFonts w:hint="eastAsia" w:ascii="Times New Roman" w:hAnsi="Times New Roman" w:eastAsia="楷体_GB2312" w:cs="Times New Roman"/>
          <w:b/>
          <w:bCs/>
          <w:spacing w:val="0"/>
          <w:highlight w:val="none"/>
          <w:lang w:val="en-US" w:eastAsia="zh-CN"/>
        </w:rPr>
        <w:t>。</w:t>
      </w:r>
      <w:r>
        <w:rPr>
          <w:rFonts w:hint="eastAsia" w:cs="Times New Roman"/>
          <w:spacing w:val="0"/>
          <w:sz w:val="32"/>
          <w:szCs w:val="32"/>
          <w:highlight w:val="none"/>
          <w:lang w:val="en-US" w:eastAsia="zh-CN"/>
        </w:rPr>
        <w:t>云集路北端与101省道之间存在约1.5公里的断链。经核实，铁路南侧为一般耕地，北侧为基本农田，现不具备修建条件。</w:t>
      </w:r>
      <w:r>
        <w:rPr>
          <w:rFonts w:hint="default" w:ascii="Times New Roman" w:hAnsi="Times New Roman" w:eastAsia="楷体_GB2312" w:cs="Times New Roman"/>
          <w:b/>
          <w:bCs/>
          <w:spacing w:val="0"/>
          <w:highlight w:val="none"/>
          <w:lang w:val="en-US" w:eastAsia="zh-CN"/>
        </w:rPr>
        <w:t>（承办单位：县交通局）</w:t>
      </w:r>
    </w:p>
    <w:p w14:paraId="52DBD913">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spacing w:val="0"/>
          <w:highlight w:val="none"/>
          <w:lang w:val="en-US" w:eastAsia="zh-CN"/>
        </w:rPr>
      </w:pPr>
      <w:r>
        <w:rPr>
          <w:rFonts w:hint="default" w:ascii="Times New Roman" w:hAnsi="Times New Roman" w:eastAsia="楷体_GB2312" w:cs="Times New Roman"/>
          <w:b/>
          <w:bCs/>
          <w:spacing w:val="0"/>
          <w:highlight w:val="none"/>
          <w:lang w:val="en-US" w:eastAsia="zh-CN"/>
        </w:rPr>
        <w:t>关于在刘桥镇利民路以西规划建设物流园区的建议（16号）</w:t>
      </w:r>
      <w:r>
        <w:rPr>
          <w:rFonts w:hint="eastAsia" w:eastAsia="楷体_GB2312" w:cs="Times New Roman"/>
          <w:b/>
          <w:bCs/>
          <w:spacing w:val="0"/>
          <w:highlight w:val="none"/>
          <w:lang w:val="en-US" w:eastAsia="zh-CN"/>
        </w:rPr>
        <w:t>。</w:t>
      </w:r>
      <w:r>
        <w:rPr>
          <w:rFonts w:hint="default" w:ascii="Times New Roman" w:hAnsi="Times New Roman" w:eastAsia="仿宋_GB2312" w:cs="Times New Roman"/>
          <w:spacing w:val="0"/>
          <w:sz w:val="32"/>
          <w:szCs w:val="32"/>
          <w:highlight w:val="none"/>
          <w:lang w:val="en-US" w:eastAsia="zh-CN"/>
        </w:rPr>
        <w:t>一</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土地方面，根据刘桥镇发展需求，县自然资源</w:t>
      </w:r>
      <w:r>
        <w:rPr>
          <w:rFonts w:hint="eastAsia" w:cs="Times New Roman"/>
          <w:spacing w:val="0"/>
          <w:sz w:val="32"/>
          <w:szCs w:val="32"/>
          <w:highlight w:val="none"/>
          <w:lang w:val="en-US" w:eastAsia="zh-CN"/>
        </w:rPr>
        <w:t>和</w:t>
      </w:r>
      <w:r>
        <w:rPr>
          <w:rFonts w:hint="default" w:ascii="Times New Roman" w:hAnsi="Times New Roman" w:eastAsia="仿宋_GB2312" w:cs="Times New Roman"/>
          <w:spacing w:val="0"/>
          <w:sz w:val="32"/>
          <w:szCs w:val="32"/>
          <w:highlight w:val="none"/>
          <w:lang w:val="en-US" w:eastAsia="zh-CN"/>
        </w:rPr>
        <w:t>规划局将在符合用地政策要求的情况下，对符合规划的配套物流发展项目，统筹全县用地计划，优先保障用地指标，支持项目发展。二</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规划方面，县自然资源</w:t>
      </w:r>
      <w:r>
        <w:rPr>
          <w:rFonts w:hint="eastAsia" w:cs="Times New Roman"/>
          <w:spacing w:val="0"/>
          <w:sz w:val="32"/>
          <w:szCs w:val="32"/>
          <w:highlight w:val="none"/>
          <w:lang w:val="en-US" w:eastAsia="zh-CN"/>
        </w:rPr>
        <w:t>和</w:t>
      </w:r>
      <w:r>
        <w:rPr>
          <w:rFonts w:hint="default" w:ascii="Times New Roman" w:hAnsi="Times New Roman" w:eastAsia="仿宋_GB2312" w:cs="Times New Roman"/>
          <w:spacing w:val="0"/>
          <w:sz w:val="32"/>
          <w:szCs w:val="32"/>
          <w:highlight w:val="none"/>
          <w:lang w:val="en-US" w:eastAsia="zh-CN"/>
        </w:rPr>
        <w:t>规划局将积极与刘桥镇对接，指导在乡镇国土空间规划中合理预留刘桥镇物流园区用地及布局。同时依据目前已审批实施的淮北市濉溪县冷链物流中心及基础设施建设项目积累的工作经验及做法，靠前服务，为项目立项提供绿色通道，积极出具用地初审意见、加快审查选址论证报告、简化方案审批流程，针对具体项目容缺办理用地、工程规划许可相关证件。三</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项目方面，县发改委将积极对接刘桥镇，推动项目前期手续的办理完成，指导项目申报省级服务业引导资金、经贸领域中央预算内投资、省级物流集聚区等符合项目申报范围的上级政策资金，积极协助项目争取上级政策资金的支持。四</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资金方面，建议刘桥镇采用招商引资方式，吸引优质企业投资，推进刘桥镇物流产业发展。</w:t>
      </w:r>
      <w:r>
        <w:rPr>
          <w:rFonts w:hint="default" w:ascii="Times New Roman" w:hAnsi="Times New Roman" w:eastAsia="楷体_GB2312" w:cs="Times New Roman"/>
          <w:b/>
          <w:bCs/>
          <w:spacing w:val="0"/>
          <w:highlight w:val="none"/>
          <w:lang w:val="en-US" w:eastAsia="zh-CN"/>
        </w:rPr>
        <w:t>（承办单位：县发改委）</w:t>
      </w:r>
    </w:p>
    <w:p w14:paraId="7970FC4A">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spacing w:val="0"/>
          <w:highlight w:val="none"/>
          <w:lang w:val="en-US" w:eastAsia="zh-CN"/>
        </w:rPr>
        <w:t>关于濉溪县产业多元化发展的建议（17号）</w:t>
      </w:r>
      <w:r>
        <w:rPr>
          <w:rFonts w:hint="eastAsia" w:ascii="Times New Roman" w:hAnsi="Times New Roman" w:eastAsia="楷体_GB2312" w:cs="Times New Roman"/>
          <w:b/>
          <w:bCs/>
          <w:spacing w:val="0"/>
          <w:highlight w:val="none"/>
          <w:lang w:val="en-US" w:eastAsia="zh-CN"/>
        </w:rPr>
        <w:t>。</w:t>
      </w:r>
      <w:r>
        <w:rPr>
          <w:rFonts w:hint="eastAsia" w:ascii="Times New Roman" w:hAnsi="Times New Roman" w:eastAsia="仿宋_GB2312" w:cs="Times New Roman"/>
          <w:b w:val="0"/>
          <w:bCs w:val="0"/>
          <w:spacing w:val="0"/>
          <w:sz w:val="32"/>
          <w:szCs w:val="32"/>
          <w:highlight w:val="none"/>
          <w:lang w:val="en-US" w:eastAsia="zh-CN"/>
        </w:rPr>
        <w:t>1.</w:t>
      </w:r>
      <w:r>
        <w:rPr>
          <w:rFonts w:hint="default" w:ascii="Times New Roman" w:hAnsi="Times New Roman" w:eastAsia="仿宋_GB2312" w:cs="Times New Roman"/>
          <w:b w:val="0"/>
          <w:bCs w:val="0"/>
          <w:spacing w:val="0"/>
          <w:sz w:val="32"/>
          <w:szCs w:val="32"/>
          <w:highlight w:val="none"/>
          <w:lang w:val="en-US" w:eastAsia="zh-CN"/>
        </w:rPr>
        <w:t>发展农产品加工业</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2024年争取上级财政资金1.6亿元以上，支持农产品加工企业发展，其中以贷款贴息的方式补助751.69万元支持35家农产品加工企业发展壮大，用于农产品储藏、保鲜、烘干等初加工设施的建设。规划建设濉溪县国家现代农业产业园，已初步形成以鲁王、昊晨、旭源等企业为主的“粮头食尾”，以神华肉制品、华阳食品、华安丰等企业为主的“畜头肉尾”，以牧原饲料、神华饲料、口子酒业等企业为主的“农头工尾”产业格局。已培育市级以上农业产业化龙头企业60家，其中国家级3家，省级20家，市级37家</w:t>
      </w:r>
      <w:r>
        <w:rPr>
          <w:rFonts w:hint="eastAsia" w:ascii="Times New Roman" w:hAnsi="Times New Roman" w:eastAsia="仿宋_GB2312" w:cs="Times New Roman"/>
          <w:b w:val="0"/>
          <w:bCs w:val="0"/>
          <w:spacing w:val="0"/>
          <w:sz w:val="32"/>
          <w:szCs w:val="32"/>
          <w:highlight w:val="none"/>
          <w:lang w:val="en-US" w:eastAsia="zh-CN"/>
        </w:rPr>
        <w:t>。2.</w:t>
      </w:r>
      <w:r>
        <w:rPr>
          <w:rFonts w:hint="default" w:ascii="Times New Roman" w:hAnsi="Times New Roman" w:eastAsia="仿宋_GB2312" w:cs="Times New Roman"/>
          <w:b w:val="0"/>
          <w:bCs w:val="0"/>
          <w:spacing w:val="0"/>
          <w:sz w:val="32"/>
          <w:szCs w:val="32"/>
          <w:highlight w:val="none"/>
          <w:lang w:val="en-US" w:eastAsia="zh-CN"/>
        </w:rPr>
        <w:t>发展特色农业和生态农业</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培育特色农产品品种</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铁佛西瓜、四铺菊花、孙疃马铃薯、刘桥黑小麦等特色种植产业规模逐渐扩大</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打造生态农业观光园，开展采摘体验、农家乐等活动。</w:t>
      </w:r>
      <w:r>
        <w:rPr>
          <w:rFonts w:hint="eastAsia" w:ascii="Times New Roman" w:hAnsi="Times New Roman" w:cs="Times New Roman"/>
          <w:color w:val="000000" w:themeColor="text1"/>
          <w:spacing w:val="0"/>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kern w:val="0"/>
          <w:sz w:val="32"/>
          <w:szCs w:val="32"/>
          <w:highlight w:val="none"/>
          <w14:textFill>
            <w14:solidFill>
              <w14:schemeClr w14:val="tx1"/>
            </w14:solidFill>
          </w14:textFill>
        </w:rPr>
        <w:t>2024年，全县规上工业总产值同比增长8.4%，较2023年提高4.6个百分点，规上工业增加值同比增长9.9%，增速位于全省十强县第5位、B类县第7位；三大门类全部实现增长，五大主导产业增加值同比增长11.3%。</w:t>
      </w:r>
      <w:r>
        <w:rPr>
          <w:rFonts w:hint="eastAsia" w:ascii="Times New Roman" w:hAnsi="Times New Roman" w:cs="Times New Roman"/>
          <w:color w:val="000000" w:themeColor="text1"/>
          <w:spacing w:val="0"/>
          <w:kern w:val="0"/>
          <w:sz w:val="32"/>
          <w:szCs w:val="32"/>
          <w:highlight w:val="none"/>
          <w:lang w:val="en-US" w:eastAsia="zh-CN"/>
          <w14:textFill>
            <w14:solidFill>
              <w14:schemeClr w14:val="tx1"/>
            </w14:solidFill>
          </w14:textFill>
        </w:rPr>
        <w:t>3.全县通过实施全国电商进农村综合示范县、全省农村电商全覆盖和全国商业体系建设试点县项目建设，改造建设10个乡镇商贸中心、10个镇物流快递服务站、1个县级物流快递共配中心。4.濉溪酿酒遗址展示馆项目建成并于5月份开馆，水街演艺小镇项目5月29日盛大启幕，临涣古镇提升改造工程已启动，淮海66号公路串联起淮海战役总前委旧址文昌宫、小李家、双堆集战场遗址等丰富红色资源，将有力推动濉溪红色旅游业态创新，成为传承红色基因的重要载体。万达广场、古城图书城、淮康书院（高端民宿）、新四军旧址改造等项目正在有序推进。</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（承办单位：县农业农村局</w:t>
      </w:r>
      <w:r>
        <w:rPr>
          <w:rFonts w:hint="eastAsia" w:eastAsia="楷体_GB2312" w:cs="Times New Roman"/>
          <w:b/>
          <w:bCs/>
          <w:color w:val="000000" w:themeColor="text1"/>
          <w:spacing w:val="0"/>
          <w:kern w:val="2"/>
          <w:sz w:val="32"/>
          <w:szCs w:val="24"/>
          <w:highlight w:val="none"/>
          <w:lang w:val="en-US" w:eastAsia="zh-CN" w:bidi="ar-SA"/>
          <w14:textFill>
            <w14:solidFill>
              <w14:schemeClr w14:val="tx1"/>
            </w14:solidFill>
          </w14:textFill>
        </w:rPr>
        <w:t>、县工信局、县商务局、县文旅体局</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p>
    <w:p w14:paraId="0A556A27">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关于助力小微企业经济发展的建议（18号）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spacing w:val="0"/>
          <w:sz w:val="32"/>
          <w:szCs w:val="32"/>
          <w:highlight w:val="none"/>
          <w:lang w:val="en-US" w:eastAsia="zh-CN"/>
        </w:rPr>
        <w:t>我县有1家国家级中小企业服务平台，</w:t>
      </w:r>
      <w:r>
        <w:rPr>
          <w:rFonts w:hint="eastAsia" w:cs="Times New Roman"/>
          <w:spacing w:val="0"/>
          <w:sz w:val="32"/>
          <w:szCs w:val="32"/>
          <w:highlight w:val="none"/>
          <w:lang w:val="en-US" w:eastAsia="zh-CN"/>
        </w:rPr>
        <w:t>2</w:t>
      </w:r>
      <w:r>
        <w:rPr>
          <w:rFonts w:hint="default" w:ascii="Times New Roman" w:hAnsi="Times New Roman" w:eastAsia="仿宋_GB2312" w:cs="Times New Roman"/>
          <w:spacing w:val="0"/>
          <w:sz w:val="32"/>
          <w:szCs w:val="32"/>
          <w:highlight w:val="none"/>
          <w:lang w:val="en-US" w:eastAsia="zh-CN"/>
        </w:rPr>
        <w:t>家省级中小企业服务平台；</w:t>
      </w:r>
      <w:r>
        <w:rPr>
          <w:rFonts w:hint="eastAsia" w:cs="Times New Roman"/>
          <w:spacing w:val="0"/>
          <w:sz w:val="32"/>
          <w:szCs w:val="32"/>
          <w:highlight w:val="none"/>
          <w:lang w:val="en-US" w:eastAsia="zh-CN"/>
        </w:rPr>
        <w:t>1</w:t>
      </w:r>
      <w:r>
        <w:rPr>
          <w:rFonts w:hint="default" w:ascii="Times New Roman" w:hAnsi="Times New Roman" w:eastAsia="仿宋_GB2312" w:cs="Times New Roman"/>
          <w:spacing w:val="0"/>
          <w:sz w:val="32"/>
          <w:szCs w:val="32"/>
          <w:highlight w:val="none"/>
          <w:lang w:val="en-US" w:eastAsia="zh-CN"/>
        </w:rPr>
        <w:t>家国家级小微企业创业创新基地，</w:t>
      </w:r>
      <w:r>
        <w:rPr>
          <w:rFonts w:hint="eastAsia" w:cs="Times New Roman"/>
          <w:spacing w:val="0"/>
          <w:sz w:val="32"/>
          <w:szCs w:val="32"/>
          <w:highlight w:val="none"/>
          <w:lang w:val="en-US" w:eastAsia="zh-CN"/>
        </w:rPr>
        <w:t>1</w:t>
      </w:r>
      <w:r>
        <w:rPr>
          <w:rFonts w:hint="default" w:ascii="Times New Roman" w:hAnsi="Times New Roman" w:eastAsia="仿宋_GB2312" w:cs="Times New Roman"/>
          <w:spacing w:val="0"/>
          <w:sz w:val="32"/>
          <w:szCs w:val="32"/>
          <w:highlight w:val="none"/>
          <w:lang w:val="en-US" w:eastAsia="zh-CN"/>
        </w:rPr>
        <w:t>家省级小微企业创业创新基地。一是加快调整产业结构。推动小微企业集群式成长，从块状经济向产业集群提升。改造提升传统产业，重点培育发展高新技术产业和生产性服务业。通过积极的财政政策，促进小微企业技术改造，切实转变发展方式，推动企业转型升级。二是引导小微企业着力提高自主创新能力。鼓励企业拓展中高端市场，不断提高产品的核心竞争力和附加值。支持企业引进技术、人才，研发核心技术，加快发展高新技术产业。引导企业与大专院校</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科研院所建立合作开发、技术入股、共建实体等战略合作关系，全面提高企业的核心</w:t>
      </w:r>
      <w:r>
        <w:rPr>
          <w:rFonts w:hint="eastAsia" w:cs="Times New Roman"/>
          <w:spacing w:val="0"/>
          <w:sz w:val="32"/>
          <w:szCs w:val="32"/>
          <w:highlight w:val="none"/>
          <w:lang w:val="en-US" w:eastAsia="zh-CN"/>
        </w:rPr>
        <w:t>竞争</w:t>
      </w:r>
      <w:r>
        <w:rPr>
          <w:rFonts w:hint="default" w:ascii="Times New Roman" w:hAnsi="Times New Roman" w:eastAsia="仿宋_GB2312" w:cs="Times New Roman"/>
          <w:spacing w:val="0"/>
          <w:sz w:val="32"/>
          <w:szCs w:val="32"/>
          <w:highlight w:val="none"/>
          <w:lang w:val="en-US" w:eastAsia="zh-CN"/>
        </w:rPr>
        <w:t>力。三是加大创业扶持力度。积极发挥企业服务平台作用，建设资源共享、服务协同的小微企业公共服务网络;重点加强对创业政策宣传、项目推介及创业扶持，积极培育催生更多的优质小微企业。四是加大政策扶持力度。重点扶持培育一批经济发展结构明显优化、管理和技术水平显著提高、市场竞争能力持续增强、吸纳就业人员能力不断增强的规模性小微企业，推进企业做专做优做强，逐步实现生产专业化、管理精细化、产品特色化、技术高新化，充分发挥“小升规”企业的示范带动作用。</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（承办单位：县工信局）</w:t>
      </w:r>
    </w:p>
    <w:p w14:paraId="3C0A5D3F">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关于规范电瓶车乱停乱放的建议（19号）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spacing w:val="0"/>
          <w:sz w:val="32"/>
          <w:szCs w:val="32"/>
          <w:highlight w:val="none"/>
          <w:lang w:val="en-US" w:eastAsia="zh-CN"/>
        </w:rPr>
        <w:t>一</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多渠道开展宣传教育，提升市民文明停车意识</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联合</w:t>
      </w:r>
      <w:r>
        <w:rPr>
          <w:rFonts w:hint="eastAsia" w:cs="Times New Roman"/>
          <w:spacing w:val="0"/>
          <w:sz w:val="32"/>
          <w:szCs w:val="32"/>
          <w:highlight w:val="none"/>
          <w:lang w:val="en-US" w:eastAsia="zh-CN"/>
        </w:rPr>
        <w:t>相关</w:t>
      </w:r>
      <w:r>
        <w:rPr>
          <w:rFonts w:hint="default" w:ascii="Times New Roman" w:hAnsi="Times New Roman" w:eastAsia="仿宋_GB2312" w:cs="Times New Roman"/>
          <w:spacing w:val="0"/>
          <w:sz w:val="32"/>
          <w:szCs w:val="32"/>
          <w:highlight w:val="none"/>
          <w:lang w:val="en-US" w:eastAsia="zh-CN"/>
        </w:rPr>
        <w:t>部门，通过线上线下相结合的方式广泛开展宣传活动。在学校、社区、商场等人流密集场所发放《文明停车倡议书》1.2万份，引导市民自觉规范停车。二</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科学规划停放区域，完善基础设施建设</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根据电瓶车停放需求，在商场、超市、医院等重点场所周边新增专用停放区域，施划停车标线3.2万米，增设非机动车停车位1500余个。三</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加大执法监管力度，规范停车秩序</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强化日常巡查频次，采取“定人定岗+机动巡查”模式，每日安排4个执法小组对重点路段、区域进行巡查。联合公安交管部门不定期开展交通秩序专项整治对乱停乱放的电瓶车依法拖移</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今年以来累计拖移违规停放电瓶车860余辆次。</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（承办单位：县城管局）</w:t>
      </w:r>
    </w:p>
    <w:p w14:paraId="48E1145E">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关于建立濉溪种业人才“政招企用”新模式的建议（20号）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spacing w:val="0"/>
          <w:sz w:val="32"/>
          <w:szCs w:val="32"/>
          <w:highlight w:val="none"/>
          <w:lang w:val="en-US" w:eastAsia="zh-CN"/>
        </w:rPr>
        <w:t>2024年7月，濉溪县委编委下发《关于县农业科研试验站增加10名事业编制的通知》（濉编</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2024</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21号）同意濉溪县农业科研试验站增加10名编制</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通过与柳丰种业、永民种业、双收种业、三丰肥业等种业企业交流了解企业所需育种人才专业、育种方向。2025年3月县农业农村局配合县人社局制定详细招录方案，招录全国高校农业育种相关专业硕士研究生学历的毕业生，通过网上报名、资格审查、面试、体检、政审等方式招录既是高学历、又有高能力的人才。经县农业科研试验站培训后，依据企业需求及招录人才意愿到企业服务</w:t>
      </w:r>
      <w:r>
        <w:rPr>
          <w:rFonts w:hint="eastAsia" w:ascii="Times New Roman" w:hAnsi="Times New Roman"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人才招录后，县农业农村局通过考察、调研，草拟《濉溪县农业科研试验站科研人员管理办法》，允许单位科研人员离岗在濉从事种业相关创业或与在濉企业合作开展育种等相关工作。</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（承办单位：县农业农村局</w:t>
      </w:r>
      <w:r>
        <w:rPr>
          <w:rFonts w:hint="eastAsia" w:eastAsia="楷体_GB2312" w:cs="Times New Roman"/>
          <w:b/>
          <w:bCs/>
          <w:color w:val="000000" w:themeColor="text1"/>
          <w:spacing w:val="0"/>
          <w:kern w:val="2"/>
          <w:sz w:val="32"/>
          <w:szCs w:val="24"/>
          <w:highlight w:val="none"/>
          <w:lang w:val="en-US" w:eastAsia="zh-CN" w:bidi="ar-SA"/>
          <w14:textFill>
            <w14:solidFill>
              <w14:schemeClr w14:val="tx1"/>
            </w14:solidFill>
          </w14:textFill>
        </w:rPr>
        <w:t>、县委编办</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p>
    <w:p w14:paraId="4F50AC40">
      <w:pPr>
        <w:keepNext w:val="0"/>
        <w:keepLines w:val="0"/>
        <w:pageBreakBefore w:val="0"/>
        <w:widowControl w:val="0"/>
        <w:shd w:val="clea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关于百善镇建成区雨污分流改造提升的建议（21号）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eastAsia" w:ascii="Times New Roman" w:hAnsi="Times New Roman" w:eastAsia="仿宋_GB2312" w:cs="Times New Roman"/>
          <w:spacing w:val="0"/>
          <w:sz w:val="32"/>
          <w:szCs w:val="32"/>
          <w:highlight w:val="none"/>
          <w:lang w:val="en-US" w:eastAsia="zh-CN"/>
        </w:rPr>
        <w:t>百善镇污水处理厂改造工程中没有包含雨污分流的工程量，无法进行镇区的雨污分流工程。建议百善镇将建成区雨污分流改造作为独立专项工程，结合城市更新、基础设施补短板等相关政策，向上申报专项资金支持，明确项目实施主体、建设内容和进度计划，实现对建成区管网的全面系统改造。</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（承办单位：县交通局</w:t>
      </w:r>
      <w:r>
        <w:rPr>
          <w:rFonts w:hint="eastAsia"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县建投集团）</w:t>
      </w:r>
    </w:p>
    <w:p w14:paraId="728B82E8">
      <w:pPr>
        <w:keepNext w:val="0"/>
        <w:keepLines w:val="0"/>
        <w:pageBreakBefore w:val="0"/>
        <w:widowControl w:val="0"/>
        <w:shd w:val="clea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关于建立重大项目奖补资金使用情况审计制度的建议（22号）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立足经济监督定位，积极谋划审计项目。2022年度，省、市、县三级联动对财政助企纾困资金管理使用情况进行了专项审计，对企业享受服务业发展引导资金、中小企业（民营经济）发展专项资金、制造强省建设系列政策资金、“三重一创”系列政策资金、创新型省份资金等专项资金管理使用情况进行了专项审计。2023年度县本级预算执行审计中，省、市、县三级联动，对科技创新项目建设管理及资金管理使用情况进行了专项审计调查。濉溪县科学技术局主要负责同志任期经济责任履行情况审计、濉溪县农业农村局主要负责同志任期经济责任履行情况审计等项目中均将奖补资金使用情况纳入重点关注事项。审计中发现存在奖补资金拨付不及时、不到位，配套资金不到位，部分科技创新奖补申报表填报要素不全等问题，已在各审计报告中予以反映并要求其限时整改。二</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聚焦问题导向，开展调查研究。我们抽取了部分食品加工企业，对其2023-2024年度享受财政奖补情况进行了核实。安徽昊晨食品股份有限公司、淮北旭源食品有限公司、安徽皖雪食品股份有限公司、安徽顶佳食品有限公司等四家企业2023-2024年共享受奖补资金约230万元，涉及的主管部门有县发改委、县工信局、县农业农村局、县科技局、百善现代农业综合示范区等，涉及的奖补项目主要有省消费品工业“三品”示范企业称号、争取省科技攻关项目资金、省R&amp;D 经费投入补助、备案安徽省科技特派员工作站奖补、农业高质量发展项目中的支持参加农产品展示展销活动奖补、“淮优”农产品生产主体奖补、认定市级龙头企业奖补、农业贷款贴息补贴、企业建立研发机构奖补、优质粮食工程项目奖补等。上述项目均为市级以上有关部门认定，我县负责拨付上级下达各企业奖补资金，以及按照我县出台的有关政策对相关企业进行再奖励。三</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推动审计高质量发展，提升审计质效。县审计局将继续在相关审计项目中对涉企奖补资金进行延伸审计，还将根据情况对涉企资金进行重点专项审计或审计调查，围绕企业享受政策补贴情况开展审计，重点关注企业虚假申报项目、违规享受政策补贴等有关问题，促进奖补资金申报使用更加规范合规。</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（承办单位：县审计局）</w:t>
      </w:r>
    </w:p>
    <w:p w14:paraId="3A7B056F">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关于S303省道闫集村后石门路段加装红绿灯的建议（23号）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交管大队进行实地调研，积极与镇政府对接，向上级主管部门报告，申请资金解决信号灯缺失的问题。此项工作交管部门将持续跟进。</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（承办单位：县公安局）</w:t>
      </w:r>
    </w:p>
    <w:p w14:paraId="72CB46AD">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关于解决商家提前下单导致外卖骑手配送超时的建议（24号）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是设置动态预计送达时间。平台根据当天天气情况，骑手的忙碌程度和商家的出餐速度，做动态调整，显示在客户端商家名称后，方便用户根据预计送达时间错开高峰，保证体验。二是优化配送调度后台，设置接单上线。平台根据当天人员负载情况，设置个人接单上限，系统优化路线，平衡调度，以达到骑手送餐顺路顺时顺利。三是加大商家培训。增加商家培训，让商家熟练掌握商家后台，可以及时发单防止卡单，预留更多时间出餐和配送，大大减小商家和配送的压力。四是加入人工爆单申报。在恶劣天气，庙会等情况下，申请人工爆单，延长送餐时间，保证骑手安全，顺利送达。五是加强内部培训。针对骑手团队，定期对人员滚动培训，在交通安全，送餐路径规划以及顾客服务做好针对性培训，保证人员基本素养，提升骑手团队整体应对工作事件的能力。</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（承办单位：县市场监督管理局）</w:t>
      </w:r>
    </w:p>
    <w:p w14:paraId="507CC411">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关于拓宽余楼沟上的桥的建议（2</w:t>
      </w:r>
      <w:r>
        <w:rPr>
          <w:rFonts w:hint="eastAsia" w:eastAsia="楷体_GB2312" w:cs="Times New Roman"/>
          <w:b/>
          <w:bCs/>
          <w:color w:val="000000" w:themeColor="text1"/>
          <w:spacing w:val="0"/>
          <w:kern w:val="2"/>
          <w:sz w:val="32"/>
          <w:szCs w:val="24"/>
          <w:highlight w:val="none"/>
          <w:lang w:val="en-US" w:eastAsia="zh-CN" w:bidi="ar-SA"/>
          <w14:textFill>
            <w14:solidFill>
              <w14:schemeClr w14:val="tx1"/>
            </w14:solidFill>
          </w14:textFill>
        </w:rPr>
        <w:t>5</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徐楼村余楼沟桥，桥梁长度15米，桥面净宽4米，单跨桁架结构，不在农村公路养护年报库中。前期百善镇政府已对桥栏杆进行修复，后期在养护年报调整时列入年报库。根据濉溪县人民政府办公室《关于印发濉溪县深化农村公路管理养护体制改革实施方案的通知》文件精神，按照“县道县管、乡村道乡村管”的原则，百善镇政府可委托专业桥梁检测机构，对该桥进行鉴定，经鉴定为五类危桥，县交通局将上报省交通运输厅危桥改造建设计划，积极筹措资金，尽快组织实施。</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（承办单位：县交通局）</w:t>
      </w:r>
    </w:p>
    <w:p w14:paraId="230AB3DC">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关于优化居民充电桩建设和管理模式的建议（2</w:t>
      </w:r>
      <w:r>
        <w:rPr>
          <w:rFonts w:hint="eastAsia" w:eastAsia="楷体_GB2312" w:cs="Times New Roman"/>
          <w:b/>
          <w:bCs/>
          <w:color w:val="000000" w:themeColor="text1"/>
          <w:spacing w:val="0"/>
          <w:kern w:val="2"/>
          <w:sz w:val="32"/>
          <w:szCs w:val="24"/>
          <w:highlight w:val="none"/>
          <w:lang w:val="en-US" w:eastAsia="zh-CN" w:bidi="ar-SA"/>
          <w14:textFill>
            <w14:solidFill>
              <w14:schemeClr w14:val="tx1"/>
            </w14:solidFill>
          </w14:textFill>
        </w:rPr>
        <w:t>6</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spacing w:val="0"/>
          <w:kern w:val="2"/>
          <w:sz w:val="32"/>
          <w:szCs w:val="32"/>
          <w:highlight w:val="none"/>
          <w:lang w:val="en-US" w:eastAsia="zh-CN" w:bidi="ar-SA"/>
        </w:rPr>
        <w:t>一是</w:t>
      </w:r>
      <w:r>
        <w:rPr>
          <w:rFonts w:hint="eastAsia" w:cs="Times New Roman"/>
          <w:b w:val="0"/>
          <w:bCs w:val="0"/>
          <w:spacing w:val="0"/>
          <w:kern w:val="2"/>
          <w:sz w:val="32"/>
          <w:szCs w:val="32"/>
          <w:highlight w:val="none"/>
          <w:lang w:val="en-US" w:eastAsia="zh-CN" w:bidi="ar-SA"/>
        </w:rPr>
        <w:t>已</w:t>
      </w:r>
      <w:r>
        <w:rPr>
          <w:rFonts w:hint="default" w:ascii="Times New Roman" w:hAnsi="Times New Roman" w:eastAsia="仿宋_GB2312" w:cs="Times New Roman"/>
          <w:b w:val="0"/>
          <w:bCs w:val="0"/>
          <w:spacing w:val="0"/>
          <w:kern w:val="2"/>
          <w:sz w:val="32"/>
          <w:szCs w:val="32"/>
          <w:highlight w:val="none"/>
          <w:lang w:val="en-US" w:eastAsia="zh-CN" w:bidi="ar-SA"/>
        </w:rPr>
        <w:t>编制《濉溪县充电基础设施专项规划》，濉溪县已投入使用各类充电设施4916处，其中公司自用充电桩58座，社会经营充电桩118座，私人充电桩4740个。二是按照《淮北市国土空间详细规划技术管理导则》，在地块规划设计条件中明确电动汽车充电车位配比要求，在规划审批阶段。根据省住建厅《关于扎实推进2023年城镇老旧小区改造工作的通知》要求，老旧小区基础设施改造内容包括道路、停车、充电设施及场所、综合管线和环卫设施等。住建部门支持老旧小区改造中因地制宜对小区的室外停车场和地下停车库配置或预留电动汽车充电桩。三是支持鼓励单位和园区内部充电桩对外开放，进一步提升公共充电供给能力。尤其在节假日期间，鼓励企事业单位适时开放充电桩，错峰充电，缓解市民出行充电难问题。四是目前没有奖励和补贴的相关政策</w:t>
      </w:r>
      <w:r>
        <w:rPr>
          <w:rFonts w:hint="eastAsia" w:cs="Times New Roman"/>
          <w:b w:val="0"/>
          <w:bCs w:val="0"/>
          <w:spacing w:val="0"/>
          <w:kern w:val="2"/>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下一步</w:t>
      </w:r>
      <w:r>
        <w:rPr>
          <w:rFonts w:hint="eastAsia" w:cs="Times New Roman"/>
          <w:b w:val="0"/>
          <w:bCs w:val="0"/>
          <w:spacing w:val="0"/>
          <w:kern w:val="2"/>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我委向省、市发展改革委提出关于充电桩优惠政策的建议。五是根据《国务院办公厅关于进一步构建高质量充电基础设施体系的指导意见》和《安徽省发展改革委关于印发安徽省新能源汽车充电换电基础设施建设运营管理办法（暂行）的通知》，目前淮北市打造全市充电设施一张网，由市发改委备案，市交控集团统一建设。</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（承办单位：县发改委）</w:t>
      </w:r>
    </w:p>
    <w:p w14:paraId="1885D762">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关于重修小木桥至百善矿东大门道路的建议（27号）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32"/>
          <w:szCs w:val="24"/>
          <w:highlight w:val="none"/>
          <w:lang w:val="en-US" w:eastAsia="zh-CN" w:bidi="ar-SA"/>
          <w14:textFill>
            <w14:solidFill>
              <w14:schemeClr w14:val="tx1"/>
            </w14:solidFill>
          </w14:textFill>
        </w:rPr>
        <w:t>计划将此路段纳入道路建设规划</w:t>
      </w:r>
      <w:r>
        <w:rPr>
          <w:rFonts w:hint="eastAsia" w:ascii="仿宋_GB2312" w:hAnsi="仿宋_GB2312" w:cs="仿宋_GB2312"/>
          <w:b w:val="0"/>
          <w:bCs w:val="0"/>
          <w:color w:val="000000" w:themeColor="text1"/>
          <w:spacing w:val="0"/>
          <w:kern w:val="2"/>
          <w:sz w:val="32"/>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32"/>
          <w:szCs w:val="24"/>
          <w:highlight w:val="none"/>
          <w:lang w:val="en-US" w:eastAsia="zh-CN" w:bidi="ar-SA"/>
          <w14:textFill>
            <w14:solidFill>
              <w14:schemeClr w14:val="tx1"/>
            </w14:solidFill>
          </w14:textFill>
        </w:rPr>
        <w:t>由于该路段产权隶属于皖北矿务局，导致无法顺利获取施工许可证。后续，将积极与皖北矿务局展开沟通协商</w:t>
      </w:r>
      <w:r>
        <w:rPr>
          <w:rFonts w:hint="eastAsia" w:ascii="仿宋_GB2312" w:hAnsi="仿宋_GB2312" w:cs="仿宋_GB2312"/>
          <w:b w:val="0"/>
          <w:bCs w:val="0"/>
          <w:color w:val="000000" w:themeColor="text1"/>
          <w:spacing w:val="0"/>
          <w:kern w:val="2"/>
          <w:sz w:val="32"/>
          <w:szCs w:val="24"/>
          <w:highlight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32"/>
          <w:szCs w:val="24"/>
          <w:highlight w:val="none"/>
          <w:lang w:val="en-US" w:eastAsia="zh-CN" w:bidi="ar-SA"/>
          <w14:textFill>
            <w14:solidFill>
              <w14:schemeClr w14:val="tx1"/>
            </w14:solidFill>
          </w14:textFill>
        </w:rPr>
        <w:t>持续推进。</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（承办单位：百善镇</w:t>
      </w:r>
      <w:r>
        <w:rPr>
          <w:rFonts w:hint="eastAsia" w:eastAsia="楷体_GB2312" w:cs="Times New Roman"/>
          <w:b/>
          <w:bCs/>
          <w:color w:val="000000" w:themeColor="text1"/>
          <w:spacing w:val="0"/>
          <w:kern w:val="2"/>
          <w:sz w:val="32"/>
          <w:szCs w:val="24"/>
          <w:highlight w:val="none"/>
          <w:lang w:val="en-US" w:eastAsia="zh-CN" w:bidi="ar-SA"/>
          <w14:textFill>
            <w14:solidFill>
              <w14:schemeClr w14:val="tx1"/>
            </w14:solidFill>
          </w14:textFill>
        </w:rPr>
        <w:t>人民政府</w:t>
      </w: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p>
    <w:p w14:paraId="32822C07">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关于加强濉溪县村党组织领办合作社工作的建议（28号）</w:t>
      </w:r>
      <w:r>
        <w:rPr>
          <w:rFonts w:hint="eastAsia" w:ascii="Times New Roman" w:hAnsi="Times New Roman" w:eastAsia="楷体_GB2312" w:cs="Times New Roman"/>
          <w:b/>
          <w:bCs/>
          <w:color w:val="000000" w:themeColor="text1"/>
          <w:spacing w:val="0"/>
          <w:kern w:val="2"/>
          <w:sz w:val="32"/>
          <w:szCs w:val="24"/>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一、深化党建引领，发挥典型示范作用</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铁佛镇七口村作为“全程土地托管”标杆，通过村党组织牵头成立田惠谷物种植专业合作社，村集体占股51%，实现全域土地托管覆盖，2023年首次开展福利分红3000元，带动100余人就业，增加村民收入20余万元，其土地托管模式的经验在全县推广。五沟镇庙前村通过“双社联营”模式，引入金丰公社集约土地6800亩，通过“保底收益+30%分红”机制，村集体年增收90万元，村民务工收入突破40万元；刘桥镇杨庄村探索“分链条托管+村企融合”，2024年通过三次分红让村民共享发展红利；四铺镇洪南村以“党员带头+品牌创建”发展大蒜产业3560亩，村集体盈利40万元；双堆集镇施刘村通过“托管+帮管”模式，2024年发放分红88万元。2024年全县33个开展党组织领办合作社的村实现现金分红138.89万元、福利分红43.62万元，形成了“一镇多品、一村一特”的发展格局。线上通过“濉溪先锋”公众号等平台推广典型案例，线下组织镇村干部赴七口村、庙前村等示范村实地观摩，2024年在全县村（社区）党组织书记、村（居）民委员会主任进修班上分3期开展党组织领办合作社培训；2025年3月，在县委党校邀请金丰公社相关专家向118个村书记讲解村党组织领办合作社村企合作相关课程，提升基层推进党组织领办合作社工作的专业素养。二、加强人才培养与引进，提升合作社管理水平</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2024年开展高素质种植大户培育300人，采用“集中授课+现场教学+线上学习+跟踪服务”模式，组织前往山东寿光、河南温县等农业发达地区观摩学习。县农技中心联合企业针对全县种植户开展现场观摩指导，累计培训近4000人次。联合农技专家、金丰公社等开展技能培训356人次，引进返乡创业人才180人，培育“新农人”队伍</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三、创新经营模式，拓展发展空间</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推广“全程托管”“分链条托管”模式，全县累计开展全链条托管服务17个村、分链条托管153个村。做优一产，重点培育黑小麦、黑糯玉米、马铃薯等功能型品种，四铺镇洪南村发展大蒜3560亩，举办“蒜王”争霸赛打响品牌；做强二产，支持洪南村大蒜深加工、代庙村马铃薯淀粉加工，推广“合作社+加工厂+农户”模式，利用闲置厂房发展劳动密集型产业，如双堆集镇小微产业园、刘桥镇针织品加工车间；做活三产，打造濉溪区域公用品牌，整合特色产品，开发农耕体验等乡村旅游项目，推广杨庄村“书记助农直播”、铁佛镇“铁福甄选”直播间，让手机成为“新农具”。四、完善监督机制，确保健康发展</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出台《关于村党组织领办集体合作社的八条意见》《濉溪县党组织领办合作社管理办法》等文件。全县213个行政村全部实现“村社分账”，建立健全财务台账和收支明细，实时公开运营情况，让入社群众人人有本“明白账”。对合作社重大发展项目、重要经济合同及大额支出等关键节点，由镇统一审核把关，规避市场风险。组织开展农村集体经济组织会计制度、财务制度培训，稳步推进“村社分账”，213个行政村实现全覆盖。结合全省农村集体“三资”专项整治，规范农村集体资金与资产管理秩序，开展落实农村集体经济合同清理规范整治行动，收回或增加集体收益12.1186万元。</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（承办单位：县委组织部）</w:t>
      </w:r>
    </w:p>
    <w:p w14:paraId="2053B10C">
      <w:pPr>
        <w:pStyle w:val="18"/>
        <w:keepNext w:val="0"/>
        <w:keepLines w:val="0"/>
        <w:pageBreakBefore w:val="0"/>
        <w:widowControl w:val="0"/>
        <w:shd w:val="clear"/>
        <w:tabs>
          <w:tab w:val="left" w:pos="270"/>
          <w:tab w:val="left" w:pos="6004"/>
        </w:tabs>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关于加强高标准农田建设提升粮食安全保障能力的建议（29号）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加强高标准农田建设过程监管。1.严把“设计关”：县农业农村局组织项目初步设计编制单位，会同镇村干部、村民代表及设计人员，共同对项目建设现场进行勘察设计，发展节水灌溉，结合大型河流灌溉区，在水源充足的前提下合理增设提水泵站等建筑物，提高地表水利用率；组织发展改革、财政、自然资源、水利等部门</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镇村干部、村民代表及有关专家对拟建内容、工程布局及农民意愿开展现场调查、讨论审核、修改完善，从而实现设计科学合理，优化工程布局。2.严把“招标关”：高标准农田建设项目涉及的勘察、设计、施工、监理以及与工程建设有关的设备、材料、服务采购等，应依据《中华人民共和国招标投标法》《中华人民共和国政府采购法》以及其他有关规定，依法进行招标、采购。3.严把“监理关”：督促监理要始终深入工程建设一线，全程监督，全程检查，全程指导，发现问题及时整改，确保材料使用、工程施工不出问题。4.严把“验收关”：按照项目验收标准和程序，实行阶段性验收与集中验收相结合，做到“完工一批、验收一批、决算一批、结算一批</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移交一批、落实管护一批”。二</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加强专业队伍建设。安排相关工作人员积极参加有关高标准农田建设的培训，提高工作人员的业务能力；优化队伍知识结构，下一步计划从高校、科研机构引进农业工程等专业人才，充实技术骨干力量。三</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建立完善管护长效机制。加强项目运行管护工作的指导，工程通过验收后，及时规范办理移交手续。镇、村结合实际，制定具体管护办法，明确管护主体及责任、管护内容及标准，建立健全日常维护、监测、监督、考核等机制。县农业农村局制定农田建设工程管护经费管理使用办法，明确管护资金来源、支出范围和拨付程序。同时推动构建受益主体自主化管护、集体组织网格化管护、行业机构专业化管护等多主体参与、多方式并行、全领域覆盖的高标准农田建设工程管护新体系，保障高标准农田建设项目充分发挥效益。</w:t>
      </w:r>
      <w:r>
        <w:rPr>
          <w:rFonts w:hint="default" w:ascii="Times New Roman" w:hAnsi="Times New Roman" w:eastAsia="楷体_GB2312" w:cs="Times New Roman"/>
          <w:b/>
          <w:bCs/>
          <w:color w:val="auto"/>
          <w:spacing w:val="0"/>
          <w:kern w:val="44"/>
          <w:sz w:val="32"/>
          <w:szCs w:val="32"/>
          <w:highlight w:val="none"/>
          <w:lang w:val="en-US" w:eastAsia="zh-CN" w:bidi="ar-SA"/>
        </w:rPr>
        <w:t>（承办单位：县农业农村局）</w:t>
      </w:r>
    </w:p>
    <w:p w14:paraId="2C194FE6">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关于加大种养结合，推动生态农业可持续发展的建议（30号）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仿宋_GB2312" w:hAnsi="仿宋_GB2312" w:eastAsia="仿宋_GB2312" w:cs="仿宋_GB2312"/>
          <w:b w:val="0"/>
          <w:bCs w:val="0"/>
          <w:color w:val="auto"/>
          <w:spacing w:val="0"/>
          <w:kern w:val="44"/>
          <w:sz w:val="32"/>
          <w:szCs w:val="32"/>
          <w:highlight w:val="none"/>
          <w:lang w:val="en-US" w:eastAsia="zh-CN" w:bidi="ar-SA"/>
        </w:rPr>
        <w:t>一、认真调查研究，科学制定种养结合规划。根据全县的耕地面积、种植结构和产业发展规划，结合各品种对相关有机肥的需求情况，科学测算全县的畜禽总量，并在此基础上结合市场需求，推算各类畜禽的数量，对全县的养殖规模实行总量控制。二、完善引导政策，推动社会资本聚焦循环农业。制定我县的专项扶持政策，引导社会资本通过完善畜牧业生产基础设施和畜禽养殖废弃物资源化利用贮存处理设施，实现规模化养殖场饲养标准化、畜禽粪污集中处理，同时对种植业使用有机肥进行补贴和奖励，推动全县畜牧业转型升级和畜禽养殖粪污资源化利用工作，降低化肥使用总量，改善农村生态环境质量，促进畜禽养殖业健康可持续发展。三、落实推进措施，加快以种养结合为特色循环农业的发展。加大宣传力度。加强对畜牧系统干部职工和全县畜禽规模养殖场户的培训，开展畜禽养殖废弃物综合利用和养殖废弃物无害化处理技术培训。加强技术指导。采取试点示范、典型引路等方式，进一步扩大技术普及推广面；积极鼓励规模化畜禽养殖场（小区）因地制宜采取全过程综合治理技术处理污染物；大力推行清洁养殖技术，垫草垫料（生物发酵床）技术，积极利用“微生物”转化技术将畜禽粪污转变为优质有机肥料。推广生态养殖模式。全面推行以废弃物的资源化和综合利用为主的生态工程建设，合理运用“畜禽养殖—粪便—沼气—沼液沼渣利用”循环模式、“养殖—废弃物处理—养殖”循环模式、“畜禽养殖—粪便—无害化处理—有机肥—农作物综合利用”循环模式、“农作物秸秆—青贮—草食家畜养殖—过腹还田”循环模式等，立足资源优势，因地制宜开展农家肥、商品有机肥和复合肥的生产，有效降低资源成本和解决畜牧养殖业粪便污染问题。</w:t>
      </w:r>
      <w:r>
        <w:rPr>
          <w:rFonts w:hint="default" w:ascii="Times New Roman" w:hAnsi="Times New Roman" w:eastAsia="楷体_GB2312" w:cs="Times New Roman"/>
          <w:b/>
          <w:bCs/>
          <w:color w:val="auto"/>
          <w:spacing w:val="0"/>
          <w:kern w:val="44"/>
          <w:sz w:val="32"/>
          <w:szCs w:val="32"/>
          <w:highlight w:val="none"/>
          <w:lang w:val="en-US" w:eastAsia="zh-CN" w:bidi="ar-SA"/>
        </w:rPr>
        <w:t>（承办单位：县农业农村局）</w:t>
      </w:r>
    </w:p>
    <w:p w14:paraId="5AB576DF">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关于依托“一杯茶”平台，推进移风易俗见行见效的建议（31号）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val="en-US" w:eastAsia="zh-CN"/>
        </w:rPr>
        <w:t>一</w:t>
      </w:r>
      <w:r>
        <w:rPr>
          <w:rFonts w:hint="eastAsia" w:cs="Times New Roman"/>
          <w:color w:val="auto"/>
          <w:spacing w:val="0"/>
          <w:sz w:val="32"/>
          <w:szCs w:val="32"/>
          <w:highlight w:val="none"/>
          <w:lang w:val="en-US" w:eastAsia="zh-CN"/>
        </w:rPr>
        <w:t>是</w:t>
      </w:r>
      <w:r>
        <w:rPr>
          <w:rFonts w:hint="default" w:ascii="Times New Roman" w:hAnsi="Times New Roman" w:eastAsia="仿宋_GB2312" w:cs="Times New Roman"/>
          <w:color w:val="auto"/>
          <w:spacing w:val="0"/>
          <w:sz w:val="32"/>
          <w:szCs w:val="32"/>
          <w:highlight w:val="none"/>
          <w:lang w:val="en-US" w:eastAsia="zh-CN"/>
        </w:rPr>
        <w:t>提高站位，系统谋划，将移风易俗融入新时代文明实践总体布局。依托全县新时代文明实践所（站、点），</w:t>
      </w:r>
      <w:r>
        <w:rPr>
          <w:rFonts w:hint="eastAsia" w:cs="Times New Roman"/>
          <w:color w:val="auto"/>
          <w:spacing w:val="0"/>
          <w:sz w:val="32"/>
          <w:szCs w:val="32"/>
          <w:highlight w:val="none"/>
          <w:lang w:val="en-US" w:eastAsia="zh-CN"/>
        </w:rPr>
        <w:t>以及</w:t>
      </w:r>
      <w:r>
        <w:rPr>
          <w:rFonts w:hint="default" w:ascii="Times New Roman" w:hAnsi="Times New Roman" w:eastAsia="仿宋_GB2312" w:cs="Times New Roman"/>
          <w:color w:val="auto"/>
          <w:spacing w:val="0"/>
          <w:sz w:val="32"/>
          <w:szCs w:val="32"/>
          <w:highlight w:val="none"/>
          <w:lang w:val="en-US" w:eastAsia="zh-CN"/>
        </w:rPr>
        <w:t>“一杯茶”</w:t>
      </w:r>
      <w:r>
        <w:rPr>
          <w:rFonts w:hint="eastAsia" w:cs="Times New Roman"/>
          <w:color w:val="auto"/>
          <w:spacing w:val="0"/>
          <w:sz w:val="32"/>
          <w:szCs w:val="32"/>
          <w:highlight w:val="none"/>
          <w:lang w:val="en-US" w:eastAsia="zh-CN"/>
        </w:rPr>
        <w:t>矛盾化解</w:t>
      </w:r>
      <w:r>
        <w:rPr>
          <w:rFonts w:hint="default" w:ascii="Times New Roman" w:hAnsi="Times New Roman" w:eastAsia="仿宋_GB2312" w:cs="Times New Roman"/>
          <w:color w:val="auto"/>
          <w:spacing w:val="0"/>
          <w:sz w:val="32"/>
          <w:szCs w:val="32"/>
          <w:highlight w:val="none"/>
          <w:lang w:val="en-US" w:eastAsia="zh-CN"/>
        </w:rPr>
        <w:t>平台，推动移风易俗工作落细落小落实，真正见行见效。二</w:t>
      </w:r>
      <w:r>
        <w:rPr>
          <w:rFonts w:hint="eastAsia" w:cs="Times New Roman"/>
          <w:color w:val="auto"/>
          <w:spacing w:val="0"/>
          <w:sz w:val="32"/>
          <w:szCs w:val="32"/>
          <w:highlight w:val="none"/>
          <w:lang w:val="en-US" w:eastAsia="zh-CN"/>
        </w:rPr>
        <w:t>是</w:t>
      </w:r>
      <w:r>
        <w:rPr>
          <w:rFonts w:hint="default" w:ascii="Times New Roman" w:hAnsi="Times New Roman" w:eastAsia="仿宋_GB2312" w:cs="Times New Roman"/>
          <w:color w:val="auto"/>
          <w:spacing w:val="0"/>
          <w:sz w:val="32"/>
          <w:szCs w:val="32"/>
          <w:highlight w:val="none"/>
          <w:lang w:val="en-US" w:eastAsia="zh-CN"/>
        </w:rPr>
        <w:t>深化“一杯茶+”模式，打造移风易俗前沿阵地</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将在条件成熟的“一杯茶”调解室、茶馆统一加挂“新时代文明实践点”标识，明确其作为移风易俗宣传点、议事点、活动点的功能定位。组织志愿者、文艺</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轻骑兵</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将全县统一的、经村民议事会修订完善的“村规民约”，创作成大鼓、坠子、快板、三句半等具有濉溪地方特色、脍炙人口的曲艺作品。利用农闲、傍晚、节假日等时间，在“一杯茶”新时代文明实践点常态化开展“文艺+宣讲”新时代文明实践微演出活动，让文明新规在袅袅茶香中入耳入心。联合司法、民政、妇联等部门力量，组织开展“一杯茶·人文讲堂”，围绕《民法典》相关条款、婚事新办、丧事简办、孝老爱亲等内容，开展小而精、互动式的政策解读和案例宣讲，回应群众关切，澄清模糊认识。三</w:t>
      </w:r>
      <w:r>
        <w:rPr>
          <w:rFonts w:hint="eastAsia" w:cs="Times New Roman"/>
          <w:color w:val="auto"/>
          <w:spacing w:val="0"/>
          <w:sz w:val="32"/>
          <w:szCs w:val="32"/>
          <w:highlight w:val="none"/>
          <w:lang w:val="en-US" w:eastAsia="zh-CN"/>
        </w:rPr>
        <w:t>是</w:t>
      </w:r>
      <w:r>
        <w:rPr>
          <w:rFonts w:hint="default" w:ascii="Times New Roman" w:hAnsi="Times New Roman" w:eastAsia="仿宋_GB2312" w:cs="Times New Roman"/>
          <w:color w:val="auto"/>
          <w:spacing w:val="0"/>
          <w:sz w:val="32"/>
          <w:szCs w:val="32"/>
          <w:highlight w:val="none"/>
          <w:lang w:val="en-US" w:eastAsia="zh-CN"/>
        </w:rPr>
        <w:t>聚焦“大总”关键群体，培育移风易俗中坚力量。实施“大总赋能”计划</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深化“我是大总”品牌活动</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开展“大总说新风”系列活动。四</w:t>
      </w:r>
      <w:r>
        <w:rPr>
          <w:rFonts w:hint="eastAsia" w:cs="Times New Roman"/>
          <w:color w:val="auto"/>
          <w:spacing w:val="0"/>
          <w:sz w:val="32"/>
          <w:szCs w:val="32"/>
          <w:highlight w:val="none"/>
          <w:lang w:val="en-US" w:eastAsia="zh-CN"/>
        </w:rPr>
        <w:t>是</w:t>
      </w:r>
      <w:r>
        <w:rPr>
          <w:rFonts w:hint="default" w:ascii="Times New Roman" w:hAnsi="Times New Roman" w:eastAsia="仿宋_GB2312" w:cs="Times New Roman"/>
          <w:color w:val="auto"/>
          <w:spacing w:val="0"/>
          <w:sz w:val="32"/>
          <w:szCs w:val="32"/>
          <w:highlight w:val="none"/>
          <w:lang w:val="en-US" w:eastAsia="zh-CN"/>
        </w:rPr>
        <w:t>强化协同，常态长效，营造崇尚文明的社会氛围。持续在“一杯茶”平台及新时代文明实践活动中有机融入法律宣传、家风故事会、集体婚礼、孝心饺子宴等内容，使文明新风的培育更加生动具体。大力挖掘和宣传在移风易俗中涌现的“身边好人”“最美家庭”“好婆婆好媳妇”等先进典型，积极向上级推荐，争取入选“中国好人”“安徽好人”等，用榜样的力量感召群众。</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（承办单位：县委宣传部）</w:t>
      </w:r>
    </w:p>
    <w:p w14:paraId="04EC57A7">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关于对S238省道徐楼桥（下行）危旧桥梁工程加快施工进度的建议（32号）</w:t>
      </w:r>
      <w:r>
        <w:rPr>
          <w:rFonts w:hint="eastAsia" w:ascii="Times New Roman" w:hAnsi="Times New Roman" w:eastAsia="楷体_GB2312" w:cs="Times New Roman"/>
          <w:b/>
          <w:bCs/>
          <w:color w:val="auto"/>
          <w:spacing w:val="-6"/>
          <w:kern w:val="44"/>
          <w:sz w:val="32"/>
          <w:szCs w:val="32"/>
          <w:highlight w:val="none"/>
          <w:lang w:val="en-US" w:eastAsia="zh-CN" w:bidi="ar-SA"/>
        </w:rPr>
        <w:t>。</w:t>
      </w:r>
      <w:r>
        <w:rPr>
          <w:rFonts w:hint="default" w:ascii="Times New Roman" w:hAnsi="Times New Roman" w:eastAsia="仿宋_GB2312" w:cs="Times New Roman"/>
          <w:b w:val="0"/>
          <w:bCs w:val="0"/>
          <w:spacing w:val="-6"/>
          <w:kern w:val="2"/>
          <w:sz w:val="32"/>
          <w:szCs w:val="32"/>
          <w:highlight w:val="none"/>
          <w:lang w:val="en-US" w:eastAsia="zh-CN" w:bidi="ar-SA"/>
        </w:rPr>
        <w:t>该工程属于淮北市交通局招标桥梁改建工程，</w:t>
      </w:r>
      <w:r>
        <w:rPr>
          <w:rFonts w:hint="eastAsia" w:cs="Times New Roman"/>
          <w:b w:val="0"/>
          <w:bCs w:val="0"/>
          <w:spacing w:val="-6"/>
          <w:kern w:val="2"/>
          <w:sz w:val="32"/>
          <w:szCs w:val="32"/>
          <w:highlight w:val="none"/>
          <w:lang w:val="en-US" w:eastAsia="zh-CN" w:bidi="ar-SA"/>
        </w:rPr>
        <w:t>已完工通行</w:t>
      </w:r>
      <w:r>
        <w:rPr>
          <w:rFonts w:hint="default" w:ascii="Times New Roman" w:hAnsi="Times New Roman" w:eastAsia="仿宋_GB2312" w:cs="Times New Roman"/>
          <w:b w:val="0"/>
          <w:bCs w:val="0"/>
          <w:spacing w:val="-6"/>
          <w:kern w:val="2"/>
          <w:sz w:val="32"/>
          <w:szCs w:val="32"/>
          <w:highlight w:val="none"/>
          <w:lang w:val="en-US" w:eastAsia="zh-CN" w:bidi="ar-SA"/>
        </w:rPr>
        <w:t>。</w:t>
      </w:r>
      <w:r>
        <w:rPr>
          <w:rFonts w:hint="default" w:ascii="Times New Roman" w:hAnsi="Times New Roman" w:eastAsia="楷体_GB2312" w:cs="Times New Roman"/>
          <w:b/>
          <w:bCs/>
          <w:color w:val="auto"/>
          <w:spacing w:val="-6"/>
          <w:kern w:val="44"/>
          <w:sz w:val="32"/>
          <w:szCs w:val="32"/>
          <w:highlight w:val="none"/>
          <w:lang w:val="en-US" w:eastAsia="zh-CN" w:bidi="ar-SA"/>
        </w:rPr>
        <w:t>（承办单位：淮北市公路管理服务中心濉溪分中心）</w:t>
      </w:r>
    </w:p>
    <w:p w14:paraId="1FF9DB98">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关于助力乡村振兴，带动百姓致富的建议（33号）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加强产销对接。组织农产品流通企业实施产销对接，如：中瑞农副产品有限公司，对接本县及市辖区的100多家农业合作社、家庭农场、种植基地等签订购销协议，利用社区电商平台，采取线上订单线下配送模式，2024年实现农产品销售60亿元80万吨，线上销售3.9亿元，直接或间接带动2万多农户增收。</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畅通流通渠道。持续推进农产品出村进城，实施县域商业体系行动，改造建设10个乡镇商贸中心、10个镇物流快递服务站、1个县级物流快递共配中心，快递配送基本实现镇村园区全覆盖，在促进农产品流通和带动农村消费增长等发挥了积极作用。</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发展农村电商。大力发展农村电商主体，各类电商主体累计达到7213家。大力开展电商培训，累计培训1000多人次，如蒙村长治家庭农场、孙疃雨宸家庭农场、五沟一号线水果家庭农场、四铺界洪村张朝坤等发展电商直播销售农产品，取得较好效果。</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四是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培育网货品牌。改造升级县级电商公共服务中心选品中心，对全县有品牌商标、有一定规模的特色产品进行遴选，在网上推广销售，如“幸运”牌方便面、“面对爱”牌烫面等产品，已</w:t>
      </w:r>
      <w:r>
        <w:rPr>
          <w:rFonts w:hint="default" w:ascii="Times New Roman" w:hAnsi="Times New Roman" w:eastAsia="仿宋_GB2312" w:cs="Times New Roman"/>
          <w:b w:val="0"/>
          <w:bCs w:val="0"/>
          <w:color w:val="000000" w:themeColor="text1"/>
          <w:spacing w:val="-6"/>
          <w:kern w:val="2"/>
          <w:sz w:val="32"/>
          <w:szCs w:val="32"/>
          <w:highlight w:val="none"/>
          <w:lang w:val="en-US" w:eastAsia="zh-CN" w:bidi="ar-SA"/>
          <w14:textFill>
            <w14:solidFill>
              <w14:schemeClr w14:val="tx1"/>
            </w14:solidFill>
          </w14:textFill>
        </w:rPr>
        <w:t>培育为网货品牌，月销售额30万元以上。</w:t>
      </w:r>
      <w:r>
        <w:rPr>
          <w:rFonts w:hint="default" w:ascii="Times New Roman" w:hAnsi="Times New Roman" w:eastAsia="楷体_GB2312" w:cs="Times New Roman"/>
          <w:b/>
          <w:bCs/>
          <w:color w:val="auto"/>
          <w:spacing w:val="-6"/>
          <w:kern w:val="44"/>
          <w:sz w:val="32"/>
          <w:szCs w:val="32"/>
          <w:highlight w:val="none"/>
          <w:lang w:val="en-US" w:eastAsia="zh-CN" w:bidi="ar-SA"/>
        </w:rPr>
        <w:t>（承办单位：县商务局）</w:t>
      </w:r>
    </w:p>
    <w:p w14:paraId="3DDFBB32">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关于将620路（临涣-濉溪）公交线路延伸至河西新区的建议（34号）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620路公交线路规划是基于城市整体交通布局、客流量分布以及不同区域的出行需求综合制定的。若延伸620路公交车终点站，会打破现有的线路平衡，对沿线其他站点乘客的出行造成影响，候车时间延长以及运营效率和服务质量难以保障。目前濉溪开发区已通过622、608、801、802、805路等多条线路实现交通覆盖，能够较好地满足区域居民的出行需求。</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42E79B62">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关于关注青年创业助力乡村振兴</w:t>
      </w:r>
      <w:r>
        <w:rPr>
          <w:rFonts w:hint="eastAsia" w:eastAsia="楷体_GB2312" w:cs="Times New Roman"/>
          <w:b/>
          <w:bCs/>
          <w:color w:val="auto"/>
          <w:spacing w:val="0"/>
          <w:kern w:val="44"/>
          <w:sz w:val="32"/>
          <w:szCs w:val="32"/>
          <w:highlight w:val="none"/>
          <w:lang w:val="en-US" w:eastAsia="zh-CN" w:bidi="ar-SA"/>
        </w:rPr>
        <w:t>的</w:t>
      </w:r>
      <w:r>
        <w:rPr>
          <w:rFonts w:hint="default" w:ascii="Times New Roman" w:hAnsi="Times New Roman" w:eastAsia="楷体_GB2312" w:cs="Times New Roman"/>
          <w:b/>
          <w:bCs/>
          <w:color w:val="auto"/>
          <w:spacing w:val="0"/>
          <w:kern w:val="44"/>
          <w:sz w:val="32"/>
          <w:szCs w:val="32"/>
          <w:highlight w:val="none"/>
          <w:lang w:val="en-US" w:eastAsia="zh-CN" w:bidi="ar-SA"/>
        </w:rPr>
        <w:t>建议（35号）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一、聚焦资金需求，破解创业难题</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是设立财政扶持资金。专门用于扶持引导“小老板”返乡创业工作。创新“整贷直发”模式，每年注入3000万元创业贷款担保基金，委托7家经办机构自动提供担保，放款时间大大缩减。二是解决融资担保难题。对创业者提供个人或小微企业最高额度为30万元或400万元的创业担保贴息贷款，利息超出部</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分</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由县财政予以贴息。2025年以来，发放创业担保贴息贷款217笔4171万元。二、聚焦创业指导，强化能力提升</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一是定期选拔一批“小老板”赴高校进行素质提升培训，13年来共选拔580余名有发展潜力的“小老板”赴上海</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复旦</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、浙江</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大学</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、北京</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大学</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、厦门</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大学</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、重庆大学等高校进行素质提升培训，有效提升了“小老板”的经营管理水平。同时制定《2025年“才聚濉溪 智创未来”高校创业训练营的实施方案》，拟计划组织县域30名优秀企业</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家</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走进浙江大学，通过“理论+实地走访”的方式提升企业负责人经营管理能力。三、聚焦平台搭建，强化精准服务</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建立了1个县级创业服务指导中心，12个创业服务指导站。依托工业园区、闲置校舍、废旧厂房等改建创业园，为创业者提供创业场地并给予租金减免。现有省级返乡创业示范园2个，省级青年创业园1个，入驻企业96家，带动就业2500人。设立驻常州市皖籍农民工服务站，该站点连续三年获得“省级驻外示范站点”称号。四、聚焦宣传引领，保障创业有激情</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结合</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春风行动</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，设置就业创业咨询服务台，现场讲解就业创业政策。抓住退役军人退伍重要节点，开展退役军人专项就业创业政策宣传。</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（承办单位：县人社局）</w:t>
      </w:r>
    </w:p>
    <w:p w14:paraId="72426D3F">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关于加大对乡村创客中心建设的建议（36号）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spacing w:val="0"/>
          <w:sz w:val="32"/>
          <w:szCs w:val="32"/>
          <w:highlight w:val="none"/>
          <w:lang w:val="en-US" w:eastAsia="zh-CN"/>
        </w:rPr>
        <w:t>一是</w:t>
      </w:r>
      <w:r>
        <w:rPr>
          <w:rFonts w:hint="default" w:ascii="Times New Roman" w:hAnsi="Times New Roman" w:eastAsia="仿宋_GB2312" w:cs="Times New Roman"/>
          <w:spacing w:val="0"/>
          <w:sz w:val="32"/>
          <w:szCs w:val="32"/>
          <w:highlight w:val="none"/>
          <w:lang w:val="en-US" w:eastAsia="zh-CN"/>
        </w:rPr>
        <w:t>政策扶持方面。深化实施《安徽省皖北地区青年创业贷款财政贴息资金管理办法》，为乡村创客提供单笔50万以内一年期贷款贴息的政策支持。选树一批青年典型，濉溪县四铺</w:t>
      </w:r>
      <w:r>
        <w:rPr>
          <w:rFonts w:hint="eastAsia" w:cs="Times New Roman"/>
          <w:spacing w:val="0"/>
          <w:sz w:val="32"/>
          <w:szCs w:val="32"/>
          <w:highlight w:val="none"/>
          <w:lang w:val="en-US" w:eastAsia="zh-CN"/>
        </w:rPr>
        <w:t>镇</w:t>
      </w:r>
      <w:r>
        <w:rPr>
          <w:rFonts w:hint="default" w:ascii="Times New Roman" w:hAnsi="Times New Roman" w:eastAsia="仿宋_GB2312" w:cs="Times New Roman"/>
          <w:spacing w:val="0"/>
          <w:sz w:val="32"/>
          <w:szCs w:val="32"/>
          <w:highlight w:val="none"/>
          <w:lang w:val="en-US" w:eastAsia="zh-CN"/>
        </w:rPr>
        <w:t>绿色家庭农场张凯强、淮北市影舞飞扬艺术中心李影影、濉溪县五沟镇一号线水果种植家庭农场刘玉玲获评安徽省乡村振兴青年先锋；安徽雪雨震农业科技有限公司获评第七批安徽省大学生返乡创业示范基地。</w:t>
      </w:r>
      <w:r>
        <w:rPr>
          <w:rFonts w:hint="eastAsia" w:cs="Times New Roman"/>
          <w:spacing w:val="0"/>
          <w:sz w:val="32"/>
          <w:szCs w:val="32"/>
          <w:highlight w:val="none"/>
          <w:lang w:val="en-US" w:eastAsia="zh-CN"/>
        </w:rPr>
        <w:t>二</w:t>
      </w:r>
      <w:r>
        <w:rPr>
          <w:rFonts w:hint="eastAsia" w:ascii="Times New Roman" w:hAnsi="Times New Roman" w:eastAsia="仿宋_GB2312"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平台搭建方面。目前，现有省级返乡创业示范园2个，省级青年创业园1个，入驻企业96家，带动就业2500人，依托濉溪县青年创业者协会为创客提供政策咨询、项目对接、技术指导等服务；线下定期举办创业沙龙、团建、年会等活动，为创客搭建交流合作的平台。</w:t>
      </w:r>
      <w:r>
        <w:rPr>
          <w:rFonts w:hint="eastAsia" w:cs="Times New Roman"/>
          <w:spacing w:val="0"/>
          <w:sz w:val="32"/>
          <w:szCs w:val="32"/>
          <w:highlight w:val="none"/>
          <w:lang w:val="en-US" w:eastAsia="zh-CN"/>
        </w:rPr>
        <w:t>三是</w:t>
      </w:r>
      <w:r>
        <w:rPr>
          <w:rFonts w:hint="default" w:ascii="Times New Roman" w:hAnsi="Times New Roman" w:eastAsia="仿宋_GB2312" w:cs="Times New Roman"/>
          <w:spacing w:val="0"/>
          <w:sz w:val="32"/>
          <w:szCs w:val="32"/>
          <w:highlight w:val="none"/>
          <w:lang w:val="en-US" w:eastAsia="zh-CN"/>
        </w:rPr>
        <w:t>服务优化方面。加强与金融机构的合作，为乡村创客提供便捷的融资渠道。2025年濉溪县青年创新创业新春年会上，中国邮政储蓄银行淮北分行与濉溪县青年企业家商会、濉溪县青年创业者协会、濉溪县女企业家联谊会建立濉溪县青年创新创业合作伙伴关系，提供6亿元授信额度，受益创客300余人。</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（承办单位：县人社局</w:t>
      </w:r>
      <w:r>
        <w:rPr>
          <w:rFonts w:hint="eastAsia" w:eastAsia="楷体_GB2312" w:cs="Times New Roman"/>
          <w:b/>
          <w:bCs/>
          <w:color w:val="auto"/>
          <w:spacing w:val="0"/>
          <w:kern w:val="44"/>
          <w:sz w:val="32"/>
          <w:szCs w:val="32"/>
          <w:highlight w:val="none"/>
          <w:lang w:val="en-US" w:eastAsia="zh-CN" w:bidi="ar-SA"/>
        </w:rPr>
        <w:t>、团县委</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75A19A6F">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关于推动“一杯茶”调解工作法机制化、系统化建设的建议（37号）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spacing w:val="0"/>
          <w:sz w:val="32"/>
          <w:szCs w:val="32"/>
          <w:highlight w:val="none"/>
          <w:lang w:val="en-US" w:eastAsia="zh-CN"/>
        </w:rPr>
        <w:t>一</w:t>
      </w:r>
      <w:r>
        <w:rPr>
          <w:rFonts w:hint="eastAsia" w:cs="Times New Roman"/>
          <w:spacing w:val="0"/>
          <w:sz w:val="32"/>
          <w:szCs w:val="32"/>
          <w:highlight w:val="none"/>
          <w:lang w:val="en-US" w:eastAsia="zh-CN"/>
        </w:rPr>
        <w:t>是</w:t>
      </w:r>
      <w:r>
        <w:rPr>
          <w:rFonts w:hint="eastAsia" w:ascii="Times New Roman" w:hAnsi="Times New Roman" w:eastAsia="仿宋_GB2312" w:cs="Times New Roman"/>
          <w:spacing w:val="0"/>
          <w:sz w:val="32"/>
          <w:szCs w:val="32"/>
          <w:highlight w:val="none"/>
          <w:lang w:val="en-US" w:eastAsia="zh-CN"/>
        </w:rPr>
        <w:t>党建领航聚合力 组织筑基强根基</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依托临涣茶馆人民调解委员会成立临时党支部。已建设239个村级“一杯茶”调解室。借助全县1055个网格化平台，开展集中宣传活动1210余场，提供便民服务230</w:t>
      </w:r>
      <w:r>
        <w:rPr>
          <w:rFonts w:hint="eastAsia" w:cs="Times New Roman"/>
          <w:spacing w:val="0"/>
          <w:sz w:val="32"/>
          <w:szCs w:val="32"/>
          <w:highlight w:val="none"/>
          <w:lang w:val="en-US" w:eastAsia="zh-CN"/>
        </w:rPr>
        <w:t>0</w:t>
      </w:r>
      <w:r>
        <w:rPr>
          <w:rFonts w:hint="eastAsia" w:ascii="Times New Roman" w:hAnsi="Times New Roman" w:eastAsia="仿宋_GB2312" w:cs="Times New Roman"/>
          <w:spacing w:val="0"/>
          <w:sz w:val="32"/>
          <w:szCs w:val="32"/>
          <w:highlight w:val="none"/>
          <w:lang w:val="en-US" w:eastAsia="zh-CN"/>
        </w:rPr>
        <w:t>余次。以王士宏为代表的临涣茶馆调解团队，现有党员28人。选聘13名退休老党员加入专职调解员队伍。</w:t>
      </w:r>
      <w:r>
        <w:rPr>
          <w:rFonts w:hint="eastAsia" w:cs="Times New Roman"/>
          <w:spacing w:val="0"/>
          <w:sz w:val="32"/>
          <w:szCs w:val="32"/>
          <w:highlight w:val="none"/>
          <w:lang w:val="en-US" w:eastAsia="zh-CN"/>
        </w:rPr>
        <w:t>打造</w:t>
      </w:r>
      <w:r>
        <w:rPr>
          <w:rFonts w:hint="eastAsia" w:ascii="Times New Roman" w:hAnsi="Times New Roman" w:eastAsia="仿宋_GB2312" w:cs="Times New Roman"/>
          <w:spacing w:val="0"/>
          <w:sz w:val="32"/>
          <w:szCs w:val="32"/>
          <w:highlight w:val="none"/>
          <w:lang w:val="en-US" w:eastAsia="zh-CN"/>
        </w:rPr>
        <w:t>县级“茶香中枢”</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镇级“茶事平台”</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村级“茶语微站”。二</w:t>
      </w:r>
      <w:r>
        <w:rPr>
          <w:rFonts w:hint="eastAsia" w:cs="Times New Roman"/>
          <w:spacing w:val="0"/>
          <w:sz w:val="32"/>
          <w:szCs w:val="32"/>
          <w:highlight w:val="none"/>
          <w:lang w:val="en-US" w:eastAsia="zh-CN"/>
        </w:rPr>
        <w:t>是</w:t>
      </w:r>
      <w:r>
        <w:rPr>
          <w:rFonts w:hint="eastAsia" w:ascii="Times New Roman" w:hAnsi="Times New Roman" w:eastAsia="仿宋_GB2312" w:cs="Times New Roman"/>
          <w:spacing w:val="0"/>
          <w:sz w:val="32"/>
          <w:szCs w:val="32"/>
          <w:highlight w:val="none"/>
          <w:lang w:val="en-US" w:eastAsia="zh-CN"/>
        </w:rPr>
        <w:t>政策机制筑框架</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保障支撑固底盘</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建立优秀案例征集制度，系统性收集、整理各村典型经验与成功做法。完善保障激励机制</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开展三级、四级调解员等级评定工作，结合考核激励机制，同步建立完善的荣誉表彰制度。三</w:t>
      </w:r>
      <w:r>
        <w:rPr>
          <w:rFonts w:hint="eastAsia" w:cs="Times New Roman"/>
          <w:spacing w:val="0"/>
          <w:sz w:val="32"/>
          <w:szCs w:val="32"/>
          <w:highlight w:val="none"/>
          <w:lang w:val="en-US" w:eastAsia="zh-CN"/>
        </w:rPr>
        <w:t>是</w:t>
      </w:r>
      <w:r>
        <w:rPr>
          <w:rFonts w:hint="eastAsia" w:ascii="Times New Roman" w:hAnsi="Times New Roman" w:eastAsia="仿宋_GB2312" w:cs="Times New Roman"/>
          <w:spacing w:val="0"/>
          <w:sz w:val="32"/>
          <w:szCs w:val="32"/>
          <w:highlight w:val="none"/>
          <w:lang w:val="en-US" w:eastAsia="zh-CN"/>
        </w:rPr>
        <w:t>队伍提质优结构</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能力淬炼强担当</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建强调解队伍</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组建一支859人的“一杯茶”调解骨干团队</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从县委党校选聘6名专家、学者，组建“一杯茶”调解专家团队</w:t>
      </w:r>
      <w:r>
        <w:rPr>
          <w:rFonts w:hint="eastAsia" w:cs="Times New Roman"/>
          <w:spacing w:val="0"/>
          <w:sz w:val="32"/>
          <w:szCs w:val="32"/>
          <w:highlight w:val="none"/>
          <w:lang w:val="en-US" w:eastAsia="zh-CN"/>
        </w:rPr>
        <w:t>。组建</w:t>
      </w:r>
      <w:r>
        <w:rPr>
          <w:rFonts w:hint="eastAsia" w:ascii="Times New Roman" w:hAnsi="Times New Roman" w:eastAsia="仿宋_GB2312" w:cs="Times New Roman"/>
          <w:spacing w:val="0"/>
          <w:sz w:val="32"/>
          <w:szCs w:val="32"/>
          <w:highlight w:val="none"/>
          <w:lang w:val="en-US" w:eastAsia="zh-CN"/>
        </w:rPr>
        <w:t>“红色社工”调解队伍涵盖党员仲裁员、专业社会工作师、人民调解员、律师24人，化解劳动争议189件。55人的婚调志愿队助力200多</w:t>
      </w:r>
      <w:r>
        <w:rPr>
          <w:rFonts w:hint="eastAsia" w:cs="Times New Roman"/>
          <w:spacing w:val="0"/>
          <w:sz w:val="32"/>
          <w:szCs w:val="32"/>
          <w:highlight w:val="none"/>
          <w:lang w:val="en-US" w:eastAsia="zh-CN"/>
        </w:rPr>
        <w:t>对</w:t>
      </w:r>
      <w:r>
        <w:rPr>
          <w:rFonts w:hint="eastAsia" w:ascii="Times New Roman" w:hAnsi="Times New Roman" w:eastAsia="仿宋_GB2312" w:cs="Times New Roman"/>
          <w:spacing w:val="0"/>
          <w:sz w:val="32"/>
          <w:szCs w:val="32"/>
          <w:highlight w:val="none"/>
          <w:lang w:val="en-US" w:eastAsia="zh-CN"/>
        </w:rPr>
        <w:t>夫妻和好如初。消费纠纷调解团队覆盖13个消费维权服务站、4个调解茶吧，消费纠纷调解成功率从2023年的41.8% 提升至2024年的63.14%，高于全国调解成功率近10个百分点。</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（承办单位：县委政法委）</w:t>
      </w:r>
    </w:p>
    <w:p w14:paraId="38F29052">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关于将临涣“棒棒茶文化”与旅游业融合发展的建议（38号）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color w:val="000000" w:themeColor="text1"/>
          <w:spacing w:val="0"/>
          <w:kern w:val="2"/>
          <w:sz w:val="32"/>
          <w:szCs w:val="32"/>
          <w:highlight w:val="none"/>
          <w:lang w:val="en-US" w:eastAsia="zh-CN" w:bidi="ar-SA"/>
          <w14:textFill>
            <w14:solidFill>
              <w14:schemeClr w14:val="tx1"/>
            </w14:solidFill>
          </w14:textFill>
        </w:rPr>
        <w:t>一是深入挖掘棒棒茶文化。将茶楼、茶馆设为“非遗传承基地”，延续镇政府对茶馆的政策倾斜，加大对茶馆的帮扶，提升茶馆的旅游接待能力。深挖茶馆“民间调解”核心功能，在“和谐茶室”基础上打造“一杯茶调解体验空间”。二是推动茶馆体验升级优化茶馆服务设施，打造特色茶食项目，形成“观茶艺、品茶香、尝茶点”的全新体验。三是促进茶文化与旅游融合发展。构建复合型旅游线路，开发高附加值文创产品，提升茶饮习俗影响力。</w:t>
      </w:r>
      <w:r>
        <w:rPr>
          <w:rFonts w:hint="default" w:ascii="Times New Roman" w:hAnsi="Times New Roman" w:eastAsia="楷体_GB2312" w:cs="Times New Roman"/>
          <w:b/>
          <w:bCs/>
          <w:color w:val="auto"/>
          <w:spacing w:val="0"/>
          <w:kern w:val="44"/>
          <w:sz w:val="32"/>
          <w:szCs w:val="32"/>
          <w:highlight w:val="none"/>
          <w:lang w:val="en-US" w:eastAsia="zh-CN" w:bidi="ar-SA"/>
        </w:rPr>
        <w:t>（承办单位：临涣镇</w:t>
      </w:r>
      <w:r>
        <w:rPr>
          <w:rFonts w:hint="eastAsia" w:eastAsia="楷体_GB2312" w:cs="Times New Roman"/>
          <w:b/>
          <w:bCs/>
          <w:color w:val="auto"/>
          <w:spacing w:val="0"/>
          <w:kern w:val="44"/>
          <w:sz w:val="32"/>
          <w:szCs w:val="32"/>
          <w:highlight w:val="none"/>
          <w:lang w:val="en-US" w:eastAsia="zh-CN" w:bidi="ar-SA"/>
        </w:rPr>
        <w:t>人民政府</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32437963">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关于加强非遗保护传承力度，促进我县文旅融合发展的建议（39号）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一是科学制定规划，明确发展方向。开展全县非遗资源普查，深入基层调查摸底，组织申报第七批县级非遗项目和第四批市级非遗代表性传承人，截至</w:t>
      </w:r>
      <w:r>
        <w:rPr>
          <w:rFonts w:hint="eastAsia" w:cs="Times New Roman"/>
          <w:color w:val="000000" w:themeColor="text1"/>
          <w:spacing w:val="0"/>
          <w:kern w:val="2"/>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25年申请各级专项非遗资金支持约150万元，用于传承人培养和活动补贴。二是丰富活动载体，激发传承活力。常态化开展非遗展演、技艺大赛、民俗节庆等活动，推动非遗进景区、进校园、进社区，增强群众参与感，扩大传承群体。三是深化文旅融合，赋能产业发展。在濉溪古城开发非遗泥塑体验馆、手作工坊等文旅产品，推动非遗与乡村旅游、文创设计、数字技术结合，形成“非遗+研学”“非遗+民宿”等新业态，提升经济和社会效益。在节庆活动中嵌入非遗展示，临涣古镇在春节期间开展非遗民俗踩街活动，举办“二月二 龙头节”民俗文化系列活动。县文化馆在非遗展馆中通过展陈数字化展示花鼓戏、泥塑等项目。四是凝聚多方合力，构建保护体系。建立政府主导、企业参与、社会协同的工作机制，整合资金、技术、人才资源，形成保护传承合力。鼓励旅游景区、文化街区，设置非遗市集和非遗商品销售专区，积极打造非遗消费新空间。</w:t>
      </w:r>
      <w:r>
        <w:rPr>
          <w:rFonts w:hint="default" w:ascii="Times New Roman" w:hAnsi="Times New Roman" w:eastAsia="楷体_GB2312" w:cs="Times New Roman"/>
          <w:b/>
          <w:bCs/>
          <w:color w:val="auto"/>
          <w:spacing w:val="0"/>
          <w:kern w:val="44"/>
          <w:sz w:val="32"/>
          <w:szCs w:val="32"/>
          <w:highlight w:val="none"/>
          <w:lang w:val="en-US" w:eastAsia="zh-CN" w:bidi="ar-SA"/>
        </w:rPr>
        <w:t>（承办单位：县文旅体局）</w:t>
      </w:r>
    </w:p>
    <w:p w14:paraId="5EEBC67C">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关于加大对红色遗存遗址保护力度</w:t>
      </w:r>
      <w:r>
        <w:rPr>
          <w:rFonts w:hint="eastAsia" w:eastAsia="楷体_GB2312" w:cs="Times New Roman"/>
          <w:b/>
          <w:bCs/>
          <w:color w:val="auto"/>
          <w:spacing w:val="0"/>
          <w:kern w:val="44"/>
          <w:sz w:val="32"/>
          <w:szCs w:val="32"/>
          <w:highlight w:val="none"/>
          <w:lang w:val="en-US" w:eastAsia="zh-CN" w:bidi="ar-SA"/>
        </w:rPr>
        <w:t>的</w:t>
      </w:r>
      <w:r>
        <w:rPr>
          <w:rFonts w:hint="default" w:ascii="Times New Roman" w:hAnsi="Times New Roman" w:eastAsia="楷体_GB2312" w:cs="Times New Roman"/>
          <w:b/>
          <w:bCs/>
          <w:color w:val="auto"/>
          <w:spacing w:val="0"/>
          <w:kern w:val="44"/>
          <w:sz w:val="32"/>
          <w:szCs w:val="32"/>
          <w:highlight w:val="none"/>
          <w:lang w:val="en-US" w:eastAsia="zh-CN" w:bidi="ar-SA"/>
        </w:rPr>
        <w:t>建议（40号）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lang w:val="en-US" w:eastAsia="zh-CN"/>
        </w:rPr>
        <w:t>一、加强资源保护，弘扬红色文化</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县退役军人事务局对县内红色纪念场所、零散纪念设施等红色遗存遗址进行调查摸底，建立台账。完成淮海战役双堆集烈士陵园、临涣烈士陵园、四铺新庄纪念园保护范围、建设控制地带调整测绘、土地确权等工作。二、认真统筹谋划，合理开发利用</w:t>
      </w:r>
      <w:r>
        <w:rPr>
          <w:rFonts w:hint="eastAsia" w:cs="Times New Roman"/>
          <w:spacing w:val="0"/>
          <w:sz w:val="32"/>
          <w:szCs w:val="32"/>
          <w:highlight w:val="none"/>
          <w:lang w:val="en-US" w:eastAsia="zh-CN"/>
        </w:rPr>
        <w:t>。一是</w:t>
      </w:r>
      <w:r>
        <w:rPr>
          <w:rFonts w:hint="default" w:ascii="Times New Roman" w:hAnsi="Times New Roman" w:eastAsia="仿宋_GB2312" w:cs="Times New Roman"/>
          <w:spacing w:val="0"/>
          <w:sz w:val="32"/>
          <w:szCs w:val="32"/>
          <w:highlight w:val="none"/>
          <w:lang w:val="en-US" w:eastAsia="zh-CN"/>
        </w:rPr>
        <w:t>统筹全县红色资源保护开发利用</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将红色遗存遗址保护工作纳入年度工作计划，</w:t>
      </w:r>
      <w:r>
        <w:rPr>
          <w:rFonts w:hint="eastAsia" w:cs="Times New Roman"/>
          <w:spacing w:val="0"/>
          <w:sz w:val="32"/>
          <w:szCs w:val="32"/>
          <w:highlight w:val="none"/>
          <w:lang w:val="en-US" w:eastAsia="zh-CN"/>
        </w:rPr>
        <w:t>按照</w:t>
      </w:r>
      <w:r>
        <w:rPr>
          <w:rFonts w:hint="default" w:ascii="Times New Roman" w:hAnsi="Times New Roman" w:eastAsia="仿宋_GB2312" w:cs="Times New Roman"/>
          <w:spacing w:val="0"/>
          <w:sz w:val="32"/>
          <w:szCs w:val="32"/>
          <w:highlight w:val="none"/>
          <w:lang w:val="en-US" w:eastAsia="zh-CN"/>
        </w:rPr>
        <w:t>省、市、县有关工作要求，加大对红色资源建设保护力度。</w:t>
      </w:r>
      <w:r>
        <w:rPr>
          <w:rFonts w:hint="eastAsia" w:cs="Times New Roman"/>
          <w:spacing w:val="0"/>
          <w:sz w:val="32"/>
          <w:szCs w:val="32"/>
          <w:highlight w:val="none"/>
          <w:lang w:val="en-US" w:eastAsia="zh-CN"/>
        </w:rPr>
        <w:t>二</w:t>
      </w:r>
      <w:r>
        <w:rPr>
          <w:rFonts w:hint="default" w:ascii="Times New Roman" w:hAnsi="Times New Roman" w:eastAsia="仿宋_GB2312" w:cs="Times New Roman"/>
          <w:spacing w:val="0"/>
          <w:sz w:val="32"/>
          <w:szCs w:val="32"/>
          <w:highlight w:val="none"/>
          <w:lang w:val="en-US" w:eastAsia="zh-CN"/>
        </w:rPr>
        <w:t>是做好日常管护工作。</w:t>
      </w:r>
      <w:r>
        <w:rPr>
          <w:rFonts w:hint="eastAsia" w:cs="Times New Roman"/>
          <w:spacing w:val="0"/>
          <w:sz w:val="32"/>
          <w:szCs w:val="32"/>
          <w:highlight w:val="none"/>
          <w:lang w:val="en-US" w:eastAsia="zh-CN"/>
        </w:rPr>
        <w:t>三</w:t>
      </w:r>
      <w:r>
        <w:rPr>
          <w:rFonts w:hint="default" w:ascii="Times New Roman" w:hAnsi="Times New Roman" w:eastAsia="仿宋_GB2312" w:cs="Times New Roman"/>
          <w:spacing w:val="0"/>
          <w:sz w:val="32"/>
          <w:szCs w:val="32"/>
          <w:highlight w:val="none"/>
          <w:lang w:val="en-US" w:eastAsia="zh-CN"/>
        </w:rPr>
        <w:t>是按照“应迁尽迁、集中管护”的原则，对无名烈士墓、无近亲属的有名烈士墓或无专人管理、不适合长期保护的零散烈士墓，就近集中迁葬烈士陵园。对不愿迁入烈士陵园的零散烈士墓，与其亲属签订管护协议，确定一名近亲属为第一管护人，负责日常维护管理。</w:t>
      </w:r>
      <w:r>
        <w:rPr>
          <w:rFonts w:hint="eastAsia" w:cs="Times New Roman"/>
          <w:spacing w:val="0"/>
          <w:sz w:val="32"/>
          <w:szCs w:val="32"/>
          <w:highlight w:val="none"/>
          <w:lang w:val="en-US" w:eastAsia="zh-CN"/>
        </w:rPr>
        <w:t>四</w:t>
      </w:r>
      <w:r>
        <w:rPr>
          <w:rFonts w:hint="default" w:ascii="Times New Roman" w:hAnsi="Times New Roman" w:eastAsia="仿宋_GB2312" w:cs="Times New Roman"/>
          <w:spacing w:val="0"/>
          <w:sz w:val="32"/>
          <w:szCs w:val="32"/>
          <w:highlight w:val="none"/>
          <w:lang w:val="en-US" w:eastAsia="zh-CN"/>
        </w:rPr>
        <w:t>是开展烈士纪念设施数据普查、规划建设、保护管理。</w:t>
      </w:r>
      <w:r>
        <w:rPr>
          <w:rFonts w:hint="eastAsia" w:cs="Times New Roman"/>
          <w:spacing w:val="0"/>
          <w:sz w:val="32"/>
          <w:szCs w:val="32"/>
          <w:highlight w:val="none"/>
          <w:lang w:val="en-US" w:eastAsia="zh-CN"/>
        </w:rPr>
        <w:t>五</w:t>
      </w:r>
      <w:r>
        <w:rPr>
          <w:rFonts w:hint="default" w:ascii="Times New Roman" w:hAnsi="Times New Roman" w:eastAsia="仿宋_GB2312" w:cs="Times New Roman"/>
          <w:spacing w:val="0"/>
          <w:sz w:val="32"/>
          <w:szCs w:val="32"/>
          <w:highlight w:val="none"/>
          <w:lang w:val="en-US" w:eastAsia="zh-CN"/>
        </w:rPr>
        <w:t>是做好烈士事迹（烈士英名录）编纂，英烈遗物、家书、史料等收集保护和为烈士寻亲等工作。</w:t>
      </w:r>
      <w:r>
        <w:rPr>
          <w:rFonts w:hint="eastAsia" w:cs="Times New Roman"/>
          <w:spacing w:val="0"/>
          <w:sz w:val="32"/>
          <w:szCs w:val="32"/>
          <w:highlight w:val="none"/>
          <w:lang w:val="en-US" w:eastAsia="zh-CN"/>
        </w:rPr>
        <w:t>六</w:t>
      </w:r>
      <w:r>
        <w:rPr>
          <w:rFonts w:hint="default" w:ascii="Times New Roman" w:hAnsi="Times New Roman" w:eastAsia="仿宋_GB2312" w:cs="Times New Roman"/>
          <w:spacing w:val="0"/>
          <w:sz w:val="32"/>
          <w:szCs w:val="32"/>
          <w:highlight w:val="none"/>
          <w:lang w:val="en-US" w:eastAsia="zh-CN"/>
        </w:rPr>
        <w:t>是规范祭扫纪念礼仪，组织开展烈士安葬祭扫、缅怀纪念、宣传教育等工作。</w:t>
      </w:r>
      <w:r>
        <w:rPr>
          <w:rFonts w:hint="eastAsia" w:cs="Times New Roman"/>
          <w:spacing w:val="0"/>
          <w:sz w:val="32"/>
          <w:szCs w:val="32"/>
          <w:highlight w:val="none"/>
          <w:lang w:val="en-US" w:eastAsia="zh-CN"/>
        </w:rPr>
        <w:t>七</w:t>
      </w:r>
      <w:r>
        <w:rPr>
          <w:rFonts w:hint="default" w:ascii="Times New Roman" w:hAnsi="Times New Roman" w:eastAsia="仿宋_GB2312" w:cs="Times New Roman"/>
          <w:spacing w:val="0"/>
          <w:sz w:val="32"/>
          <w:szCs w:val="32"/>
          <w:highlight w:val="none"/>
          <w:lang w:val="en-US" w:eastAsia="zh-CN"/>
        </w:rPr>
        <w:t>是开通全市首条“淮海战役总前委旧址纪念馆—小李家—淮海战役双堆集烈士陵园”红色精品旅游专线，进一步完善了濉溪红色文化旅游服务，提升旅游人气。三、加强资金投入，确保工作落地</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2025年，实施陵园展馆国旗展示项目，投资35万元对展馆进行改造。实施陵园新建墓穴及零星维修采购项目</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四、聚焦培训宣传，弘扬红色精神</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加快培养专业人员</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举办红色宣讲员比赛活动</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加大红色故事宣讲</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整合收集红色资料。</w:t>
      </w:r>
      <w:r>
        <w:rPr>
          <w:rFonts w:hint="default" w:ascii="Times New Roman" w:hAnsi="Times New Roman" w:eastAsia="楷体_GB2312" w:cs="Times New Roman"/>
          <w:b/>
          <w:bCs/>
          <w:color w:val="auto"/>
          <w:spacing w:val="0"/>
          <w:kern w:val="44"/>
          <w:sz w:val="32"/>
          <w:szCs w:val="32"/>
          <w:highlight w:val="none"/>
          <w:lang w:val="en-US" w:eastAsia="zh-CN" w:bidi="ar-SA"/>
        </w:rPr>
        <w:t>（承办单位：县退役军人事务局）</w:t>
      </w:r>
    </w:p>
    <w:p w14:paraId="49CCDF43">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关于加快推进我县医养结合发展的建议（41号）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color w:val="auto"/>
          <w:spacing w:val="0"/>
          <w:sz w:val="32"/>
          <w:szCs w:val="32"/>
          <w:highlight w:val="none"/>
          <w:lang w:val="en-US" w:eastAsia="zh-CN"/>
        </w:rPr>
        <w:t>一、以强“三保”为抓手，夯实医养结合基础。强组织保障，成立医养结合创新发展试点工作专班，高位推动医养结合创新发展试点工作。强设施保障，县卫健委统筹濉溪县乡村医养结合（PPP）项目，筹集资金3.75亿元，提升基层卫生院医养结合服务能力；发挥政府专项债券资金作用，建设濉溪县南部次中心医院，主要用于开展医养结合服务。强人才保障，与濉溪县职业技术学校、淮北职业技术学院等院校合作，将医养结合机构纳入见习基地。二、以促“四联”为依托，提升医养结合质效。县卫健委、县民政局依托濉溪县人民医院、濉溪县中医院2个县域紧密型医共体，充分发挥基层健康专干、镇村（社区）卫生机构、养老机构及医养结合机构作用，重点为行动不便或确有困难老年人提供居家医养服务，构建居家医养模式。推动三级互联，全县23家养老机构均与辖区内医疗机构建立医疗就诊绿色通道，养老机构与医疗卫生机构签约率达100%。目前，全县65岁以上老年人12.3万人，签约服务人数达到11.09万人，签约率达90.2%。三、以抓“项目”为重点，推动医养结合发展。县政府与国控创智健康科技产业（安徽）有限公司签订框架协议，深入开展交流与合作。</w:t>
      </w:r>
      <w:r>
        <w:rPr>
          <w:rFonts w:hint="default" w:ascii="Times New Roman" w:hAnsi="Times New Roman" w:eastAsia="楷体_GB2312" w:cs="Times New Roman"/>
          <w:b/>
          <w:bCs/>
          <w:color w:val="auto"/>
          <w:spacing w:val="0"/>
          <w:kern w:val="44"/>
          <w:sz w:val="32"/>
          <w:szCs w:val="32"/>
          <w:highlight w:val="none"/>
          <w:lang w:val="en-US" w:eastAsia="zh-CN" w:bidi="ar-SA"/>
        </w:rPr>
        <w:t>（承办单位：县民政局）</w:t>
      </w:r>
    </w:p>
    <w:p w14:paraId="0F535460">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关于对退役军人换乘市际公交车实施免费政策</w:t>
      </w:r>
      <w:r>
        <w:rPr>
          <w:rFonts w:hint="eastAsia" w:eastAsia="楷体_GB2312" w:cs="Times New Roman"/>
          <w:b/>
          <w:bCs/>
          <w:color w:val="auto"/>
          <w:spacing w:val="0"/>
          <w:kern w:val="44"/>
          <w:sz w:val="32"/>
          <w:szCs w:val="32"/>
          <w:highlight w:val="none"/>
          <w:lang w:val="en-US" w:eastAsia="zh-CN" w:bidi="ar-SA"/>
        </w:rPr>
        <w:t>的</w:t>
      </w:r>
      <w:r>
        <w:rPr>
          <w:rFonts w:hint="default" w:ascii="Times New Roman" w:hAnsi="Times New Roman" w:eastAsia="楷体_GB2312" w:cs="Times New Roman"/>
          <w:b/>
          <w:bCs/>
          <w:color w:val="auto"/>
          <w:spacing w:val="0"/>
          <w:kern w:val="44"/>
          <w:sz w:val="32"/>
          <w:szCs w:val="32"/>
          <w:highlight w:val="none"/>
          <w:lang w:val="en-US" w:eastAsia="zh-CN" w:bidi="ar-SA"/>
        </w:rPr>
        <w:t>建议（42号）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lang w:eastAsia="zh-CN"/>
        </w:rPr>
        <w:t>2023年7月，我县出台《濉溪县退役军人和其他优抚对象免费乘坐公共交通工具实施方案》，对持有《中华人民共和国退役军人优待证》《中华人民共和国烈士、因公牺牲军人、病故军人遗属优待证》持证人免费乘坐县本级范围内公交车（不包含执行阶梯票价的城乡公交）具体路线开设801、802、803、805、806、807共6趟路线覆盖本县城区域内主要道路。目前，我们正在积极与县交通运输局、财政局、恒瑞新能源汽车运营有限公司等部门沟通协调，争取在政策支持、资金保障等方面获得更多助力，共同推进优待政策落地深化。让退役军人享受到更实在、更广泛的优待。</w:t>
      </w:r>
      <w:r>
        <w:rPr>
          <w:rFonts w:hint="default" w:ascii="Times New Roman" w:hAnsi="Times New Roman" w:eastAsia="楷体_GB2312" w:cs="Times New Roman"/>
          <w:b/>
          <w:bCs/>
          <w:color w:val="auto"/>
          <w:spacing w:val="0"/>
          <w:kern w:val="44"/>
          <w:sz w:val="32"/>
          <w:szCs w:val="32"/>
          <w:highlight w:val="none"/>
          <w:lang w:val="en-US" w:eastAsia="zh-CN" w:bidi="ar-SA"/>
        </w:rPr>
        <w:t>（承办单位：县退役军人事务局）</w:t>
      </w:r>
    </w:p>
    <w:p w14:paraId="2A65238D">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关于加快推进农村老年活动中心建设的建议（43号）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eastAsia="zh-CN"/>
        </w:rPr>
        <w:t>一</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color w:val="auto"/>
          <w:spacing w:val="0"/>
          <w:sz w:val="32"/>
          <w:szCs w:val="32"/>
          <w:highlight w:val="none"/>
          <w:lang w:eastAsia="zh-CN"/>
        </w:rPr>
        <w:t>强化规划布局，推进站点建设</w:t>
      </w:r>
      <w:r>
        <w:rPr>
          <w:rFonts w:hint="eastAsia"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结合人口密度、老年人口分布等因素，在县城社区、行政村合理布局养老服务站（幸福院），优先在人口老龄化程度较高的区域建设站点，确保服务覆盖最大化。</w:t>
      </w:r>
      <w:r>
        <w:rPr>
          <w:rFonts w:hint="eastAsia" w:cs="Times New Roman"/>
          <w:color w:val="auto"/>
          <w:spacing w:val="0"/>
          <w:sz w:val="32"/>
          <w:szCs w:val="32"/>
          <w:highlight w:val="none"/>
          <w:lang w:eastAsia="zh-CN"/>
        </w:rPr>
        <w:t>指导各镇发挥</w:t>
      </w:r>
      <w:r>
        <w:rPr>
          <w:rFonts w:hint="default" w:ascii="Times New Roman" w:hAnsi="Times New Roman" w:eastAsia="仿宋_GB2312" w:cs="Times New Roman"/>
          <w:color w:val="auto"/>
          <w:spacing w:val="0"/>
          <w:sz w:val="32"/>
          <w:szCs w:val="32"/>
          <w:highlight w:val="none"/>
          <w:lang w:eastAsia="zh-CN"/>
        </w:rPr>
        <w:t>闲置学校、村委会办公楼、旧厂房等资源</w:t>
      </w:r>
      <w:r>
        <w:rPr>
          <w:rFonts w:hint="eastAsia" w:cs="Times New Roman"/>
          <w:color w:val="auto"/>
          <w:spacing w:val="0"/>
          <w:sz w:val="32"/>
          <w:szCs w:val="32"/>
          <w:highlight w:val="none"/>
          <w:lang w:eastAsia="zh-CN"/>
        </w:rPr>
        <w:t>作用，统筹财政资金保障，</w:t>
      </w:r>
      <w:r>
        <w:rPr>
          <w:rFonts w:hint="default" w:ascii="Times New Roman" w:hAnsi="Times New Roman" w:eastAsia="仿宋_GB2312" w:cs="Times New Roman"/>
          <w:color w:val="auto"/>
          <w:spacing w:val="0"/>
          <w:sz w:val="32"/>
          <w:szCs w:val="32"/>
          <w:highlight w:val="none"/>
          <w:lang w:eastAsia="zh-CN"/>
        </w:rPr>
        <w:t>改造</w:t>
      </w:r>
      <w:r>
        <w:rPr>
          <w:rFonts w:hint="eastAsia" w:cs="Times New Roman"/>
          <w:color w:val="auto"/>
          <w:spacing w:val="0"/>
          <w:sz w:val="32"/>
          <w:szCs w:val="32"/>
          <w:highlight w:val="none"/>
          <w:lang w:eastAsia="zh-CN"/>
        </w:rPr>
        <w:t>村级</w:t>
      </w:r>
      <w:r>
        <w:rPr>
          <w:rFonts w:hint="default" w:ascii="Times New Roman" w:hAnsi="Times New Roman" w:eastAsia="仿宋_GB2312" w:cs="Times New Roman"/>
          <w:color w:val="auto"/>
          <w:spacing w:val="0"/>
          <w:sz w:val="32"/>
          <w:szCs w:val="32"/>
          <w:highlight w:val="none"/>
          <w:lang w:eastAsia="zh-CN"/>
        </w:rPr>
        <w:t>养老服务站（幸福院）</w:t>
      </w:r>
      <w:r>
        <w:rPr>
          <w:rFonts w:hint="eastAsia" w:cs="Times New Roman"/>
          <w:color w:val="auto"/>
          <w:spacing w:val="0"/>
          <w:sz w:val="32"/>
          <w:szCs w:val="32"/>
          <w:highlight w:val="none"/>
          <w:lang w:eastAsia="zh-CN"/>
        </w:rPr>
        <w:t>等互助养老设施建设</w:t>
      </w:r>
      <w:r>
        <w:rPr>
          <w:rFonts w:hint="default" w:ascii="Times New Roman" w:hAnsi="Times New Roman" w:eastAsia="仿宋_GB2312" w:cs="Times New Roman"/>
          <w:color w:val="auto"/>
          <w:spacing w:val="0"/>
          <w:sz w:val="32"/>
          <w:szCs w:val="32"/>
          <w:highlight w:val="none"/>
          <w:lang w:eastAsia="zh-CN"/>
        </w:rPr>
        <w:t>，</w:t>
      </w:r>
      <w:r>
        <w:rPr>
          <w:rFonts w:hint="eastAsia" w:cs="Times New Roman"/>
          <w:color w:val="auto"/>
          <w:spacing w:val="0"/>
          <w:sz w:val="32"/>
          <w:szCs w:val="32"/>
          <w:highlight w:val="none"/>
          <w:lang w:eastAsia="zh-CN"/>
        </w:rPr>
        <w:t>让老年人活动有平台、有载体，</w:t>
      </w:r>
      <w:r>
        <w:rPr>
          <w:rFonts w:hint="default" w:ascii="Times New Roman" w:hAnsi="Times New Roman" w:eastAsia="仿宋_GB2312" w:cs="Times New Roman"/>
          <w:color w:val="auto"/>
          <w:spacing w:val="0"/>
          <w:sz w:val="32"/>
          <w:szCs w:val="32"/>
          <w:highlight w:val="none"/>
          <w:lang w:eastAsia="zh-CN"/>
        </w:rPr>
        <w:t>满足不同老年群体的需求。</w:t>
      </w:r>
      <w:r>
        <w:rPr>
          <w:rFonts w:hint="eastAsia" w:cs="Times New Roman"/>
          <w:color w:val="auto"/>
          <w:spacing w:val="0"/>
          <w:sz w:val="32"/>
          <w:szCs w:val="32"/>
          <w:highlight w:val="none"/>
          <w:lang w:eastAsia="zh-CN"/>
        </w:rPr>
        <w:t>目前</w:t>
      </w:r>
      <w:r>
        <w:rPr>
          <w:rFonts w:hint="default" w:ascii="Times New Roman" w:hAnsi="Times New Roman" w:eastAsia="仿宋_GB2312" w:cs="Times New Roman"/>
          <w:color w:val="auto"/>
          <w:spacing w:val="0"/>
          <w:kern w:val="2"/>
          <w:sz w:val="32"/>
          <w:szCs w:val="32"/>
          <w:highlight w:val="none"/>
          <w:lang w:val="en-US" w:eastAsia="zh-CN" w:bidi="ar-SA"/>
        </w:rPr>
        <w:t>全县建成三级养老服务中心</w:t>
      </w:r>
      <w:r>
        <w:rPr>
          <w:rFonts w:hint="eastAsia" w:cs="Times New Roman"/>
          <w:color w:val="auto"/>
          <w:spacing w:val="0"/>
          <w:kern w:val="2"/>
          <w:sz w:val="32"/>
          <w:szCs w:val="32"/>
          <w:highlight w:val="none"/>
          <w:lang w:val="en-US" w:eastAsia="zh-CN" w:bidi="ar-SA"/>
        </w:rPr>
        <w:t>156</w:t>
      </w:r>
      <w:r>
        <w:rPr>
          <w:rFonts w:hint="default" w:ascii="Times New Roman" w:hAnsi="Times New Roman" w:eastAsia="仿宋_GB2312" w:cs="Times New Roman"/>
          <w:color w:val="auto"/>
          <w:spacing w:val="0"/>
          <w:kern w:val="2"/>
          <w:sz w:val="32"/>
          <w:szCs w:val="32"/>
          <w:highlight w:val="none"/>
          <w:lang w:val="en-US" w:eastAsia="zh-CN" w:bidi="ar-SA"/>
        </w:rPr>
        <w:t>家，其中1个县级养老服务指导中心、12个镇级养老服务指导中心、26个城市社区养老服务中心和</w:t>
      </w:r>
      <w:r>
        <w:rPr>
          <w:rFonts w:hint="eastAsia" w:cs="Times New Roman"/>
          <w:color w:val="auto"/>
          <w:spacing w:val="0"/>
          <w:kern w:val="2"/>
          <w:sz w:val="32"/>
          <w:szCs w:val="32"/>
          <w:highlight w:val="none"/>
          <w:lang w:val="en-US" w:eastAsia="zh-CN" w:bidi="ar-SA"/>
        </w:rPr>
        <w:t>117</w:t>
      </w:r>
      <w:r>
        <w:rPr>
          <w:rFonts w:hint="default" w:ascii="Times New Roman" w:hAnsi="Times New Roman" w:eastAsia="仿宋_GB2312" w:cs="Times New Roman"/>
          <w:color w:val="auto"/>
          <w:spacing w:val="0"/>
          <w:kern w:val="2"/>
          <w:sz w:val="32"/>
          <w:szCs w:val="32"/>
          <w:highlight w:val="none"/>
          <w:lang w:val="en-US" w:eastAsia="zh-CN" w:bidi="ar-SA"/>
        </w:rPr>
        <w:t>个村级养老服务站（农村幸福院）</w:t>
      </w:r>
      <w:r>
        <w:rPr>
          <w:rFonts w:hint="eastAsia"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eastAsia="zh-CN"/>
        </w:rPr>
        <w:t>二</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color w:val="auto"/>
          <w:spacing w:val="0"/>
          <w:sz w:val="32"/>
          <w:szCs w:val="32"/>
          <w:highlight w:val="none"/>
          <w:lang w:eastAsia="zh-CN"/>
        </w:rPr>
        <w:t>完善服务功能，提升服务质量</w:t>
      </w:r>
      <w:r>
        <w:rPr>
          <w:rFonts w:hint="eastAsia" w:cs="Times New Roman"/>
          <w:color w:val="auto"/>
          <w:spacing w:val="0"/>
          <w:sz w:val="32"/>
          <w:szCs w:val="32"/>
          <w:highlight w:val="none"/>
          <w:lang w:eastAsia="zh-CN"/>
        </w:rPr>
        <w:t>。指导</w:t>
      </w:r>
      <w:r>
        <w:rPr>
          <w:rFonts w:hint="default" w:ascii="Times New Roman" w:hAnsi="Times New Roman" w:eastAsia="仿宋_GB2312" w:cs="Times New Roman"/>
          <w:color w:val="auto"/>
          <w:spacing w:val="0"/>
          <w:sz w:val="32"/>
          <w:szCs w:val="32"/>
          <w:highlight w:val="none"/>
          <w:lang w:eastAsia="zh-CN"/>
        </w:rPr>
        <w:t>养老服务站（幸福院）</w:t>
      </w:r>
      <w:r>
        <w:rPr>
          <w:rFonts w:hint="eastAsia" w:cs="Times New Roman"/>
          <w:color w:val="auto"/>
          <w:spacing w:val="0"/>
          <w:sz w:val="32"/>
          <w:szCs w:val="32"/>
          <w:highlight w:val="none"/>
          <w:lang w:eastAsia="zh-CN"/>
        </w:rPr>
        <w:t>根据老年人需求</w:t>
      </w:r>
      <w:r>
        <w:rPr>
          <w:rFonts w:hint="default" w:ascii="Times New Roman" w:hAnsi="Times New Roman" w:eastAsia="仿宋_GB2312" w:cs="Times New Roman"/>
          <w:color w:val="auto"/>
          <w:spacing w:val="0"/>
          <w:sz w:val="32"/>
          <w:szCs w:val="32"/>
          <w:highlight w:val="none"/>
          <w:lang w:eastAsia="zh-CN"/>
        </w:rPr>
        <w:t>配备休息室、娱乐室、健康咨询室等功能</w:t>
      </w:r>
      <w:r>
        <w:rPr>
          <w:rFonts w:hint="eastAsia" w:cs="Times New Roman"/>
          <w:color w:val="auto"/>
          <w:spacing w:val="0"/>
          <w:sz w:val="32"/>
          <w:szCs w:val="32"/>
          <w:highlight w:val="none"/>
          <w:lang w:eastAsia="zh-CN"/>
        </w:rPr>
        <w:t>区域</w:t>
      </w:r>
      <w:r>
        <w:rPr>
          <w:rFonts w:hint="default" w:ascii="Times New Roman" w:hAnsi="Times New Roman" w:eastAsia="仿宋_GB2312" w:cs="Times New Roman"/>
          <w:color w:val="auto"/>
          <w:spacing w:val="0"/>
          <w:sz w:val="32"/>
          <w:szCs w:val="32"/>
          <w:highlight w:val="none"/>
          <w:lang w:eastAsia="zh-CN"/>
        </w:rPr>
        <w:t>，提供日间照料、康复护理、文化娱乐等。推动养老服务站（幸福院）与镇卫生院、社区卫生服务中心、村卫生室签订合作协议，</w:t>
      </w:r>
      <w:r>
        <w:rPr>
          <w:rFonts w:hint="eastAsia" w:cs="Times New Roman"/>
          <w:color w:val="auto"/>
          <w:spacing w:val="0"/>
          <w:sz w:val="32"/>
          <w:szCs w:val="32"/>
          <w:highlight w:val="none"/>
          <w:lang w:eastAsia="zh-CN"/>
        </w:rPr>
        <w:t>依据条件</w:t>
      </w:r>
      <w:r>
        <w:rPr>
          <w:rFonts w:hint="default" w:ascii="Times New Roman" w:hAnsi="Times New Roman" w:eastAsia="仿宋_GB2312" w:cs="Times New Roman"/>
          <w:color w:val="auto"/>
          <w:spacing w:val="0"/>
          <w:sz w:val="32"/>
          <w:szCs w:val="32"/>
          <w:highlight w:val="none"/>
          <w:lang w:eastAsia="zh-CN"/>
        </w:rPr>
        <w:t>设立“医务室”或“健康小屋”，为老年人提供定期体检、慢病管理等服务。</w:t>
      </w:r>
      <w:r>
        <w:rPr>
          <w:rFonts w:hint="default" w:ascii="Times New Roman" w:hAnsi="Times New Roman" w:eastAsia="楷体_GB2312" w:cs="Times New Roman"/>
          <w:b/>
          <w:bCs/>
          <w:color w:val="auto"/>
          <w:spacing w:val="0"/>
          <w:kern w:val="44"/>
          <w:sz w:val="32"/>
          <w:szCs w:val="32"/>
          <w:highlight w:val="none"/>
          <w:lang w:val="en-US" w:eastAsia="zh-CN" w:bidi="ar-SA"/>
        </w:rPr>
        <w:t>（承办单位：县民政局）</w:t>
      </w:r>
    </w:p>
    <w:p w14:paraId="1CEB725B">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关于成立乡村产业振兴发展指导专班的建议（44号）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color w:val="000000"/>
          <w:spacing w:val="0"/>
          <w:sz w:val="32"/>
          <w:szCs w:val="32"/>
          <w:highlight w:val="none"/>
          <w:lang w:val="en-US" w:eastAsia="zh-CN"/>
        </w:rPr>
        <w:t>一</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color w:val="000000"/>
          <w:spacing w:val="0"/>
          <w:sz w:val="32"/>
          <w:szCs w:val="32"/>
          <w:highlight w:val="none"/>
          <w:lang w:eastAsia="zh-CN"/>
        </w:rPr>
        <w:t>加强组织领导，成立工作专班。协调全县乡村产业振兴工作，督促指导各镇（园区）和县直相关部门落实工作任务。</w:t>
      </w:r>
      <w:r>
        <w:rPr>
          <w:rFonts w:hint="default" w:ascii="Times New Roman" w:hAnsi="Times New Roman" w:eastAsia="仿宋_GB2312" w:cs="Times New Roman"/>
          <w:color w:val="000000"/>
          <w:spacing w:val="0"/>
          <w:sz w:val="32"/>
          <w:szCs w:val="32"/>
          <w:highlight w:val="none"/>
          <w:lang w:val="en-US" w:eastAsia="zh-CN"/>
        </w:rPr>
        <w:t>二</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color w:val="000000"/>
          <w:spacing w:val="0"/>
          <w:sz w:val="32"/>
          <w:szCs w:val="32"/>
          <w:highlight w:val="none"/>
          <w:lang w:eastAsia="zh-CN"/>
        </w:rPr>
        <w:t>优化产业结构，推动产业融合发展。积极落实中央、省级用于农业生产发展资金及农产品加工产地补助项目资金，支持农产品储藏、保鲜、烘干等初加工设施建设。已初步形成以鲁王、昊晨、旭源等企业为主的“粮头食尾”，以神华肉制品、华阳食品、</w:t>
      </w:r>
      <w:r>
        <w:rPr>
          <w:rFonts w:hint="eastAsia" w:cs="Times New Roman"/>
          <w:color w:val="000000"/>
          <w:spacing w:val="0"/>
          <w:sz w:val="32"/>
          <w:szCs w:val="32"/>
          <w:highlight w:val="none"/>
          <w:lang w:eastAsia="zh-CN"/>
        </w:rPr>
        <w:t>中安信</w:t>
      </w:r>
      <w:r>
        <w:rPr>
          <w:rFonts w:hint="default" w:ascii="Times New Roman" w:hAnsi="Times New Roman" w:eastAsia="仿宋_GB2312" w:cs="Times New Roman"/>
          <w:color w:val="000000"/>
          <w:spacing w:val="0"/>
          <w:sz w:val="32"/>
          <w:szCs w:val="32"/>
          <w:highlight w:val="none"/>
          <w:lang w:eastAsia="zh-CN"/>
        </w:rPr>
        <w:t>等企业为主的“畜头肉尾”，以牧原饲料、神华饲料、口子酒业等企业为主的“农头工尾”产业格局。已培育市级以上农业产业化龙头企业60家，其中国家级3家，省级20家，市级37家。</w:t>
      </w:r>
      <w:r>
        <w:rPr>
          <w:rFonts w:hint="default" w:ascii="Times New Roman" w:hAnsi="Times New Roman" w:eastAsia="仿宋_GB2312" w:cs="Times New Roman"/>
          <w:color w:val="000000"/>
          <w:spacing w:val="0"/>
          <w:sz w:val="32"/>
          <w:szCs w:val="32"/>
          <w:highlight w:val="none"/>
          <w:lang w:val="en-US" w:eastAsia="zh-CN"/>
        </w:rPr>
        <w:t>三</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color w:val="000000"/>
          <w:spacing w:val="0"/>
          <w:sz w:val="32"/>
          <w:szCs w:val="32"/>
          <w:highlight w:val="none"/>
          <w:lang w:eastAsia="zh-CN"/>
        </w:rPr>
        <w:t>发展特色农业和生态农业。培育特色农产品品种：铁佛西瓜、四铺菊花、孙疃马铃薯、刘桥黑小麦等特色种植产业规模逐渐扩大。</w:t>
      </w:r>
      <w:r>
        <w:rPr>
          <w:rFonts w:hint="default" w:ascii="Times New Roman" w:hAnsi="Times New Roman" w:eastAsia="楷体_GB2312" w:cs="Times New Roman"/>
          <w:b/>
          <w:bCs/>
          <w:color w:val="auto"/>
          <w:spacing w:val="0"/>
          <w:kern w:val="44"/>
          <w:sz w:val="32"/>
          <w:szCs w:val="32"/>
          <w:highlight w:val="none"/>
          <w:lang w:val="en-US" w:eastAsia="zh-CN" w:bidi="ar-SA"/>
        </w:rPr>
        <w:t>（承办单位：县农业农村局）</w:t>
      </w:r>
    </w:p>
    <w:p w14:paraId="28758664">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关于进一步优化营商环境，提振企业发展劲头的建议（45号）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cs="Times New Roman"/>
          <w:color w:val="000000"/>
          <w:spacing w:val="0"/>
          <w:kern w:val="2"/>
          <w:sz w:val="32"/>
          <w:szCs w:val="32"/>
          <w:highlight w:val="none"/>
          <w:lang w:val="en-US" w:eastAsia="zh-CN" w:bidi="ar-SA"/>
        </w:rPr>
        <w:t>一是探索建立营商环境体验机制。通过从不同行业、规模的企业中邀请代表参与体验活动，沉浸式感受政策落实、窗口服务、执法检查等环节，查找痛点堵点，形成反馈清单，推动问题解决和政策优化，不断提升政务服务标准化、规范化、便利化水平。二是集成多元化专业服务资源。强化政府引导，积极推动整合行政审批、金融、法律、人力资源、管理咨询等各类服务资源，探索建立高效协作的服务联盟。通过定期组织政策宣讲、融资对接、法律咨询、人才招聘等活动，为企业提供精准、专业的“组团式”服务，努力实现“需求精准对接、服务完整衔接”，切实提升企业的获得感和满意度。三是持续规范涉企检查行为。已在探索柔性监管新方式，并在一些新业态领域推行包容审慎监管，进行入企检查备案。下一步，深入研究规范入企检查行为的有效举措，在保障安全生产、环境保护等重大事项有效监管的前提下，着力减少多头执法、重复检查，努力为企业营造更加安宁、高效的生产经营环境，让企业能心无旁骛谋发展。</w:t>
      </w:r>
      <w:r>
        <w:rPr>
          <w:rFonts w:hint="default" w:ascii="Times New Roman" w:hAnsi="Times New Roman" w:eastAsia="楷体_GB2312" w:cs="Times New Roman"/>
          <w:b/>
          <w:bCs/>
          <w:color w:val="auto"/>
          <w:spacing w:val="0"/>
          <w:kern w:val="44"/>
          <w:sz w:val="32"/>
          <w:szCs w:val="32"/>
          <w:highlight w:val="none"/>
          <w:lang w:val="en-US" w:eastAsia="zh-CN" w:bidi="ar-SA"/>
        </w:rPr>
        <w:t>（承办单位：县政府办）</w:t>
      </w:r>
    </w:p>
    <w:p w14:paraId="46C58CAE">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关于加强农村地区流动党员管理的建议（46号）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color w:val="000000"/>
          <w:spacing w:val="0"/>
          <w:kern w:val="2"/>
          <w:sz w:val="32"/>
          <w:szCs w:val="32"/>
          <w:highlight w:val="none"/>
          <w:lang w:val="en-US" w:eastAsia="zh-CN" w:bidi="ar-SA"/>
        </w:rPr>
        <w:t>一</w:t>
      </w:r>
      <w:r>
        <w:rPr>
          <w:rFonts w:hint="eastAsia" w:cs="Times New Roman"/>
          <w:color w:val="auto"/>
          <w:spacing w:val="0"/>
          <w:sz w:val="32"/>
          <w:szCs w:val="32"/>
          <w:highlight w:val="none"/>
          <w:lang w:eastAsia="zh-CN"/>
        </w:rPr>
        <w:t>是</w:t>
      </w:r>
      <w:r>
        <w:rPr>
          <w:rFonts w:hint="eastAsia" w:cs="Times New Roman"/>
          <w:color w:val="000000"/>
          <w:spacing w:val="0"/>
          <w:kern w:val="2"/>
          <w:sz w:val="32"/>
          <w:szCs w:val="32"/>
          <w:highlight w:val="none"/>
          <w:lang w:val="en-US" w:eastAsia="zh-CN" w:bidi="ar-SA"/>
        </w:rPr>
        <w:t>关于完善动态管理机制的问题。县委组织部安排各镇对照流动党员定义范围，准确界定流动党员身份。采取入户访、电话访、微信访以及党员联系组织、组织联系党员、党员联系党员“三访三联”方式，建立《流动党员名册》，及时完善全国党员管理信息系统中流动党员基础信息，及时动态更新。并根据系统提示，督促流动党员及时报到，由流入地（单位）基层党组织将其纳入一个党支部，实现应报到尽报到。目前，我县党员管理信息系统内登记流出党员258人，纳入流入地党支部管理的255人，纳管率达98.84%。二</w:t>
      </w:r>
      <w:r>
        <w:rPr>
          <w:rFonts w:hint="eastAsia" w:cs="Times New Roman"/>
          <w:color w:val="auto"/>
          <w:spacing w:val="0"/>
          <w:sz w:val="32"/>
          <w:szCs w:val="32"/>
          <w:highlight w:val="none"/>
          <w:lang w:eastAsia="zh-CN"/>
        </w:rPr>
        <w:t>是</w:t>
      </w:r>
      <w:r>
        <w:rPr>
          <w:rFonts w:hint="eastAsia" w:cs="Times New Roman"/>
          <w:color w:val="000000"/>
          <w:spacing w:val="0"/>
          <w:kern w:val="2"/>
          <w:sz w:val="32"/>
          <w:szCs w:val="32"/>
          <w:highlight w:val="none"/>
          <w:lang w:val="en-US" w:eastAsia="zh-CN" w:bidi="ar-SA"/>
        </w:rPr>
        <w:t>关于规范组织关系转接的问题。推动组织关系应转尽转。提醒各镇摸排在流入地（单位）落户、购买或租赁住房稳定居住6个月以上的党员，或已签订6个月以上劳动（聘用）合同且工作相对稳定的党员，及时提醒转移其正式组织关系。通过微信公众号推送组织关系转接流程，督促各镇通过“三会一课”、主题党日等形式，向流动党员宣传组织关系转接的重要性和相关程序。截至目前，我县为927名流动党员办理组织关系转接。三</w:t>
      </w:r>
      <w:r>
        <w:rPr>
          <w:rFonts w:hint="eastAsia" w:cs="Times New Roman"/>
          <w:color w:val="auto"/>
          <w:spacing w:val="0"/>
          <w:sz w:val="32"/>
          <w:szCs w:val="32"/>
          <w:highlight w:val="none"/>
          <w:lang w:eastAsia="zh-CN"/>
        </w:rPr>
        <w:t>是</w:t>
      </w:r>
      <w:r>
        <w:rPr>
          <w:rFonts w:hint="eastAsia" w:cs="Times New Roman"/>
          <w:color w:val="000000"/>
          <w:spacing w:val="0"/>
          <w:kern w:val="2"/>
          <w:sz w:val="32"/>
          <w:szCs w:val="32"/>
          <w:highlight w:val="none"/>
          <w:lang w:val="en-US" w:eastAsia="zh-CN" w:bidi="ar-SA"/>
        </w:rPr>
        <w:t>关于丰富教育管理形式的问题。充分利用共产党员网、学习强国、微信公众号等媒介，定期推送政策法规、党务知识等学习内容，为流动党员寄送学习资源包200余份，确保流动党员学习“不断档”、思想“不掉队”。在“濉溪先锋号”推出〔流动不流学〕专栏，每月推送“六个一”学习参考清单，供流动党员开展学习。已在濉溪先锋号公众号推出专题学习分享2期，阅读人数400余人次。四</w:t>
      </w:r>
      <w:r>
        <w:rPr>
          <w:rFonts w:hint="eastAsia" w:cs="Times New Roman"/>
          <w:color w:val="auto"/>
          <w:spacing w:val="0"/>
          <w:sz w:val="32"/>
          <w:szCs w:val="32"/>
          <w:highlight w:val="none"/>
          <w:lang w:eastAsia="zh-CN"/>
        </w:rPr>
        <w:t>是</w:t>
      </w:r>
      <w:r>
        <w:rPr>
          <w:rFonts w:hint="eastAsia" w:cs="Times New Roman"/>
          <w:color w:val="000000"/>
          <w:spacing w:val="0"/>
          <w:kern w:val="2"/>
          <w:sz w:val="32"/>
          <w:szCs w:val="32"/>
          <w:highlight w:val="none"/>
          <w:lang w:val="en-US" w:eastAsia="zh-CN" w:bidi="ar-SA"/>
        </w:rPr>
        <w:t>关于搭建平台发挥作用的问题。依托全县在宁波、南京、常州等地打造的外出人员之家，推行“党组织+工会”模式，建立流动党员驿站，进一步强化在外流动党员与家乡的紧密联系，精心搭建合作平台，推动实现资源共享，促进人才、技术等要素在他乡与故乡之间的高效合理流动。</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（承办单位：县委组织部）</w:t>
      </w:r>
    </w:p>
    <w:p w14:paraId="3355F12E">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关于加强开展农村留守老人娱乐活动的建议（47号）</w:t>
      </w:r>
      <w:r>
        <w:rPr>
          <w:rFonts w:hint="eastAsia" w:eastAsia="楷体_GB2312" w:cs="Times New Roman"/>
          <w:b/>
          <w:bCs/>
          <w:color w:val="auto"/>
          <w:spacing w:val="0"/>
          <w:kern w:val="44"/>
          <w:sz w:val="32"/>
          <w:szCs w:val="32"/>
          <w:highlight w:val="none"/>
          <w:lang w:val="en-US" w:eastAsia="zh-CN" w:bidi="ar-SA"/>
        </w:rPr>
        <w:t>。</w:t>
      </w:r>
      <w:r>
        <w:rPr>
          <w:rFonts w:hint="eastAsia" w:cs="Times New Roman"/>
          <w:color w:val="auto"/>
          <w:spacing w:val="0"/>
          <w:kern w:val="2"/>
          <w:sz w:val="32"/>
          <w:szCs w:val="32"/>
          <w:highlight w:val="none"/>
          <w:lang w:val="en-US" w:eastAsia="zh-CN" w:bidi="ar-SA"/>
        </w:rPr>
        <w:t>一是</w:t>
      </w:r>
      <w:r>
        <w:rPr>
          <w:rFonts w:hint="default" w:ascii="Times New Roman" w:hAnsi="Times New Roman" w:eastAsia="仿宋_GB2312" w:cs="Times New Roman"/>
          <w:color w:val="auto"/>
          <w:spacing w:val="0"/>
          <w:kern w:val="2"/>
          <w:sz w:val="32"/>
          <w:szCs w:val="32"/>
          <w:highlight w:val="none"/>
          <w:lang w:val="en-US" w:eastAsia="zh-CN" w:bidi="ar-SA"/>
        </w:rPr>
        <w:t>优化财政保障供给，聚焦我县城乡养老服务短板，累计拨付高龄津贴及相关服务补贴2109余万元，推动建设13个农村幸福院、4个社区嵌入式养老服务综合体，努力构建“15分钟养老服务圈”，让老年人“就近就便”享有活动空间。</w:t>
      </w:r>
      <w:r>
        <w:rPr>
          <w:rFonts w:hint="eastAsia" w:cs="Times New Roman"/>
          <w:color w:val="auto"/>
          <w:spacing w:val="0"/>
          <w:kern w:val="2"/>
          <w:sz w:val="32"/>
          <w:szCs w:val="32"/>
          <w:highlight w:val="none"/>
          <w:lang w:val="en-US" w:eastAsia="zh-CN" w:bidi="ar-SA"/>
        </w:rPr>
        <w:t>二是</w:t>
      </w:r>
      <w:r>
        <w:rPr>
          <w:rFonts w:hint="default" w:ascii="Times New Roman" w:hAnsi="Times New Roman" w:eastAsia="仿宋_GB2312" w:cs="Times New Roman"/>
          <w:color w:val="auto"/>
          <w:spacing w:val="0"/>
          <w:kern w:val="2"/>
          <w:sz w:val="32"/>
          <w:szCs w:val="32"/>
          <w:highlight w:val="none"/>
          <w:lang w:val="en-US" w:eastAsia="zh-CN" w:bidi="ar-SA"/>
        </w:rPr>
        <w:t>指导各镇（园区）、养老机构</w:t>
      </w:r>
      <w:r>
        <w:rPr>
          <w:rFonts w:hint="eastAsia" w:cs="Times New Roman"/>
          <w:color w:val="auto"/>
          <w:spacing w:val="0"/>
          <w:kern w:val="2"/>
          <w:sz w:val="32"/>
          <w:szCs w:val="32"/>
          <w:highlight w:val="none"/>
          <w:lang w:val="en-US" w:eastAsia="zh-CN" w:bidi="ar-SA"/>
        </w:rPr>
        <w:t>挖掘</w:t>
      </w:r>
      <w:r>
        <w:rPr>
          <w:rFonts w:hint="default" w:ascii="Times New Roman" w:hAnsi="Times New Roman" w:eastAsia="仿宋_GB2312" w:cs="Times New Roman"/>
          <w:color w:val="auto"/>
          <w:spacing w:val="0"/>
          <w:kern w:val="2"/>
          <w:sz w:val="32"/>
          <w:szCs w:val="32"/>
          <w:highlight w:val="none"/>
          <w:lang w:val="en-US" w:eastAsia="zh-CN" w:bidi="ar-SA"/>
        </w:rPr>
        <w:t>阵地服务潜力，组织党员、青年志愿者提供服务，常态化开展棋牌、广场舞、健康讲座等适配老人的活动，丰富活动载体与内容供给，努力让老年活动场所“活”起来，让老年人“乐”起来。</w:t>
      </w:r>
      <w:r>
        <w:rPr>
          <w:rFonts w:hint="default" w:ascii="Times New Roman" w:hAnsi="Times New Roman" w:eastAsia="楷体_GB2312" w:cs="Times New Roman"/>
          <w:b/>
          <w:bCs/>
          <w:color w:val="auto"/>
          <w:spacing w:val="0"/>
          <w:kern w:val="44"/>
          <w:sz w:val="32"/>
          <w:szCs w:val="32"/>
          <w:highlight w:val="none"/>
          <w:lang w:val="en-US" w:eastAsia="zh-CN" w:bidi="ar-SA"/>
        </w:rPr>
        <w:t>（承办单位：县民政局）</w:t>
      </w:r>
    </w:p>
    <w:p w14:paraId="637D74B8">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关于农村偏远地区教育资源整合的建议（48号）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一</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spacing w:val="0"/>
          <w:kern w:val="2"/>
          <w:sz w:val="32"/>
          <w:szCs w:val="32"/>
          <w:highlight w:val="none"/>
          <w:lang w:val="en-US" w:eastAsia="zh-CN" w:bidi="ar-SA"/>
        </w:rPr>
        <w:t>科学规划布局，推进资源整合</w:t>
      </w:r>
      <w:r>
        <w:rPr>
          <w:rFonts w:hint="eastAsia" w:cs="Times New Roman"/>
          <w:spacing w:val="0"/>
          <w:kern w:val="2"/>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在临涣镇、百善镇等交通枢纽区域建成标准化寄宿制学校6所，辐射周边18个行政村，实现教育资源集约化利用。建立“一村一策”学生安置方案，确保撤并过程中学生就学零辍学、安全零事故。二</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spacing w:val="0"/>
          <w:kern w:val="2"/>
          <w:sz w:val="32"/>
          <w:szCs w:val="32"/>
          <w:highlight w:val="none"/>
          <w:lang w:val="en-US" w:eastAsia="zh-CN" w:bidi="ar-SA"/>
        </w:rPr>
        <w:t>强化配套保障，解决后顾之忧</w:t>
      </w:r>
      <w:r>
        <w:rPr>
          <w:rFonts w:hint="eastAsia" w:cs="Times New Roman"/>
          <w:spacing w:val="0"/>
          <w:kern w:val="2"/>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已投入专用校车122辆，覆盖全县所有镇（园区），建立校车安全管理平台，实时监控行车轨迹、车速及学生上下车情况，并联合公安、交通等部门定期开展安全检查，保障学生乘车安全。三</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spacing w:val="0"/>
          <w:kern w:val="2"/>
          <w:sz w:val="32"/>
          <w:szCs w:val="32"/>
          <w:highlight w:val="none"/>
          <w:lang w:val="en-US" w:eastAsia="zh-CN" w:bidi="ar-SA"/>
        </w:rPr>
        <w:t>加强师资建设，提升教学质量</w:t>
      </w:r>
      <w:r>
        <w:rPr>
          <w:rFonts w:hint="eastAsia" w:cs="Times New Roman"/>
          <w:spacing w:val="0"/>
          <w:kern w:val="2"/>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已完成105名中小学新任教师、公开引进高校优秀应历届毕业生和优秀教师、40名“定向培养乡村教师”及15名“三支一扶”方案制定、计划上报</w:t>
      </w:r>
      <w:r>
        <w:rPr>
          <w:rFonts w:hint="eastAsia" w:cs="Times New Roman"/>
          <w:spacing w:val="0"/>
          <w:kern w:val="2"/>
          <w:sz w:val="32"/>
          <w:szCs w:val="32"/>
          <w:highlight w:val="none"/>
          <w:lang w:val="en-US" w:eastAsia="zh-CN" w:bidi="ar-SA"/>
        </w:rPr>
        <w:t>、招考</w:t>
      </w:r>
      <w:r>
        <w:rPr>
          <w:rFonts w:hint="default" w:ascii="Times New Roman" w:hAnsi="Times New Roman" w:eastAsia="仿宋_GB2312" w:cs="Times New Roman"/>
          <w:spacing w:val="0"/>
          <w:kern w:val="2"/>
          <w:sz w:val="32"/>
          <w:szCs w:val="32"/>
          <w:highlight w:val="none"/>
          <w:lang w:val="en-US" w:eastAsia="zh-CN" w:bidi="ar-SA"/>
        </w:rPr>
        <w:t>等工作；继续实施“夕阳红”计划。组织开展中小学教师继续教育集中培训8000人，中小学教师远程全员培训7900</w:t>
      </w:r>
      <w:r>
        <w:rPr>
          <w:rFonts w:hint="eastAsia" w:cs="Times New Roman"/>
          <w:spacing w:val="0"/>
          <w:kern w:val="2"/>
          <w:sz w:val="32"/>
          <w:szCs w:val="32"/>
          <w:highlight w:val="none"/>
          <w:lang w:val="en-US" w:eastAsia="zh-CN" w:bidi="ar-SA"/>
        </w:rPr>
        <w:t>人</w:t>
      </w:r>
      <w:r>
        <w:rPr>
          <w:rFonts w:hint="default" w:ascii="Times New Roman" w:hAnsi="Times New Roman" w:eastAsia="仿宋_GB2312" w:cs="Times New Roman"/>
          <w:spacing w:val="0"/>
          <w:kern w:val="2"/>
          <w:sz w:val="32"/>
          <w:szCs w:val="32"/>
          <w:highlight w:val="none"/>
          <w:lang w:val="en-US" w:eastAsia="zh-CN" w:bidi="ar-SA"/>
        </w:rPr>
        <w:t>、音体美转岗培训950人、跨学科培训360人，组织参加淮北市小学科学、信息科技骨干教师的集中培训工作，参与教师200 人。完善激励机制。落实乡村教师生活补助政策。在职称评审中，教师在乡村连续任教男满30年女满25年且仍在乡村学校任教并符合高、中级教师资格申报条件的，或在乡村累计任教男满30年女满25年且距法定退休年龄不足5年的，如相应岗位无空缺的，可不占岗位结构比例，评聘相应教师职务。四</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spacing w:val="0"/>
          <w:kern w:val="2"/>
          <w:sz w:val="32"/>
          <w:szCs w:val="32"/>
          <w:highlight w:val="none"/>
          <w:lang w:val="en-US" w:eastAsia="zh-CN" w:bidi="ar-SA"/>
        </w:rPr>
        <w:t>规范资产处置，严防资源流失</w:t>
      </w:r>
      <w:r>
        <w:rPr>
          <w:rFonts w:hint="eastAsia" w:cs="Times New Roman"/>
          <w:spacing w:val="0"/>
          <w:kern w:val="2"/>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学校撤并后由辖区中心学校成立资产清算小组，对撤并学校资产进行全面盘点登记，建立“一物一档”台账。通过调拨、捐赠等方式，将课桌椅、图书等可移动教学设备补充到辖区薄弱学校。对闲置校舍等不动产，严格按照国有资产处置程序移交给当地村集体，壮大村级集体经济，实现资产效益最大化。</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60703A10">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关于充分落实五保老人享受养老政策的建议（49号）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eastAsia="zh-CN"/>
        </w:rPr>
        <w:t>一</w:t>
      </w:r>
      <w:r>
        <w:rPr>
          <w:rFonts w:hint="eastAsia" w:cs="Times New Roman"/>
          <w:color w:val="auto"/>
          <w:spacing w:val="0"/>
          <w:sz w:val="32"/>
          <w:szCs w:val="32"/>
          <w:highlight w:val="none"/>
          <w:lang w:eastAsia="zh-CN"/>
        </w:rPr>
        <w:t>是强化责任落实，县民政局推动</w:t>
      </w:r>
      <w:r>
        <w:rPr>
          <w:rFonts w:hint="default" w:ascii="Times New Roman" w:hAnsi="Times New Roman" w:eastAsia="仿宋_GB2312" w:cs="Times New Roman"/>
          <w:color w:val="auto"/>
          <w:spacing w:val="0"/>
          <w:sz w:val="32"/>
          <w:szCs w:val="32"/>
          <w:highlight w:val="none"/>
          <w:lang w:eastAsia="zh-CN"/>
        </w:rPr>
        <w:t>各镇（园区）与分散供养特困人员或其监护人、照料服务人签订三方委托照料服务协议，明确各方权利义务和相关职责，定期对照料服务人员开展考核评价。村（居）民委员会协助镇（园区）人民政府做好分散供养特困人员照料服务相关工作。二</w:t>
      </w:r>
      <w:r>
        <w:rPr>
          <w:rFonts w:hint="eastAsia" w:cs="Times New Roman"/>
          <w:color w:val="auto"/>
          <w:spacing w:val="0"/>
          <w:sz w:val="32"/>
          <w:szCs w:val="32"/>
          <w:highlight w:val="none"/>
          <w:lang w:eastAsia="zh-CN"/>
        </w:rPr>
        <w:t>是</w:t>
      </w:r>
      <w:r>
        <w:rPr>
          <w:rFonts w:hint="default" w:ascii="Times New Roman" w:hAnsi="Times New Roman" w:eastAsia="仿宋_GB2312" w:cs="Times New Roman"/>
          <w:color w:val="auto"/>
          <w:spacing w:val="0"/>
          <w:sz w:val="32"/>
          <w:szCs w:val="32"/>
          <w:highlight w:val="none"/>
          <w:lang w:eastAsia="zh-CN"/>
        </w:rPr>
        <w:t>加强宣传引导</w:t>
      </w:r>
      <w:r>
        <w:rPr>
          <w:rFonts w:hint="eastAsia"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组织镇（园区）对失能、半失能特困人员进行集中供养意愿摸排，对有集中供养意愿的特困人员积极联系入住养老机构。</w:t>
      </w:r>
      <w:r>
        <w:rPr>
          <w:rFonts w:hint="eastAsia" w:cs="Times New Roman"/>
          <w:color w:val="auto"/>
          <w:spacing w:val="0"/>
          <w:sz w:val="32"/>
          <w:szCs w:val="32"/>
          <w:highlight w:val="none"/>
          <w:lang w:eastAsia="zh-CN"/>
        </w:rPr>
        <w:t>引导</w:t>
      </w:r>
      <w:r>
        <w:rPr>
          <w:rFonts w:hint="default" w:ascii="Times New Roman" w:hAnsi="Times New Roman" w:eastAsia="仿宋_GB2312" w:cs="Times New Roman"/>
          <w:color w:val="auto"/>
          <w:spacing w:val="0"/>
          <w:sz w:val="32"/>
          <w:szCs w:val="32"/>
          <w:highlight w:val="none"/>
          <w:lang w:eastAsia="zh-CN"/>
        </w:rPr>
        <w:t>部分公办养老机构对特困人员开展走访，组织特困人员“试住”。积极推动养老服务机构转型升级为标准化农村区域性养老服务中心，将养老服务延伸至村级养老服务站和居家老年人，实现机构、村（社区）、居家联动机制</w:t>
      </w:r>
      <w:r>
        <w:rPr>
          <w:rFonts w:hint="eastAsia" w:cs="Times New Roman"/>
          <w:color w:val="auto"/>
          <w:spacing w:val="0"/>
          <w:sz w:val="32"/>
          <w:szCs w:val="32"/>
          <w:highlight w:val="none"/>
          <w:lang w:eastAsia="zh-CN"/>
        </w:rPr>
        <w:t>。支持</w:t>
      </w:r>
      <w:r>
        <w:rPr>
          <w:rFonts w:hint="default" w:ascii="Times New Roman" w:hAnsi="Times New Roman" w:eastAsia="仿宋_GB2312" w:cs="Times New Roman"/>
          <w:color w:val="auto"/>
          <w:spacing w:val="0"/>
          <w:sz w:val="32"/>
          <w:szCs w:val="32"/>
          <w:highlight w:val="none"/>
          <w:lang w:eastAsia="zh-CN"/>
        </w:rPr>
        <w:t>有资质的养老机构与附近的村级养老服务站对接开展服务，调动各类养老资源的综合利用。三</w:t>
      </w:r>
      <w:r>
        <w:rPr>
          <w:rFonts w:hint="eastAsia" w:cs="Times New Roman"/>
          <w:color w:val="auto"/>
          <w:spacing w:val="0"/>
          <w:sz w:val="32"/>
          <w:szCs w:val="32"/>
          <w:highlight w:val="none"/>
          <w:lang w:eastAsia="zh-CN"/>
        </w:rPr>
        <w:t>是优化</w:t>
      </w:r>
      <w:r>
        <w:rPr>
          <w:rFonts w:hint="default" w:ascii="Times New Roman" w:hAnsi="Times New Roman" w:eastAsia="仿宋_GB2312" w:cs="Times New Roman"/>
          <w:color w:val="auto"/>
          <w:spacing w:val="0"/>
          <w:sz w:val="32"/>
          <w:szCs w:val="32"/>
          <w:highlight w:val="none"/>
          <w:lang w:eastAsia="zh-CN"/>
        </w:rPr>
        <w:t>保障机制</w:t>
      </w:r>
      <w:r>
        <w:rPr>
          <w:rFonts w:hint="eastAsia" w:cs="Times New Roman"/>
          <w:color w:val="auto"/>
          <w:spacing w:val="0"/>
          <w:sz w:val="32"/>
          <w:szCs w:val="32"/>
          <w:highlight w:val="none"/>
          <w:lang w:eastAsia="zh-CN"/>
        </w:rPr>
        <w:t>，落实县民政局、</w:t>
      </w:r>
      <w:r>
        <w:rPr>
          <w:rFonts w:hint="default" w:ascii="Times New Roman" w:hAnsi="Times New Roman" w:eastAsia="仿宋_GB2312" w:cs="Times New Roman"/>
          <w:color w:val="auto"/>
          <w:spacing w:val="0"/>
          <w:sz w:val="32"/>
          <w:szCs w:val="32"/>
          <w:highlight w:val="none"/>
          <w:lang w:eastAsia="zh-CN"/>
        </w:rPr>
        <w:t>各镇（园区）定期探视巡访制度，</w:t>
      </w:r>
      <w:r>
        <w:rPr>
          <w:rFonts w:hint="eastAsia" w:cs="Times New Roman"/>
          <w:color w:val="auto"/>
          <w:spacing w:val="0"/>
          <w:sz w:val="32"/>
          <w:szCs w:val="32"/>
          <w:highlight w:val="none"/>
          <w:lang w:eastAsia="zh-CN"/>
        </w:rPr>
        <w:t>探索组织专业社工</w:t>
      </w:r>
      <w:r>
        <w:rPr>
          <w:rFonts w:hint="default" w:ascii="Times New Roman" w:hAnsi="Times New Roman" w:eastAsia="仿宋_GB2312" w:cs="Times New Roman"/>
          <w:color w:val="auto"/>
          <w:spacing w:val="0"/>
          <w:sz w:val="32"/>
          <w:szCs w:val="32"/>
          <w:highlight w:val="none"/>
          <w:lang w:eastAsia="zh-CN"/>
        </w:rPr>
        <w:t>机构对全县特困人员进行探访关爱服务，</w:t>
      </w:r>
      <w:r>
        <w:rPr>
          <w:rFonts w:hint="eastAsia" w:cs="Times New Roman"/>
          <w:color w:val="auto"/>
          <w:spacing w:val="0"/>
          <w:sz w:val="32"/>
          <w:szCs w:val="32"/>
          <w:highlight w:val="none"/>
          <w:lang w:val="en-US" w:eastAsia="zh-CN"/>
        </w:rPr>
        <w:t>关注</w:t>
      </w:r>
      <w:r>
        <w:rPr>
          <w:rFonts w:hint="default" w:ascii="Times New Roman" w:hAnsi="Times New Roman" w:eastAsia="仿宋_GB2312" w:cs="Times New Roman"/>
          <w:color w:val="auto"/>
          <w:spacing w:val="0"/>
          <w:sz w:val="32"/>
          <w:szCs w:val="32"/>
          <w:highlight w:val="none"/>
          <w:lang w:eastAsia="zh-CN"/>
        </w:rPr>
        <w:t>分散供养特困人员基本生活保障、居所安全和委托照料服务</w:t>
      </w:r>
      <w:r>
        <w:rPr>
          <w:rFonts w:hint="eastAsia" w:cs="Times New Roman"/>
          <w:color w:val="auto"/>
          <w:spacing w:val="0"/>
          <w:sz w:val="32"/>
          <w:szCs w:val="32"/>
          <w:highlight w:val="none"/>
          <w:lang w:eastAsia="zh-CN"/>
        </w:rPr>
        <w:t>质量</w:t>
      </w:r>
      <w:r>
        <w:rPr>
          <w:rFonts w:hint="default" w:ascii="Times New Roman" w:hAnsi="Times New Roman" w:eastAsia="仿宋_GB2312" w:cs="Times New Roman"/>
          <w:color w:val="auto"/>
          <w:spacing w:val="0"/>
          <w:sz w:val="32"/>
          <w:szCs w:val="32"/>
          <w:highlight w:val="none"/>
          <w:lang w:eastAsia="zh-CN"/>
        </w:rPr>
        <w:t>等工作。</w:t>
      </w:r>
      <w:r>
        <w:rPr>
          <w:rFonts w:hint="default" w:ascii="Times New Roman" w:hAnsi="Times New Roman" w:eastAsia="楷体_GB2312" w:cs="Times New Roman"/>
          <w:b/>
          <w:bCs/>
          <w:color w:val="auto"/>
          <w:spacing w:val="0"/>
          <w:kern w:val="44"/>
          <w:sz w:val="32"/>
          <w:szCs w:val="32"/>
          <w:highlight w:val="none"/>
          <w:lang w:val="en-US" w:eastAsia="zh-CN" w:bidi="ar-SA"/>
        </w:rPr>
        <w:t>（承办单位：县民政局）</w:t>
      </w:r>
    </w:p>
    <w:p w14:paraId="6BB53A45">
      <w:pPr>
        <w:pStyle w:val="7"/>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关于濉溪古城石板街沿街危房及空宅改造的建议（50号）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kern w:val="0"/>
          <w:sz w:val="32"/>
          <w:szCs w:val="32"/>
          <w:highlight w:val="none"/>
          <w:lang w:val="en-US" w:eastAsia="zh-CN" w:bidi="ar-SA"/>
        </w:rPr>
        <w:t>一、空宅及危房改造情况</w:t>
      </w:r>
      <w:r>
        <w:rPr>
          <w:rFonts w:hint="eastAsia" w:cs="Times New Roman"/>
          <w:spacing w:val="0"/>
          <w:kern w:val="0"/>
          <w:sz w:val="32"/>
          <w:szCs w:val="32"/>
          <w:highlight w:val="none"/>
          <w:lang w:val="en-US" w:eastAsia="zh-CN" w:bidi="ar-SA"/>
        </w:rPr>
        <w:t>。</w:t>
      </w:r>
      <w:r>
        <w:rPr>
          <w:rFonts w:hint="default" w:ascii="Times New Roman" w:hAnsi="Times New Roman" w:eastAsia="仿宋_GB2312" w:cs="Times New Roman"/>
          <w:spacing w:val="0"/>
          <w:kern w:val="0"/>
          <w:sz w:val="32"/>
          <w:szCs w:val="32"/>
          <w:highlight w:val="none"/>
          <w:lang w:val="en-US" w:eastAsia="zh-CN" w:bidi="ar-SA"/>
        </w:rPr>
        <w:t>石板街西侧现有2处危房和一片空宅。由于房屋产权复杂，房主内部意见难以统一，至今未能就改造修缮事宜达成共识，致使改造工作停滞。若危房房主或空宅房主后续有意愿重新启动修缮或建设工作，需严格遵循濉溪古城整体建筑风格，秉持“修旧如旧”的理念，确保修缮后的建筑与石板街历史风貌和谐统一</w:t>
      </w:r>
      <w:r>
        <w:rPr>
          <w:rFonts w:hint="eastAsia" w:cs="Times New Roman"/>
          <w:spacing w:val="0"/>
          <w:kern w:val="0"/>
          <w:sz w:val="32"/>
          <w:szCs w:val="32"/>
          <w:highlight w:val="none"/>
          <w:lang w:val="en-US" w:eastAsia="zh-CN" w:bidi="ar-SA"/>
        </w:rPr>
        <w:t>。</w:t>
      </w:r>
      <w:r>
        <w:rPr>
          <w:rFonts w:hint="default" w:ascii="Times New Roman" w:hAnsi="Times New Roman" w:eastAsia="仿宋_GB2312" w:cs="Times New Roman"/>
          <w:spacing w:val="0"/>
          <w:kern w:val="0"/>
          <w:sz w:val="32"/>
          <w:szCs w:val="32"/>
          <w:highlight w:val="none"/>
          <w:lang w:val="en-US" w:eastAsia="zh-CN" w:bidi="ar-SA"/>
        </w:rPr>
        <w:t>二、石板街修缮与文化提升</w:t>
      </w:r>
      <w:r>
        <w:rPr>
          <w:rFonts w:hint="eastAsia" w:cs="Times New Roman"/>
          <w:spacing w:val="0"/>
          <w:kern w:val="0"/>
          <w:sz w:val="32"/>
          <w:szCs w:val="32"/>
          <w:highlight w:val="none"/>
          <w:lang w:val="en-US" w:eastAsia="zh-CN" w:bidi="ar-SA"/>
        </w:rPr>
        <w:t>。</w:t>
      </w:r>
      <w:r>
        <w:rPr>
          <w:rFonts w:hint="default" w:ascii="Times New Roman" w:hAnsi="Times New Roman" w:eastAsia="仿宋_GB2312" w:cs="Times New Roman"/>
          <w:spacing w:val="0"/>
          <w:kern w:val="0"/>
          <w:sz w:val="32"/>
          <w:szCs w:val="32"/>
          <w:highlight w:val="none"/>
          <w:lang w:val="en-US" w:eastAsia="zh-CN" w:bidi="ar-SA"/>
        </w:rPr>
        <w:t>在石板街修缮始终秉持修旧如旧、严格遵守文物保护原则。同时，在街区公房招商方面，积极引入非遗项目，如壮馍制作、香包刺绣、剪纸艺术、泥塑工艺等，进一步丰富和提升街区的传统文化展示内涵。三、特色小店引进与网红打卡地打造</w:t>
      </w:r>
      <w:r>
        <w:rPr>
          <w:rFonts w:hint="eastAsia" w:cs="Times New Roman"/>
          <w:spacing w:val="0"/>
          <w:kern w:val="0"/>
          <w:sz w:val="32"/>
          <w:szCs w:val="32"/>
          <w:highlight w:val="none"/>
          <w:lang w:val="en-US" w:eastAsia="zh-CN" w:bidi="ar-SA"/>
        </w:rPr>
        <w:t>。</w:t>
      </w:r>
      <w:r>
        <w:rPr>
          <w:rFonts w:hint="default" w:ascii="Times New Roman" w:hAnsi="Times New Roman" w:eastAsia="仿宋_GB2312" w:cs="Times New Roman"/>
          <w:spacing w:val="0"/>
          <w:kern w:val="0"/>
          <w:sz w:val="32"/>
          <w:szCs w:val="32"/>
          <w:highlight w:val="none"/>
          <w:lang w:val="en-US" w:eastAsia="zh-CN" w:bidi="ar-SA"/>
        </w:rPr>
        <w:t>新引入张奶奶米酒汤圆、街西小院等庭院式特色小店。通过特色场景营造，全力打造网红打卡点，吸引年轻消费群体，为街区发展注入新活力。四、水街星聚城项目升级改造</w:t>
      </w:r>
      <w:r>
        <w:rPr>
          <w:rFonts w:hint="eastAsia" w:cs="Times New Roman"/>
          <w:spacing w:val="0"/>
          <w:kern w:val="0"/>
          <w:sz w:val="32"/>
          <w:szCs w:val="32"/>
          <w:highlight w:val="none"/>
          <w:lang w:val="en-US" w:eastAsia="zh-CN" w:bidi="ar-SA"/>
        </w:rPr>
        <w:t>。</w:t>
      </w:r>
      <w:r>
        <w:rPr>
          <w:rFonts w:hint="default" w:ascii="Times New Roman" w:hAnsi="Times New Roman" w:eastAsia="仿宋_GB2312" w:cs="Times New Roman"/>
          <w:spacing w:val="0"/>
          <w:kern w:val="0"/>
          <w:sz w:val="32"/>
          <w:szCs w:val="32"/>
          <w:highlight w:val="none"/>
          <w:lang w:val="en-US" w:eastAsia="zh-CN" w:bidi="ar-SA"/>
        </w:rPr>
        <w:t>水街引入星聚城项目，对区域进行全方位提升改造。旨在融合多元消费业态，构建集购物、休闲、娱乐为一体的消费模式，推动消费理念升级，满足市民及游客多样化消费需求。</w:t>
      </w:r>
      <w:r>
        <w:rPr>
          <w:rFonts w:hint="default" w:ascii="Times New Roman" w:hAnsi="Times New Roman" w:eastAsia="楷体_GB2312" w:cs="Times New Roman"/>
          <w:b/>
          <w:bCs/>
          <w:color w:val="auto"/>
          <w:spacing w:val="0"/>
          <w:kern w:val="44"/>
          <w:sz w:val="32"/>
          <w:szCs w:val="32"/>
          <w:highlight w:val="none"/>
          <w:lang w:val="en-US" w:eastAsia="zh-CN" w:bidi="ar-SA"/>
        </w:rPr>
        <w:t>（承办单位：县建投集团）</w:t>
      </w:r>
    </w:p>
    <w:p w14:paraId="3E1ECEBA">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关于加快产业人才引育，助力县域经济高质量发展的建议（51号）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color w:val="000000"/>
          <w:spacing w:val="0"/>
          <w:kern w:val="2"/>
          <w:sz w:val="32"/>
          <w:szCs w:val="32"/>
          <w:highlight w:val="none"/>
          <w:lang w:val="en-US" w:eastAsia="zh-CN" w:bidi="ar-SA"/>
        </w:rPr>
        <w:t>（一）</w:t>
      </w:r>
      <w:r>
        <w:rPr>
          <w:rFonts w:hint="default" w:ascii="Times New Roman" w:hAnsi="Times New Roman" w:eastAsia="仿宋_GB2312" w:cs="Times New Roman"/>
          <w:color w:val="000000"/>
          <w:spacing w:val="0"/>
          <w:kern w:val="2"/>
          <w:sz w:val="32"/>
          <w:szCs w:val="32"/>
          <w:highlight w:val="none"/>
          <w:lang w:val="en-US" w:eastAsia="zh-CN" w:bidi="ar-SA"/>
        </w:rPr>
        <w:t>关于县域人才供需结构性矛盾突出问题。一是强化需求精准对接。持续开展重点产业、龙头企业人才需求深度摸排，动态更新《濉溪县急需紧缺人才目录》，积极对接南京飞地孵化器及科创中心，提高引才靶向性。2025年，成功引进华东理工大学“凌昊教授”团队、北京科技大学“于浩教授”团队、华中科技大学“鄢文豪教授”团队等来濉围绕精细化工、铝基双极板等相关产业进行合作研究。二是激发企业主体作用。修订完善《濉溪县推进创新型县建设科技创新若干政策》，加大对研发投入、平台建设的奖补力度，持续开展企业科技创新“两清零”行动，引导企业转变“重使用、轻培养”观念；开展职业技能提升行动，缓解高技能人才短缺。持续完善人才梯度培育，建立“省市县”人才团队奖励培育机制，鼓励企业对接高校科研院所团队，联合开展技术攻关。三是深化产教融合、校企合作。积极搭建校地企合作平台，推动县内企业与中国矿大、华理工、合工大等省内外高校建立稳定合作关系，促进毕业生本地就业。积极对接华东理工大学、西安交通大学等国内知名高校，探索共建技术转移中心、孵化器等科技服务平台，不断扩大企业服务矩阵，助推科技成果加速来濉转化。挂牌成立京东电商产业学院，培养一批专型人才。探索引进7名高校“科技副总”、20余名“候鸟专家”等柔性引才模式，弥补本地高精尖科研资源不足。</w:t>
      </w:r>
      <w:r>
        <w:rPr>
          <w:rFonts w:hint="eastAsia" w:cs="Times New Roman"/>
          <w:color w:val="000000"/>
          <w:spacing w:val="0"/>
          <w:kern w:val="2"/>
          <w:sz w:val="32"/>
          <w:szCs w:val="32"/>
          <w:highlight w:val="none"/>
          <w:lang w:val="en-US" w:eastAsia="zh-CN" w:bidi="ar-SA"/>
        </w:rPr>
        <w:t>（二）</w:t>
      </w:r>
      <w:r>
        <w:rPr>
          <w:rFonts w:hint="default" w:ascii="Times New Roman" w:hAnsi="Times New Roman" w:eastAsia="仿宋_GB2312" w:cs="Times New Roman"/>
          <w:color w:val="000000"/>
          <w:spacing w:val="0"/>
          <w:kern w:val="2"/>
          <w:sz w:val="32"/>
          <w:szCs w:val="32"/>
          <w:highlight w:val="none"/>
          <w:lang w:val="en-US" w:eastAsia="zh-CN" w:bidi="ar-SA"/>
        </w:rPr>
        <w:t>关于招商与招才进展不均衡问题</w:t>
      </w:r>
      <w:r>
        <w:rPr>
          <w:rFonts w:hint="eastAsia" w:cs="Times New Roman"/>
          <w:color w:val="000000"/>
          <w:spacing w:val="0"/>
          <w:kern w:val="2"/>
          <w:sz w:val="32"/>
          <w:szCs w:val="32"/>
          <w:highlight w:val="none"/>
          <w:lang w:val="en-US" w:eastAsia="zh-CN" w:bidi="ar-SA"/>
        </w:rPr>
        <w:t>。</w:t>
      </w:r>
      <w:r>
        <w:rPr>
          <w:rFonts w:hint="default" w:ascii="Times New Roman" w:hAnsi="Times New Roman" w:eastAsia="仿宋_GB2312" w:cs="Times New Roman"/>
          <w:color w:val="000000"/>
          <w:spacing w:val="0"/>
          <w:kern w:val="2"/>
          <w:sz w:val="32"/>
          <w:szCs w:val="32"/>
          <w:highlight w:val="none"/>
          <w:lang w:val="en-US" w:eastAsia="zh-CN" w:bidi="ar-SA"/>
        </w:rPr>
        <w:t>一是强化政策联动。在招商引资项目评估和协议签订环节，同步考量项目的人才团队构成、技术含量和持续创新能力，将高层次人才及团队引进作为项目落地支持条件之一。对引进拥有核心技术团队的重大项目，给予“一事一议”倾斜支持。二是创新引才方式。创新搭建“濉溪之友”平台，成立23处“在外人才之家”，不断扩大“招商引智”朋友圈。探索实施“以才引才”路径，鼓励已落地的企业、项目引进核心研发团队。2025年，通过蒋传海、刘雁飞等一批濉溪籍在外人才牵线搭桥，促成华东理工大学与本地久江新能源等化工企业开展科技合作、举办寻“纺”濉溪 共“织”锦绣-2025淮海经济圈纺织产业推介会等，推动校企合作项目20余个。三是优化考核导向。完善“双招双引”工作评价体系，引导各招商主体重视人才要素导入，尤其是高新技术团队引进。</w:t>
      </w:r>
      <w:r>
        <w:rPr>
          <w:rFonts w:hint="eastAsia" w:cs="Times New Roman"/>
          <w:color w:val="000000"/>
          <w:spacing w:val="0"/>
          <w:kern w:val="2"/>
          <w:sz w:val="32"/>
          <w:szCs w:val="32"/>
          <w:highlight w:val="none"/>
          <w:lang w:val="en-US" w:eastAsia="zh-CN" w:bidi="ar-SA"/>
        </w:rPr>
        <w:t>（三）</w:t>
      </w:r>
      <w:r>
        <w:rPr>
          <w:rFonts w:hint="default" w:ascii="Times New Roman" w:hAnsi="Times New Roman" w:eastAsia="仿宋_GB2312" w:cs="Times New Roman"/>
          <w:color w:val="000000"/>
          <w:spacing w:val="0"/>
          <w:kern w:val="2"/>
          <w:sz w:val="32"/>
          <w:szCs w:val="32"/>
          <w:highlight w:val="none"/>
          <w:lang w:val="en-US" w:eastAsia="zh-CN" w:bidi="ar-SA"/>
        </w:rPr>
        <w:t>关于平台载体有待扩量提质问题。一是梯次培育科创平台。重点支持铝基新材料、高端装备制造等主导产业领域企业建设省级以上工程（技术）研究中心、企业技术中心、重点实验室等，支持企业申报设立博士后科研工作站、院士工作站等，及时兑现相关奖补政策。二是打造高水平人才集聚平台。高标准规划建设中德产业园、双创孵化园，集成政策、资金、服务等资源，吸引高水平研发机构、创新团队入驻。2025年，安徽力幕新材料科技有限公司牵头组建的“安徽省铝基新材料特色产业创新研究院”成为淮北市首家也是唯一一家获批立项的“特色产研院”。濉溪水稻科技小院入选国家级科技小院。三是壮大人力资源服务业。制定专项扶持政策，引进和培育一批专业化、高端化人力资源服务机构，深度参与高层次、急需紧缺人才寻访引进工作，充分发挥市场在人才资源配置中的决定性作用。2025年，我县精准引进省级科技中介服务机构（淮北源溪科技服务有限公司），为企业提供精细化指导服务，链接高水平研发平台资源。</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（承办单位：县委组织部）</w:t>
      </w:r>
    </w:p>
    <w:p w14:paraId="321A1121">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关于成立南坪镇镇级“青年之家”的建议（52号）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spacing w:val="0"/>
          <w:sz w:val="32"/>
          <w:szCs w:val="32"/>
          <w:highlight w:val="none"/>
          <w:lang w:val="en-US" w:eastAsia="zh-CN"/>
        </w:rPr>
        <w:t>一是</w:t>
      </w:r>
      <w:r>
        <w:rPr>
          <w:rFonts w:hint="default" w:ascii="Times New Roman" w:hAnsi="Times New Roman" w:eastAsia="仿宋_GB2312" w:cs="Times New Roman"/>
          <w:spacing w:val="0"/>
          <w:sz w:val="32"/>
          <w:szCs w:val="32"/>
          <w:highlight w:val="none"/>
          <w:lang w:val="en-US" w:eastAsia="zh-CN"/>
        </w:rPr>
        <w:t>阵地选址与建设有序推进。在团县委与南坪镇党委、政府多次沟通协调下，已确定将镇政府北四楼约30平方米场地作为“青年之家”实体阵地。</w:t>
      </w:r>
      <w:r>
        <w:rPr>
          <w:rFonts w:hint="eastAsia" w:cs="Times New Roman"/>
          <w:spacing w:val="0"/>
          <w:sz w:val="32"/>
          <w:szCs w:val="32"/>
          <w:highlight w:val="none"/>
          <w:lang w:val="en-US" w:eastAsia="zh-CN"/>
        </w:rPr>
        <w:t>二是</w:t>
      </w:r>
      <w:r>
        <w:rPr>
          <w:rFonts w:hint="default" w:ascii="Times New Roman" w:hAnsi="Times New Roman" w:eastAsia="仿宋_GB2312" w:cs="Times New Roman"/>
          <w:spacing w:val="0"/>
          <w:sz w:val="32"/>
          <w:szCs w:val="32"/>
          <w:highlight w:val="none"/>
          <w:lang w:val="en-US" w:eastAsia="zh-CN"/>
        </w:rPr>
        <w:t>资源整合机制初步建立。由南坪镇团委具体负责，在团县委统筹协调下，联动镇组织部、党政办等相关部门，并积极链接属地学校、企业及社会组织等多方资源，着力构建“政府主导、部门协同、社会支持、青年参与”的综合服务模式，旨在为辖区青年提供更精准、更丰富的服务供给。</w:t>
      </w:r>
      <w:r>
        <w:rPr>
          <w:rFonts w:hint="eastAsia" w:cs="Times New Roman"/>
          <w:spacing w:val="0"/>
          <w:sz w:val="32"/>
          <w:szCs w:val="32"/>
          <w:highlight w:val="none"/>
          <w:lang w:val="en-US" w:eastAsia="zh-CN"/>
        </w:rPr>
        <w:t>三是</w:t>
      </w:r>
      <w:r>
        <w:rPr>
          <w:rFonts w:hint="default" w:ascii="Times New Roman" w:hAnsi="Times New Roman" w:eastAsia="仿宋_GB2312" w:cs="Times New Roman"/>
          <w:spacing w:val="0"/>
          <w:sz w:val="32"/>
          <w:szCs w:val="32"/>
          <w:highlight w:val="none"/>
          <w:lang w:val="en-US" w:eastAsia="zh-CN"/>
        </w:rPr>
        <w:t>常态化活动体系着手构建。常态化开展涵盖职业技能提升培训、青年读书分享沙龙、公益志愿服务项目、乡村振兴实践体验等系列主题活动，确保“青年之家”建成后能够立即启动、常态运转、持续活跃。</w:t>
      </w:r>
      <w:r>
        <w:rPr>
          <w:rFonts w:hint="default" w:ascii="Times New Roman" w:hAnsi="Times New Roman" w:eastAsia="楷体_GB2312" w:cs="Times New Roman"/>
          <w:b/>
          <w:bCs/>
          <w:color w:val="auto"/>
          <w:spacing w:val="0"/>
          <w:kern w:val="44"/>
          <w:sz w:val="32"/>
          <w:szCs w:val="32"/>
          <w:highlight w:val="none"/>
          <w:lang w:val="en-US" w:eastAsia="zh-CN" w:bidi="ar-SA"/>
        </w:rPr>
        <w:t>（承办单位：</w:t>
      </w:r>
      <w:r>
        <w:rPr>
          <w:rFonts w:hint="eastAsia" w:eastAsia="楷体_GB2312" w:cs="Times New Roman"/>
          <w:b/>
          <w:bCs/>
          <w:color w:val="auto"/>
          <w:spacing w:val="0"/>
          <w:kern w:val="44"/>
          <w:sz w:val="32"/>
          <w:szCs w:val="32"/>
          <w:highlight w:val="none"/>
          <w:lang w:val="en-US" w:eastAsia="zh-CN" w:bidi="ar-SA"/>
        </w:rPr>
        <w:t>团县委</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4120C653">
      <w:pPr>
        <w:keepNext w:val="0"/>
        <w:keepLines w:val="0"/>
        <w:pageBreakBefore w:val="0"/>
        <w:widowControl w:val="0"/>
        <w:shd w:val="clear"/>
        <w:kinsoku/>
        <w:wordWrap/>
        <w:overflowPunct/>
        <w:topLinePunct w:val="0"/>
        <w:autoSpaceDE/>
        <w:autoSpaceDN/>
        <w:bidi w:val="0"/>
        <w:adjustRightInd/>
        <w:snapToGrid/>
        <w:spacing w:beforeAutospacing="0" w:line="54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关于对S306省道南坪镇范围内连接线升级改造的建议（53号）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lang w:val="en-US" w:eastAsia="zh-CN"/>
        </w:rPr>
        <w:t>目前已谋划的省道S305，从S306直通G3宿州南出口路段，待时机成熟即可投入建设。已向市级交通主管部门汇报，积极推进此项工作，切实改善南坪镇交通条件，服务地方经济社会发展。</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5E6BA89A">
      <w:pPr>
        <w:keepNext w:val="0"/>
        <w:keepLines w:val="0"/>
        <w:pageBreakBefore w:val="0"/>
        <w:widowControl w:val="0"/>
        <w:shd w:val="clear"/>
        <w:kinsoku/>
        <w:wordWrap/>
        <w:overflowPunct/>
        <w:topLinePunct w:val="0"/>
        <w:autoSpaceDE/>
        <w:autoSpaceDN/>
        <w:bidi w:val="0"/>
        <w:adjustRightInd/>
        <w:snapToGrid/>
        <w:spacing w:beforeAutospacing="0" w:line="54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关于对全县基层医疗机构引进先进医疗设备</w:t>
      </w:r>
      <w:r>
        <w:rPr>
          <w:rFonts w:hint="eastAsia" w:eastAsia="楷体_GB2312" w:cs="Times New Roman"/>
          <w:b/>
          <w:bCs/>
          <w:color w:val="auto"/>
          <w:spacing w:val="0"/>
          <w:kern w:val="44"/>
          <w:sz w:val="32"/>
          <w:szCs w:val="32"/>
          <w:highlight w:val="none"/>
          <w:lang w:val="en-US" w:eastAsia="zh-CN" w:bidi="ar-SA"/>
        </w:rPr>
        <w:t>的</w:t>
      </w:r>
      <w:r>
        <w:rPr>
          <w:rFonts w:hint="default" w:ascii="Times New Roman" w:hAnsi="Times New Roman" w:eastAsia="楷体_GB2312" w:cs="Times New Roman"/>
          <w:b/>
          <w:bCs/>
          <w:color w:val="auto"/>
          <w:spacing w:val="0"/>
          <w:kern w:val="44"/>
          <w:sz w:val="32"/>
          <w:szCs w:val="32"/>
          <w:highlight w:val="none"/>
          <w:lang w:val="en-US" w:eastAsia="zh-CN" w:bidi="ar-SA"/>
        </w:rPr>
        <w:t>建议（54号）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b w:val="0"/>
          <w:bCs w:val="0"/>
          <w:spacing w:val="0"/>
          <w:kern w:val="2"/>
          <w:sz w:val="32"/>
          <w:szCs w:val="32"/>
          <w:highlight w:val="none"/>
          <w:lang w:val="en-US" w:eastAsia="zh-CN" w:bidi="ar-SA"/>
        </w:rPr>
        <w:t>2017以来，根据人口密度、急救资源、服务半径、地理位置等因素，按照“一个中心、两个分中心、十四个急救站”模式组建三级急救网络。目前共有急救人员274人，其中医生、护士214人，驾驶员60人。急救网络车32辆（负压车8辆），每天值班急救车21辆，急救车全部配备了车载系统、5G网络视频终端、平板电脑、对讲机以及基本医疗设备、基本药物等。建立了15分钟急救圈，县域内伤病员转运全部免费。2023年以来，急救车呼叫满足率始终在99%以上，从运行情况看基本能够满足急救服务需求。2025年以来已向安徽省卫健委申请设备更新72台，其中包括影像诊断设备。</w:t>
      </w:r>
      <w:r>
        <w:rPr>
          <w:rFonts w:hint="default" w:ascii="Times New Roman" w:hAnsi="Times New Roman" w:eastAsia="楷体_GB2312" w:cs="Times New Roman"/>
          <w:b/>
          <w:bCs/>
          <w:color w:val="auto"/>
          <w:spacing w:val="0"/>
          <w:kern w:val="44"/>
          <w:sz w:val="32"/>
          <w:szCs w:val="32"/>
          <w:highlight w:val="none"/>
          <w:lang w:val="en-US" w:eastAsia="zh-CN" w:bidi="ar-SA"/>
        </w:rPr>
        <w:t>（承办单位：县卫健委）</w:t>
      </w:r>
    </w:p>
    <w:p w14:paraId="320252F5">
      <w:pPr>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关于国土三调工作的建议（55号）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关于规划受阻、不利于农业生产的问题，</w:t>
      </w:r>
      <w:r>
        <w:rPr>
          <w:rFonts w:hint="eastAsia" w:cs="Times New Roman"/>
          <w:b w:val="0"/>
          <w:bCs w:val="0"/>
          <w:spacing w:val="0"/>
          <w:kern w:val="2"/>
          <w:sz w:val="32"/>
          <w:szCs w:val="32"/>
          <w:highlight w:val="none"/>
          <w:lang w:val="en-US" w:eastAsia="zh-CN" w:bidi="ar-SA"/>
        </w:rPr>
        <w:t>正在</w:t>
      </w:r>
      <w:r>
        <w:rPr>
          <w:rFonts w:hint="default" w:ascii="Times New Roman" w:hAnsi="Times New Roman" w:eastAsia="仿宋_GB2312" w:cs="Times New Roman"/>
          <w:b w:val="0"/>
          <w:bCs w:val="0"/>
          <w:spacing w:val="0"/>
          <w:kern w:val="2"/>
          <w:sz w:val="32"/>
          <w:szCs w:val="32"/>
          <w:highlight w:val="none"/>
          <w:lang w:val="en-US" w:eastAsia="zh-CN" w:bidi="ar-SA"/>
        </w:rPr>
        <w:t>修复中。2021年来，濉溪县共计完成194个行政村及3个农场的村庄规划编制工作。村庄规划编制作为新一轮国土空间规划五级三类体系下城镇开发边界线外的法定性详细规划，既是开展国土空间开发保护活动、实施国土空间用途管制、核发乡村建设项目规划许可、进行各项建设等的法定依据，又是支持乡村振兴的基础性工作。2023年12月4日，在濉溪县城乡规划委员会第71次主任会议上，县自然资源和规划局做了关于推进濉溪县村庄规划工作推进进度的汇报。各镇党委政府负责组织编制辖区村庄规划，县自然资源和规划局、县农业农村局等县直部门为村庄规划编制提供技术指导，村庄规划编制成果涵盖国土空间管控、公共配套设施及公共服务设施、建筑风貌引领、人居环境整治、农村产业发展规划、村庄近期建设项目明细等内容。以规划推进乡村振兴及农业生产。目前，正在开展相关工作，已于4月向濉溪县人民政府提交开展2025年度国土变更调查工作的申请，县政府已批准同意目前正在实施招标工作。将依托专业调查技术单位，对国家下发高清影像图斑及实地现状自提举证图斑进行核查，对调查误判及与现状地类不符图斑进行修正。另外将积极与交通、农业部门进行协调沟通，其道路等项目建设用地有合法权属来源，如有土地征收、农用地转用等用地批复或者建设用地使用证等合法性证明的，在季度变更调查时将及时按建设用地地类认定地类。如建设项目用地无合法来源，按建设占用时国土（土地）变更调查的现状实际地类认定地类。对因新建、改建或其他原因导致土地用途发生变化的地块，将以季度变更调查为依托年度变更调查为基础，及时进行现场核实及修正。</w:t>
      </w:r>
      <w:r>
        <w:rPr>
          <w:rFonts w:hint="default" w:ascii="Times New Roman" w:hAnsi="Times New Roman" w:eastAsia="楷体_GB2312" w:cs="Times New Roman"/>
          <w:b/>
          <w:bCs/>
          <w:color w:val="auto"/>
          <w:spacing w:val="0"/>
          <w:kern w:val="44"/>
          <w:sz w:val="32"/>
          <w:szCs w:val="32"/>
          <w:highlight w:val="none"/>
          <w:lang w:val="en-US" w:eastAsia="zh-CN" w:bidi="ar-SA"/>
        </w:rPr>
        <w:t>（承办单位：县自然资源和规划局）</w:t>
      </w:r>
    </w:p>
    <w:p w14:paraId="4203C3A9">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关于加强农村饮用水安全工作的建议（56号）</w:t>
      </w:r>
      <w:r>
        <w:rPr>
          <w:rFonts w:hint="eastAsia" w:eastAsia="楷体_GB2312" w:cs="Times New Roman"/>
          <w:b/>
          <w:bCs/>
          <w:color w:val="auto"/>
          <w:spacing w:val="0"/>
          <w:kern w:val="44"/>
          <w:sz w:val="32"/>
          <w:szCs w:val="32"/>
          <w:highlight w:val="none"/>
          <w:lang w:val="en-US" w:eastAsia="zh-CN" w:bidi="ar-SA"/>
        </w:rPr>
        <w:t>。</w:t>
      </w:r>
      <w:r>
        <w:rPr>
          <w:rFonts w:hint="eastAsia" w:cs="Times New Roman"/>
          <w:spacing w:val="0"/>
          <w:sz w:val="32"/>
          <w:szCs w:val="32"/>
          <w:highlight w:val="none"/>
          <w:lang w:val="en-US" w:eastAsia="zh-CN"/>
        </w:rPr>
        <w:t>一是</w:t>
      </w:r>
      <w:r>
        <w:rPr>
          <w:rFonts w:hint="default" w:ascii="Times New Roman" w:hAnsi="Times New Roman" w:eastAsia="仿宋_GB2312" w:cs="Times New Roman"/>
          <w:spacing w:val="0"/>
          <w:kern w:val="2"/>
          <w:sz w:val="32"/>
          <w:szCs w:val="32"/>
          <w:highlight w:val="none"/>
          <w:lang w:val="en-US" w:eastAsia="zh-CN"/>
        </w:rPr>
        <w:t>优化供水管网改造。加大供水片区管网巡线力度并对现有供水小口径管网进行评估，发现漏损点及时维修减少片区内管网出现跑冒滴漏现象所导致的大面积停水、供水压力低等问题。</w:t>
      </w:r>
      <w:r>
        <w:rPr>
          <w:rFonts w:hint="eastAsia" w:cs="Times New Roman"/>
          <w:spacing w:val="0"/>
          <w:sz w:val="32"/>
          <w:szCs w:val="32"/>
          <w:highlight w:val="none"/>
          <w:lang w:val="en-US" w:eastAsia="zh-CN"/>
        </w:rPr>
        <w:t>二是</w:t>
      </w:r>
      <w:r>
        <w:rPr>
          <w:rFonts w:hint="default" w:ascii="Times New Roman" w:hAnsi="Times New Roman" w:eastAsia="仿宋_GB2312" w:cs="Times New Roman"/>
          <w:spacing w:val="0"/>
          <w:kern w:val="2"/>
          <w:sz w:val="32"/>
          <w:szCs w:val="32"/>
          <w:highlight w:val="none"/>
          <w:lang w:val="en-US" w:eastAsia="zh-CN"/>
        </w:rPr>
        <w:t>优化水资源合理调配。要求对供水片区用水情况进行数据统计，制定合理的供水调配及压力调整方案，对周围规模水厂水泵机电设备进行排查,减少蓄水时间，做到“有水即供”，合理调配供水时间。并对用水量大的片区协调多路管网补水供水，积极保障用户正常生活时间段用水。</w:t>
      </w:r>
      <w:r>
        <w:rPr>
          <w:rFonts w:hint="eastAsia" w:cs="Times New Roman"/>
          <w:spacing w:val="0"/>
          <w:sz w:val="32"/>
          <w:szCs w:val="32"/>
          <w:highlight w:val="none"/>
          <w:lang w:val="en-US" w:eastAsia="zh-CN"/>
        </w:rPr>
        <w:t>三是</w:t>
      </w:r>
      <w:r>
        <w:rPr>
          <w:rFonts w:hint="default" w:ascii="Times New Roman" w:hAnsi="Times New Roman" w:eastAsia="仿宋_GB2312" w:cs="Times New Roman"/>
          <w:spacing w:val="0"/>
          <w:kern w:val="2"/>
          <w:sz w:val="32"/>
          <w:szCs w:val="32"/>
          <w:highlight w:val="none"/>
          <w:lang w:val="en-US" w:eastAsia="zh-CN"/>
        </w:rPr>
        <w:t>优化用水节水措施。要求客服部人员在各乡镇加强用户用水、节水宣传，防止用户在用水高峰期私接、乱接供水管网。并对供水服务片区内的企业单位进行用水技术指导，减少水资源的浪费。</w:t>
      </w:r>
      <w:r>
        <w:rPr>
          <w:rFonts w:hint="eastAsia" w:cs="Times New Roman"/>
          <w:spacing w:val="0"/>
          <w:sz w:val="32"/>
          <w:szCs w:val="32"/>
          <w:highlight w:val="none"/>
          <w:lang w:val="en-US" w:eastAsia="zh-CN"/>
        </w:rPr>
        <w:t>四是</w:t>
      </w:r>
      <w:r>
        <w:rPr>
          <w:rFonts w:hint="default" w:ascii="Times New Roman" w:hAnsi="Times New Roman" w:eastAsia="仿宋_GB2312" w:cs="Times New Roman"/>
          <w:spacing w:val="0"/>
          <w:kern w:val="2"/>
          <w:sz w:val="32"/>
          <w:szCs w:val="32"/>
          <w:highlight w:val="none"/>
          <w:lang w:val="en-US" w:eastAsia="zh-CN"/>
        </w:rPr>
        <w:t>保障用户热线平台畅通。积极对接县水务局与各镇村级单位，建立供水问题反馈平台，建立长效管理机制，形成对用户反映供水问题及反馈的闭环，并定期对整改方案实施情况进行评估和监督，确保供水问题不断得到解决和改善</w:t>
      </w:r>
      <w:r>
        <w:rPr>
          <w:rFonts w:hint="eastAsia" w:cs="Times New Roman"/>
          <w:spacing w:val="0"/>
          <w:kern w:val="2"/>
          <w:sz w:val="32"/>
          <w:szCs w:val="32"/>
          <w:highlight w:val="none"/>
          <w:lang w:val="en-US" w:eastAsia="zh-CN"/>
        </w:rPr>
        <w:t>。</w:t>
      </w:r>
      <w:r>
        <w:rPr>
          <w:rFonts w:hint="eastAsia" w:cs="Times New Roman"/>
          <w:spacing w:val="0"/>
          <w:sz w:val="32"/>
          <w:szCs w:val="32"/>
          <w:highlight w:val="none"/>
          <w:lang w:val="en-US" w:eastAsia="zh-CN"/>
        </w:rPr>
        <w:t>五是</w:t>
      </w:r>
      <w:r>
        <w:rPr>
          <w:rFonts w:hint="default" w:ascii="Times New Roman" w:hAnsi="Times New Roman" w:eastAsia="仿宋_GB2312" w:cs="Times New Roman"/>
          <w:spacing w:val="0"/>
          <w:kern w:val="2"/>
          <w:sz w:val="32"/>
          <w:szCs w:val="32"/>
          <w:highlight w:val="none"/>
          <w:lang w:val="en-US" w:eastAsia="zh-CN"/>
        </w:rPr>
        <w:t>保民生保企业。对目前供水不足的企业，公司积极协调各个临近的规模水厂，使用紧急储备水源运至各个企业保障企业生产。</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（承办单位：县交投公司）</w:t>
      </w:r>
    </w:p>
    <w:p w14:paraId="64C48500">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关于加强再生水资源配置，推进再生水资源循环利用的建议（57号）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cs="Times New Roman"/>
          <w:color w:val="000000"/>
          <w:spacing w:val="0"/>
          <w:sz w:val="32"/>
          <w:szCs w:val="32"/>
          <w:highlight w:val="none"/>
          <w:lang w:val="en-US" w:eastAsia="zh-CN"/>
        </w:rPr>
        <w:t>濉溪县污水处理厂处理中水规模2.8万吨/日，处理后的中水于2024年5月开始作为濉溪县道路喷洒的主要水源，每日用量约500吨；其余中水被免费输送至淮北申皖发电有限公司（平山电厂）作为冷却水，日供水量约2.8万吨。安徽利和水务有限公司（濉溪第二污水处理厂）中水外排，暂不具备回用条件。</w:t>
      </w:r>
      <w:r>
        <w:rPr>
          <w:rFonts w:hint="default" w:ascii="Times New Roman" w:hAnsi="Times New Roman" w:eastAsia="楷体_GB2312" w:cs="Times New Roman"/>
          <w:b/>
          <w:bCs/>
          <w:color w:val="auto"/>
          <w:spacing w:val="0"/>
          <w:kern w:val="44"/>
          <w:sz w:val="32"/>
          <w:szCs w:val="32"/>
          <w:highlight w:val="none"/>
          <w:lang w:val="en-US" w:eastAsia="zh-CN" w:bidi="ar-SA"/>
        </w:rPr>
        <w:t>（承办单位：县住建局）</w:t>
      </w:r>
    </w:p>
    <w:p w14:paraId="15B28FA7">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关于进一步优化全县新能源电动汽车充电桩的建议（58号）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rPr>
        <w:t>一是科学编制《濉溪县充电基础设施专项规划》，2023年由县发改委、县供电公司牵头编制《濉溪县充电基础设施专项规划》并已融合至《淮北市充电基础设施专项规划（2023-2035年）》。规划充分考虑建设规模、网络结构、布局功能和发展模式，本着适度超前的原则进行科学编制，以满足不同领域、不同层次的电动汽车充换电需求。目前濉溪县已投入使用各类充电设施4916处，其中公司自用充电桩58座，社会经营充电桩118座，私人充电桩4740个，已有效缓解我县新能源汽车充电难问题。二是根据《国务院办公厅关于进一步构建高质量充电基础设施体系的指导意见》和《安徽省发展改革委关于印发安徽省新能源汽车充电换电基础设施建设运营管理办法（暂行）的通知》，目前淮北市打造全市充电设施一张网，由市发改委备案，市交控集团统一建设。县发改委积极配合相关部门打造全市“一张网”实现数据信息互联互通，确保充换电基础设施“有人建、有人管、能持续”，实现充换电基础设施运行管理、安全监测和故障预警。</w:t>
      </w:r>
      <w:r>
        <w:rPr>
          <w:rFonts w:hint="default" w:ascii="Times New Roman" w:hAnsi="Times New Roman" w:eastAsia="楷体_GB2312" w:cs="Times New Roman"/>
          <w:b/>
          <w:bCs/>
          <w:color w:val="auto"/>
          <w:spacing w:val="0"/>
          <w:kern w:val="44"/>
          <w:sz w:val="32"/>
          <w:szCs w:val="32"/>
          <w:highlight w:val="none"/>
          <w:lang w:val="en-US" w:eastAsia="zh-CN" w:bidi="ar-SA"/>
        </w:rPr>
        <w:t>（承办单位：县发改委）</w:t>
      </w:r>
    </w:p>
    <w:p w14:paraId="0C311845">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关于南坪工业集中区污水处理厂及基础设施建设的建议（59号）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color w:val="000000"/>
          <w:spacing w:val="0"/>
          <w:sz w:val="32"/>
          <w:szCs w:val="32"/>
          <w:highlight w:val="none"/>
          <w:lang w:val="en-US" w:eastAsia="zh-CN"/>
        </w:rPr>
        <w:t>一、积极推进项目申报和资金争取。一是污水处理厂及管网，预计可打包申报中央预算内资金环资领域污染治理专项，准备争取2026年度资金，支持比例不超过项目总投资60%，单个项目支持资金原则上不超过1亿元，由南坪镇政府配套剩余40%资金。二是园区道路，将部分道路纳入和美乡村项目申报乡村振兴专项资金或纳入高标准农田项目打包申报农业专项资金，其余道路纳入农村公路项目申报专项资金。我委将配合建立 "南坪工业集中区基建项目"绿色通道，优先安排评审、立项备案，筹县域内基建资源倾斜配置，定期跟踪项目进展，协调解决堵点问题。二、支持引入社会资本参与建设运营。根据县委、县政府统一要求，由县建投集团统一运营、实施污水处理厂，建议若项目申报</w:t>
      </w:r>
      <w:r>
        <w:rPr>
          <w:rFonts w:hint="eastAsia" w:cs="Times New Roman"/>
          <w:color w:val="000000"/>
          <w:spacing w:val="-6"/>
          <w:sz w:val="32"/>
          <w:szCs w:val="32"/>
          <w:highlight w:val="none"/>
          <w:lang w:val="en-US" w:eastAsia="zh-CN"/>
        </w:rPr>
        <w:t>成功、建成后，交由县建投集团统一运营。</w:t>
      </w:r>
      <w:r>
        <w:rPr>
          <w:rFonts w:hint="default" w:ascii="Times New Roman" w:hAnsi="Times New Roman" w:eastAsia="楷体_GB2312" w:cs="Times New Roman"/>
          <w:b/>
          <w:bCs/>
          <w:color w:val="auto"/>
          <w:spacing w:val="-6"/>
          <w:kern w:val="44"/>
          <w:sz w:val="32"/>
          <w:szCs w:val="32"/>
          <w:highlight w:val="none"/>
          <w:lang w:val="en-US" w:eastAsia="zh-CN" w:bidi="ar-SA"/>
        </w:rPr>
        <w:t>（承办单位：县发改委）</w:t>
      </w:r>
    </w:p>
    <w:p w14:paraId="16E88F20">
      <w:pPr>
        <w:keepNext w:val="0"/>
        <w:keepLines w:val="0"/>
        <w:pageBreakBefore w:val="0"/>
        <w:widowControl w:val="0"/>
        <w:shd w:val="clea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关于慎重招引废旧资源综合利用企业的建议（60号）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cs="Times New Roman"/>
          <w:color w:val="000000"/>
          <w:spacing w:val="0"/>
          <w:sz w:val="32"/>
          <w:szCs w:val="32"/>
          <w:highlight w:val="none"/>
          <w:lang w:val="en-US" w:eastAsia="zh-CN"/>
        </w:rPr>
        <w:t>我县招引亿元以上项目60个，协议投资额136.4亿元，其中制造业项目56个，占比93.3%，其中再生资源综合利用项目1个，产品主要为铜棒、铜线，销往电缆厂。2024年以来为我县贡献产值71.88亿元。其中北宏铜业、鑫发铜业正在积极开发下游铜阀门、铜饼、铜牌等高附加值产品。铝企2家（雄创铝业、优仁铝业），2024年以来为我县贡献产值34亿元。</w:t>
      </w:r>
      <w:r>
        <w:rPr>
          <w:rFonts w:hint="eastAsia" w:ascii="Times New Roman" w:hAnsi="Times New Roman" w:cs="Times New Roman"/>
          <w:color w:val="000000"/>
          <w:spacing w:val="0"/>
          <w:sz w:val="32"/>
          <w:szCs w:val="32"/>
          <w:highlight w:val="none"/>
          <w:lang w:val="en-US" w:eastAsia="zh-CN"/>
        </w:rPr>
        <w:t>下一步工作措施：一是加强招引。严把项目立项关口，对废旧资源综合利用项目招引保持审慎态度，严格依据技术先进性、环保达标能力及经济效益等核心指标评估准入，确保引入项目符合县域产业规划与生态要求。二是狠抓调度。对已签约、已开工项目逐个分析，倒排工期，挂图作战，加快项目建设、入规纳统进度。三是完善保障。成立县级项目落地要素保障专班，严格执行“一个环节、一名专人”跟进责任制，聚焦土地、能耗、环评、资金等关键要素，全力保障项目高效推进。依托我县金属新材料、高端装备制造等产业根基，聚焦铜棒、铝锭等初级产品向铜阀门、高端铝型材等高附加值领域延伸，支持铝企拓展汽车轻量化部件等应用场景，推动“回收—加工”环节向“制造—应用”全链条拓展，通过优化产业生态，推动产业从初级加工向精深加工升级，实现扩大再投</w:t>
      </w:r>
      <w:r>
        <w:rPr>
          <w:rFonts w:hint="eastAsia" w:ascii="仿宋_GB2312" w:hAnsi="仿宋_GB2312" w:eastAsia="仿宋_GB2312" w:cs="仿宋_GB2312"/>
          <w:spacing w:val="0"/>
          <w:sz w:val="32"/>
          <w:szCs w:val="32"/>
          <w:highlight w:val="none"/>
          <w:lang w:val="en-US" w:eastAsia="zh-CN"/>
        </w:rPr>
        <w:t>资</w:t>
      </w:r>
      <w:r>
        <w:rPr>
          <w:rFonts w:hint="eastAsia" w:ascii="仿宋_GB2312" w:hAnsi="仿宋_GB2312" w:eastAsia="仿宋_GB2312" w:cs="仿宋_GB2312"/>
          <w:spacing w:val="0"/>
          <w:sz w:val="32"/>
          <w:szCs w:val="32"/>
          <w:highlight w:val="none"/>
        </w:rPr>
        <w:t>。</w:t>
      </w:r>
      <w:r>
        <w:rPr>
          <w:rFonts w:hint="default" w:ascii="Times New Roman" w:hAnsi="Times New Roman" w:eastAsia="楷体_GB2312" w:cs="Times New Roman"/>
          <w:b/>
          <w:bCs/>
          <w:color w:val="auto"/>
          <w:spacing w:val="0"/>
          <w:kern w:val="44"/>
          <w:sz w:val="32"/>
          <w:szCs w:val="32"/>
          <w:highlight w:val="none"/>
          <w:lang w:val="en-US" w:eastAsia="zh-CN" w:bidi="ar-SA"/>
        </w:rPr>
        <w:t>（承办单位：县投资促进中心）</w:t>
      </w:r>
    </w:p>
    <w:p w14:paraId="769EA44C">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关于提升农村村干部薪酬福利的建议（61号）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1.关于提升村级干部报酬待遇问题。2023年3月，濉溪县委组织部下发了《关于调整村“两委”干部工作报酬标准的通知》，对实行“一肩挑”的正职基本报酬按照2022年度农村居民人均可支配收入2.5倍标准确定，非“一肩挑”正职基本报酬按照2022年度农村居民人均可支配收入2.3倍标准确定，其他村“两委”干部基本报酬为“一肩挑”正职基本报酬的80%确定。全日制本科以上学历的村“两委”成员，比照乡镇新录用公务员试用期满工资水平确定报酬。绩效报酬按照基本报酬的20%确定。调整后，村干部工资共分为4档：（1）“一肩挑”正职基本报酬43437.5元/年，绩效报酬8687.5元/年，较上一年度增长0.66万元；（2）非“一肩挑”正职基本报酬39962.5元/年，绩效报酬7992.5元/年，较上一年度增长0.24万元；（3）其他村“两委”干部基本报酬34750元/年，绩效报酬6950元/年，较上一年度增长0.53万元；（4）全日制本科以上学历的村“两委”基本报酬47052元/年，绩效报酬9410.4元/年。以上标准从2023年1月起执行。2.关于提高社保待遇问题。2024年，我们按照当地农村常住居民人均可支配收入调整了村干部养老保险缴费标准。调整后的缴费标准为：村正职干部5998.3元，副职干部为5798.3元，其他村“两委”成员为5598.3元。资金由县财政补贴40%，镇财政补贴30%，个人缴纳30%。除此之外，县委组织部每年定期购买村干部人身意外伤害险，全额报销村干部医疗补助。目前暂无为村干部缴纳住房公积金的相关政策要求，县委组织部将及时将此诉求向上级反馈，为村干部争取利益。3.关于加大集体经济发展奖励力度的问题，目前市集体经济壮大办正在拟定新的集体经济奖励机制，待政策下来后我县会第一时间落实好相关福利。4.关于加大从优秀村干部中选拔进入乡镇机关领导干部的力度的问题。一是村干部如满足以下三种情形之一：各市所辖县（市、区）行政区域内任职3年（截至2025年7月）以上的优秀村党组织书记、村委会主任和优秀社区党组织书记、居委会主任；在脱贫村从事巩固拓展脱贫攻坚成果同乡村振兴有效衔接工作（扶贫工作）满5年的优秀村干部；任村“两委”班子成员满5年且考核优秀的全日制普通高校毕业生；并且符合岗位要求的年龄等其他要求，可在省考中报考面向村干部招录的岗位。二是我部于2024年面向全县开展“乡编村用”事业编制人员招录工作。满足具有大学本科及以上学历学位（全日制）；目前担任村（社区）“两委”班子成员；连续在村（社区）工作满5年且年龄不超过35周岁（1989年10月1日后出生），连续在村（社区）工作满10年的，年龄可放宽至40周岁（1984年10月1日后出生）；的要求，可参加从优秀村（社区）党组织书记和在村（社区）工作的大学毕业生中公开招聘镇（园区）事业单位工作人员即“乡编村用”招聘。</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（承办单位：县委组织部）</w:t>
      </w:r>
    </w:p>
    <w:p w14:paraId="2129ED00">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关于推进文旅商融合发展，不断释放消费活力的建议（62号）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lang w:val="en-US" w:eastAsia="zh-CN"/>
        </w:rPr>
        <w:t>一</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关于发展生活小区经济</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将根据城市更新改造和相关发展规划，针对现有小区商业配套现状，结合新建小区规划，选取基础条件较好的小区，引导社区与商业企业合作，继续打造“15分钟便民生活圈”，持续开展放心家政服务、积极引入“壹度便利”等品牌便利店、特色餐饮等业态。并对生活小区内便民消费项目适时出台相关优惠扶持政策，推动生活小区经济发展。二</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关于激活夜经济活力</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召开发展夜经济专题会议，制定《濉溪县夜经济发展实施方案》。目前，县城内已有一定规模的夜间经济集聚区。三</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关于办好节庆、赛事、集会、展销</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已成功举办多届“皖美消费·乐享濉溪”大型促销费活动，每年举办濉溪县农历三月十八古庙会，庙会期间融入了“掼蛋大赛”、“碳锅王争霸赛”、民俗踩街、戏曲、音乐节等</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四</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关于以特色品牌厚植旅游购物产品新优势</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聚焦口子酒、临涣棒棒茶、培乳肉包瓜、糕点等特色品牌，继续加强培育和推广。2025年下半年成立濉溪县餐饮烹饪行业协会，搭建行业协同平台，举办餐饮大赛，促进临涣纯羊汤、马蹄烧饼，南坪响肚、杠子馍、百善硬面大卷等一批“老字号”餐饮美食企业和商户融合发展。对商品进行包装升级，提升品质，积极组织参加各类旅游商品展销会，拓展销售渠道，培育一批具有濉溪特色的旅游商品品牌，打造文旅商融合发展新亮点。五</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关于加大文创产品研发力度</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已开发出一批以濉溪历史文化为主题的文创产品，如老街白酒、嵇康白酒、精致陶瓷罐装临涣棒棒茶、剪纸、泥塑、面塑等。六</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关于壮大“新型消费”</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打造直播电商新模式新业态，现已招商引进直播电商企业4家。2024年全县新注册电商经营主体1234家，增长33%，各类电商主体累计达到7213家，今年1—5月份，培育达人主播31个、累计直播3354场次、开展特色农产品、文旅产品等直播销售活动，上架商品155532件次、直播销售</w:t>
      </w:r>
      <w:r>
        <w:rPr>
          <w:rFonts w:hint="eastAsia" w:cs="Times New Roman"/>
          <w:spacing w:val="0"/>
          <w:sz w:val="32"/>
          <w:szCs w:val="32"/>
          <w:highlight w:val="none"/>
          <w:lang w:val="en-US" w:eastAsia="zh-CN"/>
        </w:rPr>
        <w:t>额</w:t>
      </w:r>
      <w:r>
        <w:rPr>
          <w:rFonts w:hint="default" w:ascii="Times New Roman" w:hAnsi="Times New Roman" w:eastAsia="仿宋_GB2312" w:cs="Times New Roman"/>
          <w:spacing w:val="0"/>
          <w:sz w:val="32"/>
          <w:szCs w:val="32"/>
          <w:highlight w:val="none"/>
          <w:lang w:val="en-US" w:eastAsia="zh-CN"/>
        </w:rPr>
        <w:t>7063万元。组织电商企业对接县内外网红，通过培训、合作等方式，把网红的流量转化为带货流量，促进产品销售。四是持续推进农产品出村进城，实施县域商业体系行动，改造建设10个乡镇商贸中心、10个镇物流快递服务站、1个县级物流快递共配中心</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七</w:t>
      </w:r>
      <w:r>
        <w:rPr>
          <w:rFonts w:hint="eastAsia" w:cs="Times New Roman"/>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关于用好政策工具，提升消费信心</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在国家补贴的基础上县级2024年投放70万元电子消费券、2025年发放住房消费券600万元、投放640万元商贸领域电子消费券。</w:t>
      </w:r>
      <w:r>
        <w:rPr>
          <w:rFonts w:hint="default" w:ascii="Times New Roman" w:hAnsi="Times New Roman" w:eastAsia="楷体_GB2312" w:cs="Times New Roman"/>
          <w:b/>
          <w:bCs/>
          <w:color w:val="auto"/>
          <w:spacing w:val="0"/>
          <w:kern w:val="44"/>
          <w:sz w:val="32"/>
          <w:szCs w:val="32"/>
          <w:highlight w:val="none"/>
          <w:lang w:val="en-US" w:eastAsia="zh-CN" w:bidi="ar-SA"/>
        </w:rPr>
        <w:t>（承办单位：县商务局）</w:t>
      </w:r>
    </w:p>
    <w:p w14:paraId="3796F093">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关于在南坪镇集中区新规划建设小学的建议（63号）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根据南坪镇的规划布局，需在搬迁区建一所能容纳约200人的幼儿园和一所能容约800-1000人的小学。2022年5月，县发改委已做南坪镇第二小学及附属幼儿园项目建议书的批复：占地90亩，已完成征地工作。同时，南坪中心学校正在积极同钱营孜煤矿和邹庄矿进行对接，洽谈即将塌陷学校（丁荒小学和六里学校）赔偿问题，初步设想借助于赔偿资金用于集中区新建小学的先期建设。下一步，县教育局将会根据南坪镇政府教育建设规划需要，积极配合镇政府优化学校布局，在建设用地、环保评估等前期准备工作基本完成的条件下，适时将符合要求的建设项目列入上级相关建设规划，积极争取上级资金，进一步改善南坪镇办学条件，缓解南坪中心小学的压力，化解中心小学的大班额问题，力争达到优质均衡教育验收的要求。</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4786DB60">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仿宋_GB2312" w:cs="Times New Roman"/>
          <w:b w:val="0"/>
          <w:bCs w:val="0"/>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关于在校园周边开展小吃摊集中整治的建议（64号）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spacing w:val="0"/>
          <w:kern w:val="2"/>
          <w:sz w:val="32"/>
          <w:szCs w:val="32"/>
          <w:highlight w:val="none"/>
          <w:lang w:val="en-US" w:eastAsia="zh-CN" w:bidi="ar-SA"/>
        </w:rPr>
        <w:t>县</w:t>
      </w:r>
      <w:r>
        <w:rPr>
          <w:rFonts w:hint="eastAsia" w:cs="Times New Roman"/>
          <w:b w:val="0"/>
          <w:bCs w:val="0"/>
          <w:spacing w:val="0"/>
          <w:kern w:val="2"/>
          <w:sz w:val="32"/>
          <w:szCs w:val="32"/>
          <w:highlight w:val="none"/>
          <w:lang w:val="en-US" w:eastAsia="zh-CN" w:bidi="ar-SA"/>
        </w:rPr>
        <w:t>教育局：按照规定，幼儿园、中小学校门口二百米范围内不得确定为食品摊贩经营活动区域，按照学校所属当地镇园区区域的市场监管、城管等部门，根据风险等级确定检查频次，对高风险经营户实施重点监管。进一步加大学校食堂建设，避免学生到学校外面就餐。定期开展校园周边食品安全整治行动，针对销售“三无”食品、“五毛”食品、过期劣质食品等违法行为，实行“零容忍”态度，发现一起立案查处一起。在全县范围内推广学校食堂食品安全义务监督员和陪餐等制度，陪餐制度落实率达100%，从业人员培训率达100%，中小学校膳食监督家长委员会覆盖率100%，责任督学每月进校开展“校园餐”专项督导覆盖率100%。开展“食品安全知识进校园”活动，向师生宣传食品安全常识。县公安局：加强学生上下学护学岗工作开展措施，一是治安和交管部门联合加强学校周边的秩序，二是积极开展道路交通安全宣传，增强学生安全意识，三是积极开展疏堵保畅，加强违法查处，维护校园周边安全。县城管局：今年以来，已累计开展联合执法检查12次，检查校园周边食品经营单位80余家次，依法取缔无证经营摊点15处，经常性开展小吃摊点瓶装液化气安全检查，今年以来共开展了安全检查870次，出动执法人员75人次，执法车辆10台，有效净化了校园周边的经营环境。今年已举办培训活动4场，覆盖从业人员200余人次。已有30余家摊点按照要求更新了卫生设施，经营环境卫生得到明显改善。积极配合教育部开展食品安全知识进校园活动，通过发放宣传手册、设置宣传栏、举办主题班会等多种形式，向学生普及食品安全知识。与公安部门密切配合，加强校园周边交通秩序管理在重点学校门口增设护学岗，在上下学高峰时段安排专人值守，疏导交通。</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r>
        <w:rPr>
          <w:rFonts w:hint="eastAsia" w:eastAsia="楷体_GB2312" w:cs="Times New Roman"/>
          <w:b/>
          <w:bCs/>
          <w:color w:val="auto"/>
          <w:spacing w:val="0"/>
          <w:kern w:val="44"/>
          <w:sz w:val="32"/>
          <w:szCs w:val="32"/>
          <w:highlight w:val="none"/>
          <w:lang w:val="en-US" w:eastAsia="zh-CN" w:bidi="ar-SA"/>
        </w:rPr>
        <w:t>、县公安局、县城管局</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3284186F">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关于治理“校闹”等问题的建议（65号）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lang w:eastAsia="zh-CN"/>
        </w:rPr>
        <w:t>一是突出“预防为先”</w:t>
      </w:r>
      <w:r>
        <w:rPr>
          <w:rFonts w:hint="eastAsia"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eastAsia="zh-CN"/>
        </w:rPr>
        <w:t>要求各学校要树立预防为先的理念，落实安全标准，健全安全管理制度，完善安全风险排查和防范机制，压实安全责任，加强安全教育，从源头上预防和消除安全风险。二是实现“不闹也赔”。强调以保险机制为核心建立多元化的损害赔偿机制，要求学校不得推诿塞责，积极通过协商、调解、诉讼等方式化解纠纷，学校确有责任的，要依法、及时进行伤害赔偿，实现“不闹也赔”。强调第三方机构在纠纷化解中的作用，建立学校安全事故人民调解委员会制度，构建公正、便捷的处置机制。三是强调“闹也不赔”。针对一些案例“以闹取利”和一些地方无原则“花钱买平安”的状况，禁止不顾法律原则的“花钱买平安”行为。责任明确前，对于因学校安全事故纠纷引发的诉讼，人民法院要依法裁判、主动释法，杜绝片面加重学校赔偿责任的情形</w:t>
      </w:r>
      <w:r>
        <w:rPr>
          <w:rFonts w:hint="eastAsia"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eastAsia="zh-CN"/>
        </w:rPr>
        <w:t>四是做到“坚决打击”。对于实施“校闹”行为，扰乱社会秩序、造成他人人身伤害或财产损失的，公安机关及时出警，要依法制止；按照治安管理处罚法的规定予以处罚；构成犯罪的，要按照刑法相关规定予以惩处。五是坚持“联合治理”。治理“校闹”涉及多个部门，需要凝聚社会共识和部门合力。发挥公安机关重要作用，加强学校及周边安全风险防控；要做好信息发布和舆情应对，防止舆论炒作、混淆视听；要加强法治教育，营造尊法学法守法用法的社会氛围，让校长、老师和教育部门都切实感到不发愁、有保障。</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36D91C40">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关于支持韩村镇与煤化工基地融合发展的建议（66号）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rPr>
        <w:t>濉溪县国土空间规划三区三线划定工作过程中，煤化工基地管委会预留城镇开发边界内指标共计1729.43公顷，韩村镇城镇开发边界内指标共计2467公顷，毗邻煤化工基地预留城镇开发边界内用地指标。该预留指标为韩村镇与煤化工基地融合发展提供了基础条件，下步煤化工基地管委会、韩村镇可根据项目建设需要，编制土地成片开发方案，为土地报批提供法定依据。《韩村镇国土空间规划（2021-2035）》（下文简称“镇</w:t>
      </w:r>
      <w:r>
        <w:rPr>
          <w:rFonts w:hint="eastAsia" w:cs="Times New Roman"/>
          <w:color w:val="auto"/>
          <w:spacing w:val="0"/>
          <w:sz w:val="32"/>
          <w:szCs w:val="32"/>
          <w:highlight w:val="none"/>
          <w:lang w:eastAsia="zh-CN"/>
        </w:rPr>
        <w:t>级</w:t>
      </w:r>
      <w:r>
        <w:rPr>
          <w:rFonts w:hint="default" w:ascii="Times New Roman" w:hAnsi="Times New Roman" w:eastAsia="仿宋_GB2312" w:cs="Times New Roman"/>
          <w:color w:val="auto"/>
          <w:spacing w:val="0"/>
          <w:sz w:val="32"/>
          <w:szCs w:val="32"/>
          <w:highlight w:val="none"/>
        </w:rPr>
        <w:t>国空”）正在编制，下步拟提请专家评审、规委会审议等。在新修编的镇级国空中，充分衔接煤化工园区与韩村镇空间布局、道路体系、产业规划的产城联动，基础设施与公共服务设施的共建共享，为项目规划审批提供法定依据。</w:t>
      </w:r>
      <w:r>
        <w:rPr>
          <w:rFonts w:hint="default" w:ascii="Times New Roman" w:hAnsi="Times New Roman" w:eastAsia="楷体_GB2312" w:cs="Times New Roman"/>
          <w:b/>
          <w:bCs/>
          <w:color w:val="auto"/>
          <w:spacing w:val="0"/>
          <w:kern w:val="44"/>
          <w:sz w:val="32"/>
          <w:szCs w:val="32"/>
          <w:highlight w:val="none"/>
          <w:lang w:val="en-US" w:eastAsia="zh-CN" w:bidi="ar-SA"/>
        </w:rPr>
        <w:t>（承办单位：县自然资源和规划局）</w:t>
      </w:r>
    </w:p>
    <w:p w14:paraId="3018C47F">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关于加强停车管理的建议（67号）</w:t>
      </w:r>
      <w:r>
        <w:rPr>
          <w:rFonts w:hint="eastAsia"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spacing w:val="0"/>
          <w:sz w:val="32"/>
          <w:szCs w:val="32"/>
          <w:highlight w:val="none"/>
          <w:lang w:val="en-US" w:eastAsia="zh-CN"/>
        </w:rPr>
        <w:t>（一）强化停车秩序管理</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在运营停车场通过人工PDA抓拍系统，建立</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建投运营+城管执法</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联动机制，对占用停车场出入口、消防通道等行为进行专项整治</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在</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濉溪智慧停车</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公众号增设违停举报功能，鼓励市民参与共治。（二）优化停车设施供给</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加快项目建设</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2025年启动县政府和恒大名都片区泊位智能化改造（规划车位1146个），8月投入使用</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推进北环新居、濉溪站、老城农贸、恒大名都等8处停车场建设项目，新增车位400+个。（三）提升管理服务水平</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完善</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濉溪智慧停车</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平台功能，实现车位查询、导航、支付全流程智能化</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设立24小时服务热线，建立投诉30分钟响应机制</w:t>
      </w:r>
      <w:r>
        <w:rPr>
          <w:rFonts w:hint="eastAsia"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推行差异化收费政策，对学校、医院周边实行限时免费停车。</w:t>
      </w:r>
      <w:r>
        <w:rPr>
          <w:rFonts w:hint="default" w:ascii="Times New Roman" w:hAnsi="Times New Roman" w:eastAsia="楷体_GB2312" w:cs="Times New Roman"/>
          <w:b/>
          <w:bCs/>
          <w:color w:val="auto"/>
          <w:spacing w:val="0"/>
          <w:kern w:val="44"/>
          <w:sz w:val="32"/>
          <w:szCs w:val="32"/>
          <w:highlight w:val="none"/>
          <w:lang w:val="en-US" w:eastAsia="zh-CN" w:bidi="ar-SA"/>
        </w:rPr>
        <w:t>（承办单位：县公安局</w:t>
      </w:r>
      <w:r>
        <w:rPr>
          <w:rFonts w:hint="eastAsia" w:eastAsia="楷体_GB2312" w:cs="Times New Roman"/>
          <w:b/>
          <w:bCs/>
          <w:color w:val="auto"/>
          <w:spacing w:val="0"/>
          <w:kern w:val="44"/>
          <w:sz w:val="32"/>
          <w:szCs w:val="32"/>
          <w:highlight w:val="none"/>
          <w:lang w:val="en-US" w:eastAsia="zh-CN" w:bidi="ar-SA"/>
        </w:rPr>
        <w:t>、县建投集团</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1A950581">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关于完善煤化工基地一期、二期搬迁安置项目配套设施的建议（68号）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spacing w:val="0"/>
          <w:sz w:val="32"/>
          <w:szCs w:val="32"/>
          <w:highlight w:val="none"/>
          <w:lang w:val="en-US" w:eastAsia="zh-CN"/>
        </w:rPr>
        <w:t>绿化管护问题</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建成后至养护期结束，道路绿化及青沟公园的管护工作由建设单位县农投负责。煤化工安置房一期、二期内部绿化管护，由安徽乐升物业管理有限公司负责。区域日常环境管理工作，由中航环卫公司负责</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部分道路不通问题</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建一路、建四路已基本通车，建二路、建三、建八、建十路完成首层沥青及部分二层沥青且路缘石全完工，建四路完成沥青摊铺，建五路南段完成水稳铺设，建六路完成沥青摊铺、道路标线60%及绿化施工，建七路完成首层沥青摊铺与路灯安装，建九路完成人行道面砖95%、沥青中层摊铺并分段摊铺面层沥青</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周边无商业场所问题</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安置小区周边商超、餐饮等业态已逐步进驻，基本可满足入住群众日常生活需求。下一步，将重点加快“海棠广场”项目建设</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关于九年一贯制学校建设滞后问题</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目前，学校教学楼、综合楼、宿舍楼、操场等主体及配套设施均已建成，仅地库暂未完工，已保障学校正常教学，并于2025年秋季正常招生，现有在校学生894名。配套设施建设经费落实情况</w:t>
      </w:r>
      <w:r>
        <w:rPr>
          <w:rFonts w:hint="eastAsia"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针对南部次中心基础设施建设，融资模式已调整。明确县农投公司为南部次中心建设投融资主体，负责建设濉溪县百善农业新兴产业基地周边配套道路等基础设施项目，现融资已获批。</w:t>
      </w:r>
      <w:r>
        <w:rPr>
          <w:rFonts w:hint="default" w:ascii="Times New Roman" w:hAnsi="Times New Roman" w:eastAsia="楷体_GB2312" w:cs="Times New Roman"/>
          <w:b/>
          <w:bCs/>
          <w:color w:val="auto"/>
          <w:spacing w:val="0"/>
          <w:kern w:val="44"/>
          <w:sz w:val="32"/>
          <w:szCs w:val="32"/>
          <w:highlight w:val="none"/>
          <w:lang w:val="en-US" w:eastAsia="zh-CN" w:bidi="ar-SA"/>
        </w:rPr>
        <w:t>（承办单位：百善农业示范区）</w:t>
      </w:r>
    </w:p>
    <w:p w14:paraId="45C0E3BD">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关于增加薄弱村集体经济收入的建议（69号）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强化规划指导，完善精准帮扶机制。压实各镇党委书记第一责任人、村党组织书记直接责任人职责，对全县集体经济工作进度进行跟踪把控。二</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坚持项目带动，助推提速增效。临涣镇以各村党建引领合作社为引导，联合19个村办公司成立濉溪县临涣联合发展有限公司。联合公司主推市场、担风险，村办公司主推服务、上项目。目前有九个村项目实施，总金额约650万元，收益款项交三资账户，村集体经济增收70余万元。三</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选优配强班子，筑强战斗堡垒。严格落实《从严管理村干部队伍的若干举措》，严把选任资格条件，明确凡新进村“两委”人选须经纪委监委等17家县级部门联审，联审部门负责人签字，压实工作责任。分别建立村“两委”、后备干部、乡村振兴专干台账，每月统计在职村干部台账，动态掌握缺配情况，将村“两委”班子缺配情况作为组织系统考核指标之一，及时调度各镇进行村干部补录。全面实施村党组织书记后备力量培育储备三年行动，印发《关于加强村党组织书记后备力量培育储备的工作提示》，不断优化村党组织书记队伍，切实解决部分地方优秀村党组织书记难找难选、后继乏人问题，为每个村培育储备1至2名成熟可用的村党组织书记后备力量，为下一轮村（社区）“两委”换届做足人员准备。</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四是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加强组织领导，做好人才工作。强化对人才工作的组织领导和把关作用，如，四铺镇摸排在外人才100余人，弹性引进省外人才3人、海外人才1人，选拔和培养本土储备青年人才40人。五沟镇2024年以来引进海外人才2人，吸引180名小老板返乡创业，带动就业人数1000余人。联合培训机构开展技能培训，培养技能人才356人。铁佛镇组织各村召开在外人才座谈会26场，新增11人进在外人才信息库，收集意见建议89个及问题17个。成立“流动党员上海支部委员会”，挂牌“外出人员之家”，为在外人才、党员提供服务保障。聘用2名优秀在外人才为发展顾问，依靠人才线索落地产业项目2个。</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五是</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加强教育培训，拓宽发展思路。分三期在县委党校举办2024年濉溪县村（社区）党组织书记、村（居）民委员会主任培训班。在培训期间分别赴相山区、烈山区、杜集区5镇6村观摩学习，进一步拓宽思路、开拓眼界。5月22日举办濉溪县“安吉归来话发展”报告会暨“村书记大讲堂”，邀请5名赴省外“名村挂职”优秀村党组织书记分享挂职学习心得。</w:t>
      </w:r>
      <w:r>
        <w:rPr>
          <w:rFonts w:hint="default" w:ascii="Times New Roman" w:hAnsi="Times New Roman" w:eastAsia="楷体_GB2312" w:cs="Times New Roman"/>
          <w:b/>
          <w:bCs/>
          <w:color w:val="auto"/>
          <w:spacing w:val="0"/>
          <w:kern w:val="44"/>
          <w:sz w:val="32"/>
          <w:szCs w:val="32"/>
          <w:highlight w:val="none"/>
          <w:lang w:val="en-US" w:eastAsia="zh-CN" w:bidi="ar-SA"/>
        </w:rPr>
        <w:t>（承办单位：县委组织部）</w:t>
      </w:r>
    </w:p>
    <w:p w14:paraId="5F45F6FF">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关于增加乡镇医院120救护车数量的建议（70号）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一是在县医院本院、老中医院分别增设一个站点，各投放一辆120急救车。二是县妇幼保健院将购置120急救车纳入采购计划。三是考虑将海孜卫生院、任集卫生院设立急救站，目前两家卫生院配置了急救车，下一步将对两家卫生院设站可行性、必要性、有效性等进行评估，获得设站后将进一步提高急救供给能力。四是在即将投入使用的南部次中心医院、双堆新城医院设立急救站点，根据配置要素配备急救车，最大限度的满足群众对急救服务的需求。五是将急救经费纳入财政预算，对乡镇卫生院使用时间较长、经常需要维修的车辆，由政府补贴、单位自筹、医共体牵头医院经费倾斜等措施，分期分批购置新车。</w:t>
      </w:r>
      <w:r>
        <w:rPr>
          <w:rFonts w:hint="default" w:ascii="Times New Roman" w:hAnsi="Times New Roman" w:eastAsia="楷体_GB2312" w:cs="Times New Roman"/>
          <w:b/>
          <w:bCs/>
          <w:color w:val="auto"/>
          <w:spacing w:val="0"/>
          <w:kern w:val="44"/>
          <w:sz w:val="32"/>
          <w:szCs w:val="32"/>
          <w:highlight w:val="none"/>
          <w:lang w:val="en-US" w:eastAsia="zh-CN" w:bidi="ar-SA"/>
        </w:rPr>
        <w:t>（承办单位：县卫健委）</w:t>
      </w:r>
    </w:p>
    <w:p w14:paraId="4A964313">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关于全面推进县域内农村道路“户户通”工程建设的建议</w:t>
      </w:r>
      <w:r>
        <w:rPr>
          <w:rFonts w:hint="eastAsia" w:ascii="Times New Roman" w:hAnsi="Times New Roman" w:eastAsia="楷体_GB2312" w:cs="Times New Roman"/>
          <w:b/>
          <w:bCs/>
          <w:color w:val="auto"/>
          <w:spacing w:val="0"/>
          <w:kern w:val="44"/>
          <w:sz w:val="32"/>
          <w:szCs w:val="32"/>
          <w:highlight w:val="none"/>
          <w:lang w:val="en-US" w:eastAsia="zh-CN" w:bidi="ar-SA"/>
        </w:rPr>
        <w:t>（71号）</w:t>
      </w:r>
      <w:r>
        <w:rPr>
          <w:rFonts w:hint="eastAsia" w:eastAsia="楷体_GB2312" w:cs="Times New Roman"/>
          <w:b/>
          <w:bCs/>
          <w:color w:val="auto"/>
          <w:spacing w:val="0"/>
          <w:kern w:val="44"/>
          <w:sz w:val="32"/>
          <w:szCs w:val="32"/>
          <w:highlight w:val="none"/>
          <w:lang w:val="en-US" w:eastAsia="zh-CN" w:bidi="ar-SA"/>
        </w:rPr>
        <w:t>。</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目前，我县农村道路已经实现了“村村通”、“庄庄通”，存在“户户不通”问题。濉溪县政府下发了《濉溪县农村道路“进村入户”建设工程实施方案》及《濉溪县农村道路“进村入户”建设工程（乡镇提供原材料模式）实施细则》，按照“政府引导、科学规划、试点先行、分步实施”的原则，具体由镇政府组织实施。2024年底，临涣镇沈圩村、百善镇百善村、四铺镇四铺村三个试点单位，已圆满完成28.38公里建设任务。2025年4月县交通运输局组织各镇开展并完成2025年“进村入户”建设工程的初步申报工作。目前，持续开展项目建设的前期工作。</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60DAA786">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关于建设五沟返乡人才创业基地，推动经济发展的建议</w:t>
      </w:r>
      <w:r>
        <w:rPr>
          <w:rFonts w:hint="eastAsia" w:ascii="Times New Roman" w:hAnsi="Times New Roman" w:eastAsia="楷体_GB2312" w:cs="Times New Roman"/>
          <w:b/>
          <w:bCs/>
          <w:color w:val="auto"/>
          <w:spacing w:val="0"/>
          <w:kern w:val="44"/>
          <w:sz w:val="32"/>
          <w:szCs w:val="32"/>
          <w:highlight w:val="none"/>
          <w:lang w:val="en-US" w:eastAsia="zh-CN" w:bidi="ar-SA"/>
        </w:rPr>
        <w:t>（72号）</w:t>
      </w:r>
      <w:r>
        <w:rPr>
          <w:rFonts w:hint="eastAsia"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val="0"/>
          <w:color w:val="000000" w:themeColor="text1"/>
          <w:spacing w:val="0"/>
          <w:kern w:val="2"/>
          <w:sz w:val="32"/>
          <w:szCs w:val="32"/>
          <w:highlight w:val="none"/>
          <w:lang w:val="en-US" w:eastAsia="zh-CN" w:bidi="ar-SA"/>
          <w14:textFill>
            <w14:solidFill>
              <w14:schemeClr w14:val="tx1"/>
            </w14:solidFill>
          </w14:textFill>
        </w:rPr>
        <w:t>濉溪县“三区三线”成果于2022年9月28日通过自然资源部审查并启用。在国土空间规划体系下，目前政策导向是挖掘存量严控增量，且工业项目应向开发园区集聚布局。濉溪县增量空间在“三区三线”划定过程中与县委县政府主要领导汇报，主要保障高铁西站片区、河西片区</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spacing w:val="0"/>
          <w:kern w:val="2"/>
          <w:sz w:val="32"/>
          <w:szCs w:val="32"/>
          <w:highlight w:val="none"/>
          <w:lang w:val="en-US" w:eastAsia="zh-CN" w:bidi="ar-SA"/>
          <w14:textFill>
            <w14:solidFill>
              <w14:schemeClr w14:val="tx1"/>
            </w14:solidFill>
          </w14:textFill>
        </w:rPr>
        <w:t>濉溪经济技术开发区和安徽淮北新型煤化工合成材料基地等重要板块的建设空间，各镇均基本没有增量空间。因而在现有政策背景下无法保障五沟镇北300亩城镇开发边界内指标要求。</w:t>
      </w:r>
      <w:r>
        <w:rPr>
          <w:rFonts w:hint="default" w:ascii="Times New Roman" w:hAnsi="Times New Roman" w:eastAsia="楷体_GB2312" w:cs="Times New Roman"/>
          <w:b/>
          <w:bCs/>
          <w:color w:val="auto"/>
          <w:spacing w:val="0"/>
          <w:kern w:val="44"/>
          <w:sz w:val="32"/>
          <w:szCs w:val="32"/>
          <w:highlight w:val="none"/>
          <w:lang w:val="en-US" w:eastAsia="zh-CN" w:bidi="ar-SA"/>
        </w:rPr>
        <w:t>（承办单位：县自然资源和规划局）</w:t>
      </w:r>
    </w:p>
    <w:p w14:paraId="4654F566">
      <w:pPr>
        <w:pStyle w:val="1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right="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关于贯通卢五路同Y077（李张路）连接的Y078道路的建议</w:t>
      </w:r>
      <w:r>
        <w:rPr>
          <w:rFonts w:hint="eastAsia" w:ascii="Times New Roman" w:hAnsi="Times New Roman" w:eastAsia="楷体_GB2312" w:cs="Times New Roman"/>
          <w:b/>
          <w:bCs/>
          <w:color w:val="auto"/>
          <w:spacing w:val="0"/>
          <w:kern w:val="44"/>
          <w:sz w:val="32"/>
          <w:szCs w:val="32"/>
          <w:highlight w:val="none"/>
          <w:lang w:val="en-US" w:eastAsia="zh-CN" w:bidi="ar-SA"/>
        </w:rPr>
        <w:t>（73号）</w:t>
      </w:r>
      <w:r>
        <w:rPr>
          <w:rFonts w:hint="eastAsia"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乡道五界路（Y078340621）K6+979--K8+886段，全长1.907公里，路面破损较严重。2025年3月，此路段已列入十四五建设项目库，5月五沟镇人民政府申报此项目列入2026年县乡道升级改造建设计划。经综合评审，五界路未纳入2026年县乡道升级改造建设计划</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建议五沟镇提前做好土地调查等工作，确保符合条件后上报</w:t>
      </w:r>
      <w:r>
        <w:rPr>
          <w:rFonts w:hint="eastAsia"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7410E5D3">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楷体_GB2312" w:cs="Times New Roman"/>
          <w:b/>
          <w:bCs/>
          <w:color w:val="auto"/>
          <w:spacing w:val="0"/>
          <w:kern w:val="44"/>
          <w:sz w:val="32"/>
          <w:szCs w:val="32"/>
          <w:highlight w:val="none"/>
          <w:lang w:val="en-US" w:eastAsia="zh-CN" w:bidi="ar-SA"/>
        </w:rPr>
        <w:t>关于修建凤凰沟于连肖危桥的建议（7</w:t>
      </w:r>
      <w:r>
        <w:rPr>
          <w:rFonts w:hint="eastAsia" w:ascii="Times New Roman" w:hAnsi="Times New Roman" w:eastAsia="楷体_GB2312" w:cs="Times New Roman"/>
          <w:b/>
          <w:bCs/>
          <w:color w:val="auto"/>
          <w:spacing w:val="0"/>
          <w:kern w:val="44"/>
          <w:sz w:val="32"/>
          <w:szCs w:val="32"/>
          <w:highlight w:val="none"/>
          <w:lang w:val="en-US" w:eastAsia="zh-CN" w:bidi="ar-SA"/>
        </w:rPr>
        <w:t>4</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于连肖家西桥（Y071340321L0010），桥梁长度36米，桥面净宽4米，单跨桁架结构，现桥面损坏，护栏缺失。2025年5月经鉴定为五类危桥，并封闭交通。2025年6月县交通运输局上报省交通运输厅，将该桥纳入2026年农村公路危桥改造计划，进行拆除重建，由五沟镇人民政府作为业主进行实施，目前正在进行施工图设计工作，预计2026年3月开工建设，9月完工并投入使用。</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2CE5286B">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关于逐步清理杨树的建议（7</w:t>
      </w:r>
      <w:r>
        <w:rPr>
          <w:rFonts w:hint="eastAsia" w:ascii="Times New Roman" w:hAnsi="Times New Roman" w:eastAsia="楷体_GB2312" w:cs="Times New Roman"/>
          <w:b/>
          <w:bCs/>
          <w:color w:val="auto"/>
          <w:spacing w:val="0"/>
          <w:kern w:val="44"/>
          <w:sz w:val="32"/>
          <w:szCs w:val="32"/>
          <w:highlight w:val="none"/>
          <w:lang w:val="en-US" w:eastAsia="zh-CN" w:bidi="ar-SA"/>
        </w:rPr>
        <w:t>5</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2025年</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4月已经将相关意见报淮北市林业局，计划配合淮北市林业局，谋划开展杨树更新工作。为应对杨絮污染和单调树种的生态风险，一是积极推广淮北市林业局于2021年公开征询意见的“淮北市首批16个优良乡土树种”，用于近年来的造林绿化，例如今年实施的“快速通道”绿化工程，选用的就是栾树等多个品种，</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无</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杨树。二是加大桃树等经济林树种的造林力度，近年来通过实施“森林进村庄  经果林进庭院”活动，推进各类果树在村旁、宅旁、水旁、路旁、庭院以及村口和公共活动空间等隙地的绿化，全面提升了国土绿化水平。在实施美丽乡村建设中，以紫薇等绿化苗木为主开展绿化；在实施高标准农田建设中，以刺槐等乔木为主建设农田林网；在种苗繁育等项目中，重点支持巨紫荆等非杨树优良苗木繁育。通过项目带动，积极营造造林树种多样化、杨树逐步退出的大好局面。</w:t>
      </w:r>
      <w:r>
        <w:rPr>
          <w:rFonts w:hint="default" w:ascii="Times New Roman" w:hAnsi="Times New Roman" w:eastAsia="楷体_GB2312" w:cs="Times New Roman"/>
          <w:b/>
          <w:bCs/>
          <w:color w:val="auto"/>
          <w:spacing w:val="0"/>
          <w:kern w:val="44"/>
          <w:sz w:val="32"/>
          <w:szCs w:val="32"/>
          <w:highlight w:val="none"/>
          <w:lang w:val="en-US" w:eastAsia="zh-CN" w:bidi="ar-SA"/>
        </w:rPr>
        <w:t>（承办单位：县自然资源和规划局）</w:t>
      </w:r>
    </w:p>
    <w:p w14:paraId="2DF59F50">
      <w:pPr>
        <w:pStyle w:val="2"/>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关于开展运粮沟清淤工作的建议（7</w:t>
      </w:r>
      <w:r>
        <w:rPr>
          <w:rFonts w:hint="eastAsia" w:ascii="Times New Roman" w:hAnsi="Times New Roman" w:eastAsia="楷体_GB2312" w:cs="Times New Roman"/>
          <w:b/>
          <w:bCs/>
          <w:color w:val="auto"/>
          <w:spacing w:val="0"/>
          <w:kern w:val="44"/>
          <w:sz w:val="32"/>
          <w:szCs w:val="32"/>
          <w:highlight w:val="none"/>
          <w:lang w:val="en-US" w:eastAsia="zh-CN" w:bidi="ar-SA"/>
        </w:rPr>
        <w:t>6</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运粮沟位于濉溪县西南部，西临涡阳县、南临蒙城县，发源于浍河小周家，于五沟镇土楼村出县境流入北淝河，全长约16公里，分别流经临涣镇、韩村镇、五沟镇。2016年-2017年，县小型水利工程改造提升项目分别进行了治理，其中五沟镇4.3公里、韩村镇0.93公里、临涣镇3.2公里；随着2019年县水务局职能调整，不再承担农田治理任务，缺少项目支持，但县水务局一直关注该项目建设，已将其纳入淮北市沱浍灌区治理项目内容，目前该项目正在进行初步设计中。</w:t>
      </w:r>
      <w:r>
        <w:rPr>
          <w:rFonts w:hint="default" w:ascii="Times New Roman" w:hAnsi="Times New Roman" w:eastAsia="楷体_GB2312" w:cs="Times New Roman"/>
          <w:b/>
          <w:bCs/>
          <w:color w:val="auto"/>
          <w:spacing w:val="0"/>
          <w:kern w:val="44"/>
          <w:sz w:val="32"/>
          <w:szCs w:val="32"/>
          <w:highlight w:val="none"/>
          <w:lang w:val="en-US" w:eastAsia="zh-CN" w:bidi="ar-SA"/>
        </w:rPr>
        <w:t>（承办单位：县水务局）</w:t>
      </w:r>
    </w:p>
    <w:p w14:paraId="2E056B31">
      <w:pPr>
        <w:pStyle w:val="2"/>
        <w:keepNext w:val="0"/>
        <w:keepLines w:val="0"/>
        <w:pageBreakBefore w:val="0"/>
        <w:widowControl w:val="0"/>
        <w:shd w:val="clear"/>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关于加强中小学生道路安全教育的建议（7</w:t>
      </w:r>
      <w:r>
        <w:rPr>
          <w:rFonts w:hint="eastAsia" w:ascii="Times New Roman" w:hAnsi="Times New Roman" w:eastAsia="楷体_GB2312" w:cs="Times New Roman"/>
          <w:b/>
          <w:bCs/>
          <w:color w:val="auto"/>
          <w:spacing w:val="0"/>
          <w:kern w:val="44"/>
          <w:sz w:val="32"/>
          <w:szCs w:val="32"/>
          <w:highlight w:val="none"/>
          <w:lang w:val="en-US" w:eastAsia="zh-CN" w:bidi="ar-SA"/>
        </w:rPr>
        <w:t>7</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一是紧抓宣传教育，增强学生的安全意识</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发挥课堂教育主渠道作用，将骑行电动车和乘坐校车安全知识纳入学校安全教育课程及“1530”安全提醒机制，提升学生交通安全意识和防范能力，引导学生遵守交通规则，规范骑行电动车和乘坐校车的行为。二是结合春秋季开学、全国中小学生安全教育日和全国交通安全日等关键节点，制作“知危险</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会避险”交通体验课，认真组织开展“一盔一带”安全守护行动，各学校利用主题班会、悬挂标语条幅、电子屏滚动播放、家长微信群等方式宣传交通安全知识，指导全县学校建立交通安全宣传阵地300余处，发放致学生家长一封信19万封，与学生家长签订《交通安全承诺书》18万余份，举办校园交通安全手抄报评比展播活动，参与者10万余人次。三是联合公安、交通等部门开展督查校车安全专项行动，加强校车安全隐患排查和消除，组织驾驶员、随车照管人员学习道路交通安全法律法规以及安全防范、应急处置和应急救援知识，严格落实《濉溪县校车运营管理工作实施方案》，保障学生乘坐校车安全。</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175808E2">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关于进一步保障农民工就业的建议（7</w:t>
      </w:r>
      <w:r>
        <w:rPr>
          <w:rFonts w:hint="eastAsia" w:ascii="Times New Roman" w:hAnsi="Times New Roman" w:eastAsia="楷体_GB2312" w:cs="Times New Roman"/>
          <w:b/>
          <w:bCs/>
          <w:color w:val="auto"/>
          <w:spacing w:val="0"/>
          <w:kern w:val="44"/>
          <w:sz w:val="32"/>
          <w:szCs w:val="32"/>
          <w:highlight w:val="none"/>
          <w:lang w:val="en-US" w:eastAsia="zh-CN" w:bidi="ar-SA"/>
        </w:rPr>
        <w:t>8</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（一）加强职业技能培训方面</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面向在村待业的劳动群体有针对性地开展职业技能培训，在家门口开展集中培训、现场教学、实习实训等。二是丰富培训形式，采用“理论教学+实践操作”相结合的培训方式，让群众既能学到理论知识，又能掌握实际操作技能。三是落实和整合已有的培训政策，围绕就业重点行业和领域，大力开展家政服务、烹饪餐饮、建筑等有效实用的职业技能培训，鼓励和引导农村劳动者参加培训并考取职业资格证书，提高技能水平和工作能力。（二）保障工资和劳动权益方面</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扎实开展“安薪行动”，压紧压实属地政府和行业主管部门监管责任，按照企业自查、行业检查两个全覆盖要求，对照《工资支付与监管指引》流程，在企业自查的基础上，对项目制度落实情况进行全面排查，指导督促项目建设各方规范完善，优化建立项目标准化资料台账。根据“分级负责、归口办理”原则，对于业务范围内的投诉举报线索，及时登记录入；属于行业主管部门受理的，及时开具线索转交函并督促办理；对不属于受理范畴的，细致耐心做好解释工作。建立完善问题线索管理台账，对现场投诉、信访、政务热线、根治欠薪小程序等渠道反映的问题线索，坚持集中受理，逐件登记，实行专人负责、集中管理。（三）加强社会保障体系建设方面</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精准数据筛查。围绕已纳税未参保企业、当年新成立未参保企业等数据进行全面梳理与精准分析。二是加大执法检查力度。人社部门联合税务、市场监管等部门，开展专项执法行动，重点排查中小微企业、灵活就业集中行业的参保情况，对拒不参保或欠缴保费的单位依法责令整改。三是畅通投诉举报渠道，依托12333热线、线上平台等，及时受理劳动者维权诉求，切实维护其合法权益。</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（承办单位：县人社局）</w:t>
      </w:r>
    </w:p>
    <w:p w14:paraId="151AF7BD">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关于优化县城公交站台设置的建议（7</w:t>
      </w:r>
      <w:r>
        <w:rPr>
          <w:rFonts w:hint="eastAsia" w:ascii="Times New Roman" w:hAnsi="Times New Roman" w:eastAsia="楷体_GB2312" w:cs="Times New Roman"/>
          <w:b/>
          <w:bCs/>
          <w:color w:val="auto"/>
          <w:spacing w:val="0"/>
          <w:kern w:val="44"/>
          <w:sz w:val="32"/>
          <w:szCs w:val="32"/>
          <w:highlight w:val="none"/>
          <w:lang w:val="en-US" w:eastAsia="zh-CN" w:bidi="ar-SA"/>
        </w:rPr>
        <w:t>9</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濉溪县交通运输局正在谋划实施城区公交站亭改造提升工程，该项目通过数字化转型引入电子站亭，同时深度融合我县文化元素，根据实际地形条件对淮海路、沱河路、闸河路、浍河路等4条道路共计70个站点进行站亭改造升级。项目改造后不仅为广大市民提供了遮风挡雨的站亭及座椅，也可通过电子站牌实时掌握出行信息，提升出行效率，实现智慧公交出行；同时部分站亭规划建设了手机充电宝、售卖机等便民设施，为人民群众提供更便捷、更智能的出行服务，切实提升人民群众满意度、幸福指数和城市生活品质。</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同时，已</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对接县城泊公司，要求县城泊公司按照您的建议对现有城区主干路公交站亭进行处理</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074971D4">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关于改善农村医疗机构医疗废物处理的建议（</w:t>
      </w:r>
      <w:r>
        <w:rPr>
          <w:rFonts w:hint="eastAsia" w:ascii="Times New Roman" w:hAnsi="Times New Roman" w:eastAsia="楷体_GB2312" w:cs="Times New Roman"/>
          <w:b/>
          <w:bCs/>
          <w:color w:val="auto"/>
          <w:spacing w:val="0"/>
          <w:kern w:val="44"/>
          <w:sz w:val="32"/>
          <w:szCs w:val="32"/>
          <w:highlight w:val="none"/>
          <w:lang w:val="en-US" w:eastAsia="zh-CN" w:bidi="ar-SA"/>
        </w:rPr>
        <w:t>80</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健全管理制度，强化责任落实。制定《濉溪县医疗废物暂存处设置标准》《关于推进濉溪县医疗卫生机构医疗废弃物智慧监管平台建设的通知》《关于开展医疗卫生机构医疗废物（污水）及放射场所专项检查的通知》等文件，进一步明确农村卫生院、村卫生室等各级医疗机构在医疗废物分类、收集、暂存、转运等环节的操作流程与管理职责，将医疗废物处理工作纳入医疗机构年度考核体系，对工作落实不到位的单位进行通报批评并督促整改。二</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完善设施建设，优化转运体系。积极争取上级专项资金支持，同时统筹本级财政资金，依据《城市社区医疗卫生机构和村卫生室标准化建设实施办法》等相关标准，全面开展村卫生室基础设施建设工作，对考核达标的村卫生室给予奖补，奖补标准为1.6万/家。在农村地区新建和改造一批标准化医疗废物暂存点，配备符合要求的冷藏、防渗漏、防鼠、防蚊蝇等设施设备，进一步加大对农村医疗机构医疗废物处理设施建设、设备更新的投入力度，逐步改善农村医疗废物处理硬件条件。积极引入第三方专业医疗废物处置企业，各卫生室签订处置转运合同，由龙铁公司专用车辆及时转运，集中处置，通过建立 “收集、转运、处理” 的统一收集转运模式，提高医疗废物转运效率，确保医疗废物能够得到及时、规范处置。三</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是</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开展教育培训，提升专业水平。各卫生院组织开展农村医疗机构医疗废物管理培训，学习《医疗废物管理条例》）《医疗卫生机医疗废物管理办法》《关于印发〈濉溪县医疗废物暂存处设置标准〉及相关管理要求的通知》《药品管理办法》等相关法律、制度和专业技术知识，对医疗废物分类标准、包装标识要求、应急处置措施等内容进行详细讲解。同时，通过线上线下相结合的方式，向农村医疗机构工作人员普及医疗废物管理相关法律法规和专业知识，切实提高其责任意识和业务能力。（四）规范医废分类，推行信息化管理。村卫生室、门诊、诊所等基层医疗卫生机构实行医疗废物的源头分类、标识、台账管理制度，构建医疗废弃物智慧监管平台，打造“互联网+医废监管”模式，通过为医疗机构配备智能称重、扫码溯源等设备，建立电子台账，实现医疗废物从产生、收集、转运到处置全过程的实时监控与数据可追溯，提升管理的精细化和智能化水平。</w:t>
      </w:r>
      <w:r>
        <w:rPr>
          <w:rFonts w:hint="default" w:ascii="Times New Roman" w:hAnsi="Times New Roman" w:eastAsia="楷体_GB2312" w:cs="Times New Roman"/>
          <w:b/>
          <w:bCs/>
          <w:color w:val="auto"/>
          <w:spacing w:val="0"/>
          <w:kern w:val="44"/>
          <w:sz w:val="32"/>
          <w:szCs w:val="32"/>
          <w:highlight w:val="none"/>
          <w:lang w:val="en-US" w:eastAsia="zh-CN" w:bidi="ar-SA"/>
        </w:rPr>
        <w:t>（承办单位：县卫健委）</w:t>
      </w:r>
    </w:p>
    <w:p w14:paraId="799B3BD7">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关于婚前培训的建议（</w:t>
      </w:r>
      <w:r>
        <w:rPr>
          <w:rFonts w:hint="eastAsia" w:ascii="Times New Roman" w:hAnsi="Times New Roman" w:eastAsia="楷体_GB2312" w:cs="Times New Roman"/>
          <w:b/>
          <w:bCs/>
          <w:color w:val="auto"/>
          <w:spacing w:val="0"/>
          <w:kern w:val="44"/>
          <w:sz w:val="32"/>
          <w:szCs w:val="32"/>
          <w:highlight w:val="none"/>
          <w:lang w:val="en-US" w:eastAsia="zh-CN" w:bidi="ar-SA"/>
        </w:rPr>
        <w:t>81</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auto"/>
          <w:spacing w:val="0"/>
          <w:kern w:val="2"/>
          <w:sz w:val="32"/>
          <w:szCs w:val="32"/>
          <w:highlight w:val="none"/>
          <w:lang w:val="en-US" w:eastAsia="zh-CN" w:bidi="ar-SA"/>
        </w:rPr>
        <w:t>一</w:t>
      </w:r>
      <w:r>
        <w:rPr>
          <w:rFonts w:hint="eastAsia" w:ascii="Times New Roman" w:hAnsi="Times New Roman" w:cs="Times New Roman"/>
          <w:b w:val="0"/>
          <w:bCs/>
          <w:color w:val="auto"/>
          <w:spacing w:val="0"/>
          <w:kern w:val="2"/>
          <w:sz w:val="32"/>
          <w:szCs w:val="32"/>
          <w:highlight w:val="none"/>
          <w:lang w:val="en-US" w:eastAsia="zh-CN" w:bidi="ar-SA"/>
        </w:rPr>
        <w:t>是完善</w:t>
      </w:r>
      <w:r>
        <w:rPr>
          <w:rFonts w:hint="default" w:ascii="Times New Roman" w:hAnsi="Times New Roman" w:eastAsia="仿宋_GB2312" w:cs="Times New Roman"/>
          <w:b w:val="0"/>
          <w:bCs/>
          <w:color w:val="auto"/>
          <w:spacing w:val="0"/>
          <w:kern w:val="2"/>
          <w:sz w:val="32"/>
          <w:szCs w:val="32"/>
          <w:highlight w:val="none"/>
          <w:lang w:val="en-US" w:eastAsia="zh-CN" w:bidi="ar-SA"/>
        </w:rPr>
        <w:t>辅导方式与内容</w:t>
      </w:r>
      <w:r>
        <w:rPr>
          <w:rFonts w:hint="eastAsia" w:ascii="Times New Roman" w:hAnsi="Times New Roman" w:cs="Times New Roman"/>
          <w:b w:val="0"/>
          <w:bCs/>
          <w:color w:val="auto"/>
          <w:spacing w:val="0"/>
          <w:kern w:val="2"/>
          <w:sz w:val="32"/>
          <w:szCs w:val="32"/>
          <w:highlight w:val="none"/>
          <w:lang w:val="en-US" w:eastAsia="zh-CN" w:bidi="ar-SA"/>
        </w:rPr>
        <w:t>，</w:t>
      </w:r>
      <w:r>
        <w:rPr>
          <w:rFonts w:hint="default" w:ascii="Times New Roman" w:hAnsi="Times New Roman" w:eastAsia="仿宋_GB2312" w:cs="Times New Roman"/>
          <w:b w:val="0"/>
          <w:bCs/>
          <w:color w:val="auto"/>
          <w:spacing w:val="0"/>
          <w:kern w:val="2"/>
          <w:sz w:val="32"/>
          <w:szCs w:val="32"/>
          <w:highlight w:val="none"/>
          <w:lang w:val="en-US" w:eastAsia="zh-CN" w:bidi="ar-SA"/>
        </w:rPr>
        <w:t>在婚姻登记处设立专门的婚姻家庭辅导室，安排专业辅导员值班，为前来登记的新人提供一对一咨询服务。定期举办婚前辅导讲座，围绕婚姻法律知识、夫妻相处之道、情绪管理、财务管理等主题展开培训。全年共举办6场集中授课，吸引了200对新人参与。二</w:t>
      </w:r>
      <w:r>
        <w:rPr>
          <w:rFonts w:hint="eastAsia" w:ascii="Times New Roman" w:hAnsi="Times New Roman" w:cs="Times New Roman"/>
          <w:b w:val="0"/>
          <w:bCs/>
          <w:color w:val="auto"/>
          <w:spacing w:val="0"/>
          <w:kern w:val="2"/>
          <w:sz w:val="32"/>
          <w:szCs w:val="32"/>
          <w:highlight w:val="none"/>
          <w:lang w:val="en-US" w:eastAsia="zh-CN" w:bidi="ar-SA"/>
        </w:rPr>
        <w:t>是</w:t>
      </w:r>
      <w:r>
        <w:rPr>
          <w:rFonts w:hint="default" w:ascii="Times New Roman" w:hAnsi="Times New Roman" w:eastAsia="仿宋_GB2312" w:cs="Times New Roman"/>
          <w:b w:val="0"/>
          <w:bCs/>
          <w:color w:val="auto"/>
          <w:spacing w:val="0"/>
          <w:kern w:val="2"/>
          <w:sz w:val="32"/>
          <w:szCs w:val="32"/>
          <w:highlight w:val="none"/>
          <w:lang w:val="en-US" w:eastAsia="zh-CN" w:bidi="ar-SA"/>
        </w:rPr>
        <w:t>辅导成果</w:t>
      </w:r>
      <w:r>
        <w:rPr>
          <w:rFonts w:hint="eastAsia" w:ascii="Times New Roman" w:hAnsi="Times New Roman" w:cs="Times New Roman"/>
          <w:b w:val="0"/>
          <w:bCs/>
          <w:color w:val="auto"/>
          <w:spacing w:val="0"/>
          <w:kern w:val="2"/>
          <w:sz w:val="32"/>
          <w:szCs w:val="32"/>
          <w:highlight w:val="none"/>
          <w:lang w:val="en-US" w:eastAsia="zh-CN" w:bidi="ar-SA"/>
        </w:rPr>
        <w:t>。</w:t>
      </w:r>
      <w:r>
        <w:rPr>
          <w:rFonts w:hint="default" w:ascii="Times New Roman" w:hAnsi="Times New Roman" w:eastAsia="仿宋_GB2312" w:cs="Times New Roman"/>
          <w:b w:val="0"/>
          <w:bCs/>
          <w:color w:val="auto"/>
          <w:spacing w:val="0"/>
          <w:kern w:val="2"/>
          <w:sz w:val="32"/>
          <w:szCs w:val="32"/>
          <w:highlight w:val="none"/>
          <w:lang w:val="en-US" w:eastAsia="zh-CN" w:bidi="ar-SA"/>
        </w:rPr>
        <w:t>通过婚前辅导，大部分新人对婚姻的理解更加深刻，不再将婚姻简单视为爱情的延续，而是意识到婚姻是责任与承诺的结合。在对新人的回访调查中，98%的新人表示对婚姻有了全新认识，更加珍惜婚姻关系。新人在沟通技巧、矛盾处理等方面能力得到显著提升，减少了婚后因生活琐事引发的矛盾。三是社会影响持续扩大。婚前辅导工作获得社会广泛关注与认可，有效营造了重视婚姻家庭、倡导文明婚俗的良好氛围，带动更多未婚青年主动参与婚前辅导。</w:t>
      </w:r>
      <w:r>
        <w:rPr>
          <w:rFonts w:hint="default" w:ascii="Times New Roman" w:hAnsi="Times New Roman" w:eastAsia="楷体_GB2312" w:cs="Times New Roman"/>
          <w:b/>
          <w:bCs/>
          <w:color w:val="auto"/>
          <w:spacing w:val="0"/>
          <w:kern w:val="44"/>
          <w:sz w:val="32"/>
          <w:szCs w:val="32"/>
          <w:highlight w:val="none"/>
          <w:lang w:val="en-US" w:eastAsia="zh-CN" w:bidi="ar-SA"/>
        </w:rPr>
        <w:t>（承办单位：县民政局）</w:t>
      </w:r>
    </w:p>
    <w:p w14:paraId="342FFE85">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关于及时发放养老机构各项补贴资金的建议（</w:t>
      </w:r>
      <w:r>
        <w:rPr>
          <w:rFonts w:hint="eastAsia" w:ascii="Times New Roman" w:hAnsi="Times New Roman" w:eastAsia="楷体_GB2312" w:cs="Times New Roman"/>
          <w:b/>
          <w:bCs/>
          <w:color w:val="auto"/>
          <w:spacing w:val="0"/>
          <w:kern w:val="44"/>
          <w:sz w:val="32"/>
          <w:szCs w:val="32"/>
          <w:highlight w:val="none"/>
          <w:lang w:val="en-US" w:eastAsia="zh-CN" w:bidi="ar-SA"/>
        </w:rPr>
        <w:t>82</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auto"/>
          <w:spacing w:val="0"/>
          <w:kern w:val="2"/>
          <w:sz w:val="32"/>
          <w:szCs w:val="32"/>
          <w:highlight w:val="none"/>
          <w:lang w:val="en-US" w:eastAsia="zh-CN" w:bidi="ar-SA"/>
        </w:rPr>
        <w:t>县民政局将包括养老机构补贴资金在内的有关养老服务相关补贴资金列为急需拨款计划，积极推动资金落实。2025年，县财政已支付全县养老服务补贴资金1096.22万元，用于发放老年助餐服务就餐补贴及运营补贴、养老机构一次性建设及运营补贴、敬老院改造提升奖补资金、城乡养老服务三级中心建设及运营补贴、</w:t>
      </w:r>
      <w:r>
        <w:rPr>
          <w:rFonts w:hint="eastAsia" w:ascii="Times New Roman" w:hAnsi="Times New Roman" w:cs="Times New Roman"/>
          <w:b w:val="0"/>
          <w:bCs/>
          <w:color w:val="auto"/>
          <w:spacing w:val="-6"/>
          <w:kern w:val="2"/>
          <w:sz w:val="32"/>
          <w:szCs w:val="32"/>
          <w:highlight w:val="none"/>
          <w:lang w:val="en-US" w:eastAsia="zh-CN" w:bidi="ar-SA"/>
        </w:rPr>
        <w:t>公建公营敬老院运营补助等养老服务资金。</w:t>
      </w:r>
      <w:r>
        <w:rPr>
          <w:rFonts w:hint="default" w:ascii="Times New Roman" w:hAnsi="Times New Roman" w:eastAsia="楷体_GB2312" w:cs="Times New Roman"/>
          <w:b/>
          <w:bCs/>
          <w:color w:val="auto"/>
          <w:spacing w:val="-6"/>
          <w:kern w:val="44"/>
          <w:sz w:val="32"/>
          <w:szCs w:val="32"/>
          <w:highlight w:val="none"/>
          <w:lang w:val="en-US" w:eastAsia="zh-CN" w:bidi="ar-SA"/>
        </w:rPr>
        <w:t>（承办单位：县民政局）</w:t>
      </w:r>
    </w:p>
    <w:p w14:paraId="3D91A598">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关于加大高中信息化、智能化教学投资的建议（</w:t>
      </w:r>
      <w:r>
        <w:rPr>
          <w:rFonts w:hint="eastAsia" w:ascii="Times New Roman" w:hAnsi="Times New Roman" w:eastAsia="楷体_GB2312" w:cs="Times New Roman"/>
          <w:b/>
          <w:bCs/>
          <w:color w:val="auto"/>
          <w:spacing w:val="0"/>
          <w:kern w:val="44"/>
          <w:sz w:val="32"/>
          <w:szCs w:val="32"/>
          <w:highlight w:val="none"/>
          <w:lang w:val="en-US" w:eastAsia="zh-CN" w:bidi="ar-SA"/>
        </w:rPr>
        <w:t>83</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自</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2019年开展智慧课堂的建设工作</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以来</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到2022年实现全县中小学智慧课堂全覆盖。所有已建成智慧学校运用智慧课堂开课科目不少于3门，且开课总节数不少于6节/周。2025年举办了智慧课堂优质课评选活动，并组织开展了智慧课堂教学观摩研讨活动。组建电教馆及学校两级运维服务团队，协同智慧课堂建设企业做好智慧课堂教学保障工作，建立管理、维护制度，明确责任。每校配备1名管理员进行设备维护工作，确保智慧课堂教学工作顺利开展。</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0CEA3629">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关于加强校园安全关爱生命的建议（</w:t>
      </w:r>
      <w:r>
        <w:rPr>
          <w:rFonts w:hint="eastAsia" w:ascii="Times New Roman" w:hAnsi="Times New Roman" w:eastAsia="楷体_GB2312" w:cs="Times New Roman"/>
          <w:b/>
          <w:bCs/>
          <w:color w:val="auto"/>
          <w:spacing w:val="0"/>
          <w:kern w:val="44"/>
          <w:sz w:val="32"/>
          <w:szCs w:val="32"/>
          <w:highlight w:val="none"/>
          <w:lang w:val="en-US" w:eastAsia="zh-CN" w:bidi="ar-SA"/>
        </w:rPr>
        <w:t>84</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2025年先后三次召开学校安全与校车安全管理专题会议，对学校安全工作进行系统部署。学校常态化开展安全隐患自查活动，共查出安全隐患147个，予以立行立改，其中更换维修消防设施30个，维修校舍墙壁脱落45处。开展三轮地毯式校园安全隐患排查整治行动，共排查出安全隐患103项，已全部整改销号；联合开展为期三个月的校车安全专项整治，消除安全隐患101个；各镇、园区对辖区1243处水域进行全面排查，精准划分45处高风险、56处中风险、1142处低风险水域，同步新增860块防溺水警示标识、600余套自救简易设施，并悬挂540余条宣传标语；教育与市场监管部门开展四轮校园食品安全专项抽查，及时排除1024个食品安全隐患，全方位守护师生饮食健康。常态化开展“1530安全教育活动”，积极组织教师开展家访活动，举办“你我同心 反诈同行”主题手抄报评比活动，学校围绕“4.15”全民国家安全教育日，开展“全民国家安全教育 走深走实十周年”系列宣传教育活动。组织全县师生参与三轮消防安全知识培训，840名学校食品从业人员参加省市食品安全培训，开展三轮“心手相牵，守护平安”安全知识演讲与演练进校园活动，8000余名师生踊跃参与，通过实操演练掌握“黄金4分钟”急救技能，提升逃生自救能力。在校园安全“三防”建设方面，配备812名专职安保人员，开展两轮安保人员防爆器械使用专项培训，严格落实“四个100%”安防体系建设标准，切实保障师生人身财产安全。强化关爱帮扶，护航青少年健康成长。今年以来，开展1次集中筛查，累计排查10万余人次。落实全市“红淮护苗”专项行动工作部署，全县教育系统共建档困难未成年人236名，帮扶覆盖率和帮扶措施落实率均达100%。</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7BA4541B">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关于维修濉七路大侯集北段的建议（</w:t>
      </w:r>
      <w:r>
        <w:rPr>
          <w:rFonts w:hint="eastAsia" w:ascii="Times New Roman" w:hAnsi="Times New Roman" w:eastAsia="楷体_GB2312" w:cs="Times New Roman"/>
          <w:b/>
          <w:bCs/>
          <w:color w:val="auto"/>
          <w:spacing w:val="0"/>
          <w:kern w:val="44"/>
          <w:sz w:val="32"/>
          <w:szCs w:val="32"/>
          <w:highlight w:val="none"/>
          <w:lang w:val="en-US" w:eastAsia="zh-CN" w:bidi="ar-SA"/>
        </w:rPr>
        <w:t>85</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一是定期进行路面巡查，协调矿定期对塌陷段进行维护，保证正常通行；二是设置标志标牌、护栏等安防设施，保证通行安全；三是将此路段纳入濉溪县2025年农村公路养护提升中修工程，已开工建设。</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063CBCA5">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关于孙疃镇各大路口红绿灯安装问题的建议（</w:t>
      </w:r>
      <w:r>
        <w:rPr>
          <w:rFonts w:hint="eastAsia" w:ascii="Times New Roman" w:hAnsi="Times New Roman" w:eastAsia="楷体_GB2312" w:cs="Times New Roman"/>
          <w:b/>
          <w:bCs/>
          <w:color w:val="auto"/>
          <w:spacing w:val="0"/>
          <w:kern w:val="44"/>
          <w:sz w:val="32"/>
          <w:szCs w:val="32"/>
          <w:highlight w:val="none"/>
          <w:lang w:val="en-US" w:eastAsia="zh-CN" w:bidi="ar-SA"/>
        </w:rPr>
        <w:t>86</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交管部门实地调研，积极与镇政府对接，向上级主管部门报告，申请资金解决信号灯缺失的问题。此项工作交管部门将持续跟进，争取相关部门支持，完善道路交通设施，做好事故预防工作。</w:t>
      </w:r>
      <w:r>
        <w:rPr>
          <w:rFonts w:hint="default" w:ascii="Times New Roman" w:hAnsi="Times New Roman" w:eastAsia="楷体_GB2312" w:cs="Times New Roman"/>
          <w:b/>
          <w:bCs/>
          <w:color w:val="auto"/>
          <w:spacing w:val="0"/>
          <w:kern w:val="44"/>
          <w:sz w:val="32"/>
          <w:szCs w:val="32"/>
          <w:highlight w:val="none"/>
          <w:lang w:val="en-US" w:eastAsia="zh-CN" w:bidi="ar-SA"/>
        </w:rPr>
        <w:t>（承办单位：县公安局）</w:t>
      </w:r>
    </w:p>
    <w:p w14:paraId="34C816DA">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关于提高农村医疗报销比例的建议（</w:t>
      </w:r>
      <w:r>
        <w:rPr>
          <w:rFonts w:hint="eastAsia" w:ascii="Times New Roman" w:hAnsi="Times New Roman" w:eastAsia="楷体_GB2312" w:cs="Times New Roman"/>
          <w:b/>
          <w:bCs/>
          <w:color w:val="auto"/>
          <w:spacing w:val="0"/>
          <w:kern w:val="44"/>
          <w:sz w:val="32"/>
          <w:szCs w:val="32"/>
          <w:highlight w:val="none"/>
          <w:lang w:val="en-US" w:eastAsia="zh-CN" w:bidi="ar-SA"/>
        </w:rPr>
        <w:t>87</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全县2025年1月1日起施行的《安徽省医疗保障局、安徽省财政厅关于进一步规范统一医保基金支付范围的通知》（皖医保发〔2025〕7号）文件规定</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一、规范统一医保基金支付范围</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按照国家医疗保障待遇清单制度要求确定医保基金支付范围，基本医疗保险（职工基本医疗保险和城乡居民基本医疗保险）按照规定的药品、医用耗材和医疗服务项目支付范围支付。居民基本医疗保险限额30万元，大病保险、医疗救助支付范围参照执行。医保目录由负面清单制管理向正面清单制管理转变。居民大病保险年度封顶线为30万元</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二、优化完善医保待遇保障政策 </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提高医保基金支付范围内医疗费用报销水平，依规逐步扩大医疗服务项目、医用耗材医保支付范围，理顺异地就医报销政策，确保患者享受公平适度的医疗保障待遇。</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下调居民医保省内异地就医报销起付线。将省内临时异地就医住院治疗的，一级及以下、二级和县级、三级（市属）、三级（省属）医疗机构起付线由原来增加1倍下调为0.5倍，进一步扩大基本医保段报销受益面。</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降低部分医保药品和项目个人先行自付比例。国家医保谈判药品、“双通道”管理药品、纳入基本医保部分支付的医疗服务项目，个人先行自付比例由原30%统一下调至20%</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低于20%的，继续按照现行比例执行。进一步减轻患者医疗费用负担，推动国家医保谈判创新药落地使用，促进医疗服务发展。</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逐步提高门诊保障待遇水平。实行门诊慢特病动态调整机制，逐步扩大门诊慢特病病种范围，目前慢特病病种已达90种。超门诊慢特病病种年度报销限额的政策范围内医药费用纳入大病保险支付范围。对于国家《第一批罕见病目录》《第二批罕见病目录》中收录的207种罕见病中部分病种，目前特殊治疗药品尚未纳入基本医疗保险药品目录范围的，罕见病患者在定点医疗机构发生的符合药品法定适应症或有临床循证医学证据的门诊或住院合规罕见病药品费用，大病保险基金实行单行支付。</w:t>
      </w:r>
      <w:r>
        <w:rPr>
          <w:rFonts w:hint="default" w:ascii="Times New Roman" w:hAnsi="Times New Roman" w:eastAsia="楷体_GB2312" w:cs="Times New Roman"/>
          <w:b/>
          <w:bCs/>
          <w:color w:val="auto"/>
          <w:spacing w:val="0"/>
          <w:kern w:val="44"/>
          <w:sz w:val="32"/>
          <w:szCs w:val="32"/>
          <w:highlight w:val="none"/>
          <w:lang w:val="en-US" w:eastAsia="zh-CN" w:bidi="ar-SA"/>
        </w:rPr>
        <w:t>（承办单位：县医保局）</w:t>
      </w:r>
    </w:p>
    <w:p w14:paraId="01FE745F">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关于提升孙疃镇十字路口交通秩序的建议（</w:t>
      </w:r>
      <w:r>
        <w:rPr>
          <w:rFonts w:hint="eastAsia" w:ascii="Times New Roman" w:hAnsi="Times New Roman" w:eastAsia="楷体_GB2312" w:cs="Times New Roman"/>
          <w:b/>
          <w:bCs/>
          <w:color w:val="auto"/>
          <w:spacing w:val="0"/>
          <w:kern w:val="44"/>
          <w:sz w:val="32"/>
          <w:szCs w:val="32"/>
          <w:highlight w:val="none"/>
          <w:lang w:val="en-US" w:eastAsia="zh-CN" w:bidi="ar-SA"/>
        </w:rPr>
        <w:t>88</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孙疃镇政府积极协调交通部门开展实地勘察，开展交通法规宣传活动，</w:t>
      </w:r>
      <w:r>
        <w:rPr>
          <w:rFonts w:hint="eastAsia" w:ascii="Times New Roman" w:hAnsi="Times New Roman" w:cs="Times New Roman"/>
          <w:b w:val="0"/>
          <w:bCs/>
          <w:color w:val="000000" w:themeColor="text1"/>
          <w:spacing w:val="-6"/>
          <w:kern w:val="2"/>
          <w:sz w:val="32"/>
          <w:szCs w:val="32"/>
          <w:highlight w:val="none"/>
          <w:lang w:val="en-US" w:eastAsia="zh-CN" w:bidi="ar-SA"/>
          <w14:textFill>
            <w14:solidFill>
              <w14:schemeClr w14:val="tx1"/>
            </w14:solidFill>
          </w14:textFill>
        </w:rPr>
        <w:t>规范电瓶车和三轮电瓶车停放秩序。</w:t>
      </w:r>
      <w:r>
        <w:rPr>
          <w:rFonts w:hint="default" w:ascii="Times New Roman" w:hAnsi="Times New Roman" w:eastAsia="楷体_GB2312" w:cs="Times New Roman"/>
          <w:b/>
          <w:bCs/>
          <w:color w:val="auto"/>
          <w:spacing w:val="-6"/>
          <w:kern w:val="44"/>
          <w:sz w:val="32"/>
          <w:szCs w:val="32"/>
          <w:highlight w:val="none"/>
          <w:lang w:val="en-US" w:eastAsia="zh-CN" w:bidi="ar-SA"/>
        </w:rPr>
        <w:t>（承办单位：孙疃镇</w:t>
      </w:r>
      <w:r>
        <w:rPr>
          <w:rFonts w:hint="eastAsia" w:ascii="Times New Roman" w:hAnsi="Times New Roman" w:eastAsia="楷体_GB2312" w:cs="Times New Roman"/>
          <w:b/>
          <w:bCs/>
          <w:color w:val="auto"/>
          <w:spacing w:val="-6"/>
          <w:kern w:val="44"/>
          <w:sz w:val="32"/>
          <w:szCs w:val="32"/>
          <w:highlight w:val="none"/>
          <w:lang w:val="en-US" w:eastAsia="zh-CN" w:bidi="ar-SA"/>
        </w:rPr>
        <w:t>人民政府</w:t>
      </w:r>
      <w:r>
        <w:rPr>
          <w:rFonts w:hint="default" w:ascii="Times New Roman" w:hAnsi="Times New Roman" w:eastAsia="楷体_GB2312" w:cs="Times New Roman"/>
          <w:b/>
          <w:bCs/>
          <w:color w:val="auto"/>
          <w:spacing w:val="-6"/>
          <w:kern w:val="44"/>
          <w:sz w:val="32"/>
          <w:szCs w:val="32"/>
          <w:highlight w:val="none"/>
          <w:lang w:val="en-US" w:eastAsia="zh-CN" w:bidi="ar-SA"/>
        </w:rPr>
        <w:t>）</w:t>
      </w:r>
    </w:p>
    <w:p w14:paraId="6583EE73">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关于推进城乡垃圾分类的建议（</w:t>
      </w:r>
      <w:r>
        <w:rPr>
          <w:rFonts w:hint="eastAsia" w:ascii="Times New Roman" w:hAnsi="Times New Roman" w:eastAsia="楷体_GB2312" w:cs="Times New Roman"/>
          <w:b/>
          <w:bCs/>
          <w:color w:val="auto"/>
          <w:spacing w:val="0"/>
          <w:kern w:val="44"/>
          <w:sz w:val="32"/>
          <w:szCs w:val="32"/>
          <w:highlight w:val="none"/>
          <w:lang w:val="en-US" w:eastAsia="zh-CN" w:bidi="ar-SA"/>
        </w:rPr>
        <w:t>89</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加强宣传教育。持续开展城区生活垃圾分类宣传，引导居民逐步形成垃圾分类及环保意识。二是完善分类收运体系。全县已建成垃圾分类集中收集亭和智能垃圾分类设备共103处，覆盖居民小区88个，城区生活垃圾分类覆盖率达到82%。三是强化法律与制度保障。濉溪县</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持续</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加强垃圾分类的法律与制度保障工作，不断完善相关政策法规和制度体系，加强法治保障和执法力度，推动垃圾分类工作向更高水平迈进。四是促进多方合作与参与。由城管局牵头，多部门参与的垃圾分类工作会议制度，定期召开会议，研究解决垃圾分类工作中遇到的问题。充分发挥社区在垃圾分类工作中的基础作用，将垃圾分类纳入社区治理体系。五是建立长效机制。建立法治保障机制，加强生活垃圾分类投放、收运、处理等方面工作，依法依规通过教育与处罚、纳入社会诚信体系等方式引导约束居民和企业的行为;强化部门联动执法，对拒不分类、混装混运、无资质收运等行为依法依规进行查处，并通过媒体进行曝光。</w:t>
      </w:r>
      <w:r>
        <w:rPr>
          <w:rFonts w:hint="default" w:ascii="Times New Roman" w:hAnsi="Times New Roman" w:eastAsia="楷体_GB2312" w:cs="Times New Roman"/>
          <w:b/>
          <w:bCs/>
          <w:color w:val="auto"/>
          <w:spacing w:val="0"/>
          <w:kern w:val="44"/>
          <w:sz w:val="32"/>
          <w:szCs w:val="32"/>
          <w:highlight w:val="none"/>
          <w:lang w:val="en-US" w:eastAsia="zh-CN" w:bidi="ar-SA"/>
        </w:rPr>
        <w:t>（承办单位：县城管局）</w:t>
      </w:r>
    </w:p>
    <w:p w14:paraId="3A0DD163">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关于修缮、新建铁佛镇损毁桥梁的建议（</w:t>
      </w:r>
      <w:r>
        <w:rPr>
          <w:rFonts w:hint="eastAsia" w:ascii="Times New Roman" w:hAnsi="Times New Roman" w:eastAsia="楷体_GB2312" w:cs="Times New Roman"/>
          <w:b/>
          <w:bCs/>
          <w:color w:val="auto"/>
          <w:spacing w:val="0"/>
          <w:kern w:val="44"/>
          <w:sz w:val="32"/>
          <w:szCs w:val="32"/>
          <w:highlight w:val="none"/>
          <w:lang w:val="en-US" w:eastAsia="zh-CN" w:bidi="ar-SA"/>
        </w:rPr>
        <w:t>90</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2024年市交通运输局委托检测机构对农村公路桥梁进行检测，经检测庙西桥、孙楼北桥为五类危桥，2025年6月县交通运输局上报省交通运输厅，将两桥纳入2026年农村公路危桥改造计划，进行拆除重建，由铁佛镇人民政府作为业主进行实施，目前正在进行施工图设计工作，预计2026年3月开工建设，9月完工并投入使用；米庄西桥经鉴定为四类危桥，不宜拆除重建，按规范要求应限载通行，增加护栏、标志牌等安全防范设施。店孜村店东桥在养护年报调整时列入年报库，按照“县道县管、乡村道乡村管”的原则，铁佛镇政府可委托专业桥梁检测机构，对该桥进行鉴定，经鉴定为五类危桥，县交通运输局将上报省交通运输厅危桥改造建设计划，积极筹措资金，尽快实施。</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7851E560">
      <w:pPr>
        <w:pStyle w:val="2"/>
        <w:keepNext w:val="0"/>
        <w:keepLines w:val="0"/>
        <w:pageBreakBefore w:val="0"/>
        <w:widowControl w:val="0"/>
        <w:shd w:val="clear"/>
        <w:kinsoku/>
        <w:wordWrap/>
        <w:overflowPunct/>
        <w:topLinePunct w:val="0"/>
        <w:autoSpaceDE/>
        <w:autoSpaceDN/>
        <w:bidi w:val="0"/>
        <w:adjustRightInd/>
        <w:snapToGrid/>
        <w:spacing w:beforeAutospacing="0"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关于铁佛中心学校增设校门的建议（</w:t>
      </w:r>
      <w:r>
        <w:rPr>
          <w:rFonts w:hint="eastAsia" w:ascii="Times New Roman" w:hAnsi="Times New Roman" w:eastAsia="楷体_GB2312" w:cs="Times New Roman"/>
          <w:b/>
          <w:bCs/>
          <w:color w:val="auto"/>
          <w:spacing w:val="0"/>
          <w:kern w:val="44"/>
          <w:sz w:val="32"/>
          <w:szCs w:val="32"/>
          <w:highlight w:val="none"/>
          <w:lang w:val="en-US" w:eastAsia="zh-CN" w:bidi="ar-SA"/>
        </w:rPr>
        <w:t>91</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县教育局及铁佛中心学校积极向当地政府部门汇报、沟通并申请，争取在学校北边开通北大门，以缓解学生出行拥堵、同时避免出入校园带来的交通安全问题。目前，开设北门所需的土地正在征收中，建设资金已落实，已开工建设。</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77E83D69">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关于加快建设铁佛镇医养结合医院的建议（</w:t>
      </w:r>
      <w:r>
        <w:rPr>
          <w:rFonts w:hint="eastAsia" w:ascii="Times New Roman" w:hAnsi="Times New Roman" w:eastAsia="楷体_GB2312" w:cs="Times New Roman"/>
          <w:b/>
          <w:bCs/>
          <w:color w:val="auto"/>
          <w:spacing w:val="0"/>
          <w:kern w:val="44"/>
          <w:sz w:val="32"/>
          <w:szCs w:val="32"/>
          <w:highlight w:val="none"/>
          <w:lang w:val="en-US" w:eastAsia="zh-CN" w:bidi="ar-SA"/>
        </w:rPr>
        <w:t>92</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一是每周召开项目推进会，与项目公司、监理沟通加快项目建设。二是积极向县财政争取资金，用于医院建设。三是从濉溪县基层医疗卫生事业发展统筹资金中划拨经费。四是积极申请上级资金支持。</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同时，</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与项目公司沟通，近期将加快铁佛镇卫生院新院建设</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楷体_GB2312" w:cs="Times New Roman"/>
          <w:b/>
          <w:bCs/>
          <w:color w:val="auto"/>
          <w:spacing w:val="0"/>
          <w:kern w:val="44"/>
          <w:sz w:val="32"/>
          <w:szCs w:val="32"/>
          <w:highlight w:val="none"/>
          <w:lang w:val="en-US" w:eastAsia="zh-CN" w:bidi="ar-SA"/>
        </w:rPr>
        <w:t>（承办单位：县卫健委）</w:t>
      </w:r>
    </w:p>
    <w:p w14:paraId="2E59EE17">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关于在铁佛镇S411与梁宋路交叉口安装红绿灯的建议（</w:t>
      </w:r>
      <w:r>
        <w:rPr>
          <w:rFonts w:hint="eastAsia" w:ascii="Times New Roman" w:hAnsi="Times New Roman" w:eastAsia="楷体_GB2312" w:cs="Times New Roman"/>
          <w:b/>
          <w:bCs/>
          <w:color w:val="auto"/>
          <w:spacing w:val="0"/>
          <w:kern w:val="44"/>
          <w:sz w:val="32"/>
          <w:szCs w:val="32"/>
          <w:highlight w:val="none"/>
          <w:lang w:val="en-US" w:eastAsia="zh-CN" w:bidi="ar-SA"/>
        </w:rPr>
        <w:t>93</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交管大队积极将建议反馈至上级部门，争取资金完善道路交通设施，提升事故预防成效。</w:t>
      </w:r>
      <w:r>
        <w:rPr>
          <w:rFonts w:hint="default" w:ascii="Times New Roman" w:hAnsi="Times New Roman" w:eastAsia="楷体_GB2312" w:cs="Times New Roman"/>
          <w:b/>
          <w:bCs/>
          <w:color w:val="auto"/>
          <w:spacing w:val="0"/>
          <w:kern w:val="44"/>
          <w:sz w:val="32"/>
          <w:szCs w:val="32"/>
          <w:highlight w:val="none"/>
          <w:lang w:val="en-US" w:eastAsia="zh-CN" w:bidi="ar-SA"/>
        </w:rPr>
        <w:t>（承办单位：县公安局）</w:t>
      </w:r>
    </w:p>
    <w:p w14:paraId="2D1C8ED3">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关于安装下水管道的建议（</w:t>
      </w:r>
      <w:r>
        <w:rPr>
          <w:rFonts w:hint="eastAsia" w:ascii="Times New Roman" w:hAnsi="Times New Roman" w:eastAsia="楷体_GB2312" w:cs="Times New Roman"/>
          <w:b/>
          <w:bCs/>
          <w:color w:val="auto"/>
          <w:spacing w:val="0"/>
          <w:kern w:val="44"/>
          <w:sz w:val="32"/>
          <w:szCs w:val="32"/>
          <w:highlight w:val="none"/>
          <w:lang w:val="en-US" w:eastAsia="zh-CN" w:bidi="ar-SA"/>
        </w:rPr>
        <w:t>94</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针对村内污水、雨水</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一是自然风干，二是挖下水道。目前采取自然风干的方式，今后将逐步实施进行改善。</w:t>
      </w:r>
      <w:r>
        <w:rPr>
          <w:rFonts w:hint="default" w:ascii="Times New Roman" w:hAnsi="Times New Roman" w:eastAsia="楷体_GB2312" w:cs="Times New Roman"/>
          <w:b/>
          <w:bCs/>
          <w:color w:val="auto"/>
          <w:spacing w:val="0"/>
          <w:kern w:val="44"/>
          <w:sz w:val="32"/>
          <w:szCs w:val="32"/>
          <w:highlight w:val="none"/>
          <w:lang w:val="en-US" w:eastAsia="zh-CN" w:bidi="ar-SA"/>
        </w:rPr>
        <w:t>（承办单位：铁佛镇</w:t>
      </w:r>
      <w:r>
        <w:rPr>
          <w:rFonts w:hint="eastAsia" w:ascii="Times New Roman" w:hAnsi="Times New Roman" w:eastAsia="楷体_GB2312" w:cs="Times New Roman"/>
          <w:b/>
          <w:bCs/>
          <w:color w:val="auto"/>
          <w:spacing w:val="0"/>
          <w:kern w:val="44"/>
          <w:sz w:val="32"/>
          <w:szCs w:val="32"/>
          <w:highlight w:val="none"/>
          <w:lang w:val="en-US" w:eastAsia="zh-CN" w:bidi="ar-SA"/>
        </w:rPr>
        <w:t>人民政府</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48387394">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关于发展濉溪古城文化特色旅游的建议（</w:t>
      </w:r>
      <w:r>
        <w:rPr>
          <w:rFonts w:hint="eastAsia" w:ascii="Times New Roman" w:hAnsi="Times New Roman" w:eastAsia="楷体_GB2312" w:cs="Times New Roman"/>
          <w:b/>
          <w:bCs/>
          <w:color w:val="auto"/>
          <w:spacing w:val="0"/>
          <w:kern w:val="44"/>
          <w:sz w:val="32"/>
          <w:szCs w:val="32"/>
          <w:highlight w:val="none"/>
          <w:lang w:val="en-US" w:eastAsia="zh-CN" w:bidi="ar-SA"/>
        </w:rPr>
        <w:t>95</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一是成功引入“南坪杠子馍”、“李记壮馍”、“王家油茶”、“老街鳝鱼辣汤”、“拉丝桥月饼”、“老城青灰变蛋”等众多本地特色美食商户，举办碳锅争霸赛，美食的魅力得到充分彰显。二是“石板街邮局”创新地将邮政产品与咖啡厅巧妙融合，打造出独具文化氛围的休闲空间；“张奶奶米酒汤圆”着力打造特色国风小院，营造出宁静雅致的氛围，并在去年下半年完成了全面升级改造，无论是白天的古风雅韵，还是夜晚的灯火阑珊，都吸引着无数游客前来拍照打卡，成为古城中人气爆棚的网红地标。三是濉溪古城持续举办的濉溪古城全民歌手大赛，为古城增添了浓厚的文化氛围与活力。四是濉溪古城汇聚近30家非遗商户，2025年又成功引入两家独具特色的非遗商户。2024-2025年，依托三月十八古庙会，通过搭建“线上+线下”双轨消费场景，实现线上引流、线下体验消费的同频共振。五是自2024年起，濉溪古城启动城墙复原修复工程，并对凝曦门对面的大桥进行修缮，力求最大程度再现古城原有风貌，让游客领略濉溪古城的历史韵味。在南大街西侧引入万达商业综合体，水街提升打造星聚城项目，对区域进行全方位提升改造。</w:t>
      </w:r>
      <w:r>
        <w:rPr>
          <w:rFonts w:hint="default" w:ascii="Times New Roman" w:hAnsi="Times New Roman" w:eastAsia="楷体_GB2312" w:cs="Times New Roman"/>
          <w:b/>
          <w:bCs/>
          <w:color w:val="auto"/>
          <w:spacing w:val="0"/>
          <w:kern w:val="44"/>
          <w:sz w:val="32"/>
          <w:szCs w:val="32"/>
          <w:highlight w:val="none"/>
          <w:lang w:val="en-US" w:eastAsia="zh-CN" w:bidi="ar-SA"/>
        </w:rPr>
        <w:t>（承办单位：县建投集团）</w:t>
      </w:r>
    </w:p>
    <w:p w14:paraId="7939F95F">
      <w:pPr>
        <w:pStyle w:val="2"/>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关于规范农村供水工程运行管理的建议（</w:t>
      </w:r>
      <w:r>
        <w:rPr>
          <w:rFonts w:hint="eastAsia" w:ascii="Times New Roman" w:hAnsi="Times New Roman" w:eastAsia="楷体_GB2312" w:cs="Times New Roman"/>
          <w:b/>
          <w:bCs/>
          <w:color w:val="auto"/>
          <w:spacing w:val="0"/>
          <w:kern w:val="44"/>
          <w:sz w:val="32"/>
          <w:szCs w:val="32"/>
          <w:highlight w:val="none"/>
          <w:lang w:val="en-US" w:eastAsia="zh-CN" w:bidi="ar-SA"/>
        </w:rPr>
        <w:t>96</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农村供水事关农民群众切身利益，事关乡村全面振兴，濉溪供水第一时间组织相关人员研究讨论并草拟《濉溪县农村饮用水供水管理条例》</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讨论版</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将扎实做好各项工作把农村供水保障这一实事工程办实办好。将抓好供水工程建设，深度挖潜规模化供水，规范提升小型供水工程，稳步推进管网入户。将抓实供水县域统管，加快推动直管到户，提高专业化管护水平，加强从“水源地”到“水龙头”的全链条管控，切实保障供水水质安全。</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（承办单位：县交投公司）</w:t>
      </w:r>
    </w:p>
    <w:p w14:paraId="4C51C0AF">
      <w:pPr>
        <w:pStyle w:val="2"/>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关于加强冬季防溺水宣传教育的建议（</w:t>
      </w:r>
      <w:r>
        <w:rPr>
          <w:rFonts w:hint="eastAsia" w:ascii="Times New Roman" w:hAnsi="Times New Roman" w:eastAsia="楷体_GB2312" w:cs="Times New Roman"/>
          <w:b/>
          <w:bCs/>
          <w:color w:val="auto"/>
          <w:spacing w:val="0"/>
          <w:kern w:val="44"/>
          <w:sz w:val="32"/>
          <w:szCs w:val="32"/>
          <w:highlight w:val="none"/>
          <w:lang w:val="en-US" w:eastAsia="zh-CN" w:bidi="ar-SA"/>
        </w:rPr>
        <w:t>97</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各学校充分利用主题班会、国旗下讲话、校园广播、宣传栏等日常教育场景，常态化开展“1530安全教育活动”，将安全知识融入学生日常学习生活。深化家校合作，积极组织教师开展家访活动，并在关键时间节点共发放5封《致家长一封信》，提醒学生家长密切关注孩子的安全健康成长，切实履行好监管责任。二是县教育局牵头联合各镇、园区对辖区1243处水域进行全面排查，精准划分45处高风险、56处中风险、1142处低风险水域，同步新增860块防溺水警示标识、600余套自救简易设施，并悬挂540余条宣传标语，及时排除溺水安全隐患，全方位守护师生的人身安全</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p>
    <w:p w14:paraId="59C8579C">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关于加强新濉河渔业资源管理的建议（</w:t>
      </w:r>
      <w:r>
        <w:rPr>
          <w:rFonts w:hint="eastAsia" w:ascii="Times New Roman" w:hAnsi="Times New Roman" w:eastAsia="楷体_GB2312" w:cs="Times New Roman"/>
          <w:b/>
          <w:bCs/>
          <w:color w:val="auto"/>
          <w:spacing w:val="0"/>
          <w:kern w:val="44"/>
          <w:sz w:val="32"/>
          <w:szCs w:val="32"/>
          <w:highlight w:val="none"/>
          <w:lang w:val="en-US" w:eastAsia="zh-CN" w:bidi="ar-SA"/>
        </w:rPr>
        <w:t>98</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县</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农业农村局积极开展“中国渔政亮剑”系列专项执法行动，严厉打击各种非法捕捞行为。开展《渔业法》等涉渔法律法规的宣传和执法工作。加强巡查，严格执法。定期组织人员对重点水域开展水上巡查，及时发现并制止违规捕捞行为。2024年至今立案处理渔业案件15起，其中无证捕捞案件2起，电鱼案件13起，收缴电鱼工具13台套，查处销毁</w:t>
      </w:r>
      <w:bookmarkStart w:id="0" w:name="OLE_LINK8"/>
      <w:bookmarkStart w:id="1" w:name="OLE_LINK7"/>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违规</w:t>
      </w:r>
      <w:bookmarkEnd w:id="0"/>
      <w:bookmarkEnd w:id="1"/>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渔具约300余件，处理淮北12345热线平台投诉违规捕捞事件32起。公开举报电话，完善“有举必查、查实必究”举报机制。建立联动执法机制，同公安、水务、市场、环保等单位开展执法行刑衔接工作，就打击非法捕捞行为、保护水域生态环境，各职能部门密切协作，并根据部门职责开展专项执法行动。</w:t>
      </w:r>
      <w:r>
        <w:rPr>
          <w:rFonts w:hint="default" w:ascii="Times New Roman" w:hAnsi="Times New Roman" w:eastAsia="楷体_GB2312" w:cs="Times New Roman"/>
          <w:b/>
          <w:bCs/>
          <w:color w:val="auto"/>
          <w:spacing w:val="0"/>
          <w:kern w:val="44"/>
          <w:sz w:val="32"/>
          <w:szCs w:val="32"/>
          <w:highlight w:val="none"/>
          <w:lang w:val="en-US" w:eastAsia="zh-CN" w:bidi="ar-SA"/>
        </w:rPr>
        <w:t>（承办单位：县农业农村局）</w:t>
      </w:r>
    </w:p>
    <w:p w14:paraId="1E130262">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关于农村道路硬化的建议（</w:t>
      </w:r>
      <w:r>
        <w:rPr>
          <w:rFonts w:hint="eastAsia" w:ascii="Times New Roman" w:hAnsi="Times New Roman" w:eastAsia="楷体_GB2312" w:cs="Times New Roman"/>
          <w:b/>
          <w:bCs/>
          <w:color w:val="auto"/>
          <w:spacing w:val="0"/>
          <w:kern w:val="44"/>
          <w:sz w:val="32"/>
          <w:szCs w:val="32"/>
          <w:highlight w:val="none"/>
          <w:lang w:val="en-US" w:eastAsia="zh-CN" w:bidi="ar-SA"/>
        </w:rPr>
        <w:t>99</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目前，我县农村道路已经实现了“村村通”、“庄庄通”，但“户户不通”。2024年4月11日，在县委召开农村工作会议暨县委农村工作领导小组2024年第二次会议，提出要积极探索农村道路“户户通”工程建设新模式，充分发挥群众主体作用，有效改善农村人居环境水平。濉溪县政府下发了《濉溪县农村道路“进村入户”建设工程实施方案》及《濉溪县农村道路“进村入户”建设工程（乡镇提供原材料模式）实施细则》，按照“政府引导、科学规划、试点先行、分步实施”的原则，具体由镇政府组织实施。2024年底，临涣镇沈圩村、百善镇百善村、四铺镇四铺村三个试点单位，已圆满完成28.38公里建设任务。2025年4月县交通运输局组织各镇开展并完成2025年“进村入户”建设工程的初步申报工作。</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6020CD28">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关于农村合作医疗降低收费标准的建议（</w:t>
      </w:r>
      <w:r>
        <w:rPr>
          <w:rFonts w:hint="eastAsia" w:ascii="Times New Roman" w:hAnsi="Times New Roman" w:eastAsia="楷体_GB2312" w:cs="Times New Roman"/>
          <w:b/>
          <w:bCs/>
          <w:color w:val="auto"/>
          <w:spacing w:val="0"/>
          <w:kern w:val="44"/>
          <w:sz w:val="32"/>
          <w:szCs w:val="32"/>
          <w:highlight w:val="none"/>
          <w:lang w:val="en-US" w:eastAsia="zh-CN" w:bidi="ar-SA"/>
        </w:rPr>
        <w:t>100</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城乡居民医保是互助共济政策，每年的筹资标准均由国家统一制定，各省、市、县遵照执行。目前国家医保局针对参保率问题正在积极探索个人缴费的相关激励政策，下一步将进一步强化医保参保政策的宣传力度，丰富宣传载体，开展对象化、分众化、互动化的参保宣传，让群众听得懂医保政策，看得见医保实惠，提高参保动员的说服力。同时，我们也将积极向上级医保部分反映，争取个人缴费的相关激励政策早日落地。</w:t>
      </w:r>
      <w:r>
        <w:rPr>
          <w:rFonts w:hint="default" w:ascii="Times New Roman" w:hAnsi="Times New Roman" w:eastAsia="楷体_GB2312" w:cs="Times New Roman"/>
          <w:b/>
          <w:bCs/>
          <w:color w:val="auto"/>
          <w:spacing w:val="0"/>
          <w:kern w:val="44"/>
          <w:sz w:val="32"/>
          <w:szCs w:val="32"/>
          <w:highlight w:val="none"/>
          <w:lang w:val="en-US" w:eastAsia="zh-CN" w:bidi="ar-SA"/>
        </w:rPr>
        <w:t>（承办单位：县医保局）</w:t>
      </w:r>
    </w:p>
    <w:p w14:paraId="579B424B">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关于适当提高农村养老待遇的建议（</w:t>
      </w:r>
      <w:r>
        <w:rPr>
          <w:rFonts w:hint="eastAsia" w:ascii="Times New Roman" w:hAnsi="Times New Roman" w:eastAsia="楷体_GB2312" w:cs="Times New Roman"/>
          <w:b/>
          <w:bCs/>
          <w:color w:val="auto"/>
          <w:spacing w:val="0"/>
          <w:kern w:val="44"/>
          <w:sz w:val="32"/>
          <w:szCs w:val="32"/>
          <w:highlight w:val="none"/>
          <w:lang w:val="en-US" w:eastAsia="zh-CN" w:bidi="ar-SA"/>
        </w:rPr>
        <w:t>101</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从2010年开始实施城乡居民基本保险以来，濉溪县城乡居民基本保险最初基础养老金为每人每月55元，目前濉溪县城乡居民基本养老保险基础养老金为每人每月175元，且65岁至74岁人员每人每月增发2元，75周岁以上老年人每人每月增发4元基础养老金。</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我县</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积极配合省、部调整城乡居保待遇，不断积极推进城乡居保待遇提高工作。</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（承办单位：县人社局）</w:t>
      </w:r>
    </w:p>
    <w:p w14:paraId="6973C3B6">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关于铁佛镇建南沟安装护栏的建议（</w:t>
      </w:r>
      <w:r>
        <w:rPr>
          <w:rFonts w:hint="eastAsia" w:ascii="Times New Roman" w:hAnsi="Times New Roman" w:eastAsia="楷体_GB2312" w:cs="Times New Roman"/>
          <w:b/>
          <w:bCs/>
          <w:color w:val="auto"/>
          <w:spacing w:val="0"/>
          <w:kern w:val="44"/>
          <w:sz w:val="32"/>
          <w:szCs w:val="32"/>
          <w:highlight w:val="none"/>
          <w:lang w:val="en-US" w:eastAsia="zh-CN" w:bidi="ar-SA"/>
        </w:rPr>
        <w:t>102</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S411刘桥至铁佛段改建工程路线全长约18.614公里，设计速度为60km/h，路基宽度13.5m，路面宽12m，二级公路标准，总投资约2.08亿元。通过S411刘桥至铁佛段改建工程的实施，可消除此路段的安全隐患。</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78CDE0B1">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关于铁佛镇油榨村赵楼丁字路口增设交通信号灯的建议（</w:t>
      </w:r>
      <w:r>
        <w:rPr>
          <w:rFonts w:hint="eastAsia" w:ascii="Times New Roman" w:hAnsi="Times New Roman" w:eastAsia="楷体_GB2312" w:cs="Times New Roman"/>
          <w:b/>
          <w:bCs/>
          <w:color w:val="auto"/>
          <w:spacing w:val="0"/>
          <w:kern w:val="44"/>
          <w:sz w:val="32"/>
          <w:szCs w:val="32"/>
          <w:highlight w:val="none"/>
          <w:lang w:val="en-US" w:eastAsia="zh-CN" w:bidi="ar-SA"/>
        </w:rPr>
        <w:t>103</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交管部门积极与镇政府对接，向上级主管部门报告，申请资金解决信号灯缺失的问题。</w:t>
      </w:r>
      <w:r>
        <w:rPr>
          <w:rFonts w:hint="default" w:ascii="Times New Roman" w:hAnsi="Times New Roman" w:eastAsia="楷体_GB2312" w:cs="Times New Roman"/>
          <w:b/>
          <w:bCs/>
          <w:color w:val="auto"/>
          <w:spacing w:val="0"/>
          <w:kern w:val="44"/>
          <w:sz w:val="32"/>
          <w:szCs w:val="32"/>
          <w:highlight w:val="none"/>
          <w:lang w:val="en-US" w:eastAsia="zh-CN" w:bidi="ar-SA"/>
        </w:rPr>
        <w:t>（承办单位：县公安局）</w:t>
      </w:r>
    </w:p>
    <w:p w14:paraId="083FE836">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关于推动养殖产业发展的建议（</w:t>
      </w:r>
      <w:r>
        <w:rPr>
          <w:rFonts w:hint="eastAsia" w:ascii="Times New Roman" w:hAnsi="Times New Roman" w:eastAsia="楷体_GB2312" w:cs="Times New Roman"/>
          <w:b/>
          <w:bCs/>
          <w:color w:val="auto"/>
          <w:spacing w:val="0"/>
          <w:kern w:val="44"/>
          <w:sz w:val="32"/>
          <w:szCs w:val="32"/>
          <w:highlight w:val="none"/>
          <w:lang w:val="en-US" w:eastAsia="zh-CN" w:bidi="ar-SA"/>
        </w:rPr>
        <w:t>104</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一、畜牧业生产情况。（一）畜禽养殖。2025年，农业农村部直联直报平台濉溪县备案养殖场350家，其中猪场172家；蛋鸡68家、肉鸭场3家；肉鸡场30家；肉牛场36家；奶牛场5家；养羊场35家；淮北灰驴1家。建立了国家级示范场4个，省级示范场8个，市级示范场50个。（二）屠宰加工情况。全县现有屠宰企业5家，其中生猪定点屠宰企业2家、家禽屠宰场2家、牛羊屠宰场1家。（三）水产养殖。2024年，全县水产品养殖总面积1980公顷，池塘面积780公顷，共270家水产养殖主体，其中500亩以上规模养殖企业20家，200亩以上近50家;水产品总产量1.4万吨。（四）畜禽种业情况。濉溪县共有9家畜禽种业养殖场，其中国家级核心育种场1个，省市级育种场6个，省级保种场2个。二、畜牧重点项目开展情况。（一）全县建设和提升双黑膜池12.2604万立方米、建设单黑膜池7.2511万立方米，建设砖混储粪池1.3473万立方米，建设堆肥棚2.4745万平方米，建设还田管网4.3911万米，购置各类水泵178台，购置各类运（吸）粪车、铲车等车辆155辆，购置干湿分离机12台等设施设备。（二）濉溪县2023年奶业生产能力提升整县推进项目。淮北光明生态智慧牧场有限公司、濉溪县百善轶轩奶牛养殖家庭农场、濉溪县刘桥印全奶牛养殖场、濉溪县山河牧业有限公司和淮北市曦强生态奶牛养殖有限公司5家企业实施该项目。现项目已全部建设及验收完成并公示结束。（三）商品有机肥推广项目。2025年，省财政下达我县商品有机肥推广资金200万元，推广商品有机肥任务1万吨。（四）中央财政粮改饲项目。2025年中央财政下达我县粮改饲项目资金259万元，任务面积1.6万亩。项目已实施。（五）2024年省级财政“秸秆变肉”及肉牛产业发展项目。项目拨付我县奖补资金333万元。（六）淮北市肉牛产业高质量发展项目。共计146家主体申报本项目，已将申报材料行文报市农业农村局，待市局完成项目复审后公示补贴。（七）种业项目。2024年淮北市振淮农牧科技专业合作社承担淮北灰驴遗传资源保护和利用项目，保种资金20万元，2025年保种资金25万元；濉溪县翔凤禽业有限责任公司承担淮北麻鸡种质资源保护项目，保种资金14万元，2025年保种资金10万元。2025年中央财政下达安徽大自然种猪股份有限公司生猪生产性能测定经费120万元，项目已实施。</w:t>
      </w:r>
      <w:r>
        <w:rPr>
          <w:rFonts w:hint="default" w:ascii="Times New Roman" w:hAnsi="Times New Roman" w:eastAsia="楷体_GB2312" w:cs="Times New Roman"/>
          <w:b/>
          <w:bCs/>
          <w:color w:val="auto"/>
          <w:spacing w:val="0"/>
          <w:kern w:val="44"/>
          <w:sz w:val="32"/>
          <w:szCs w:val="32"/>
          <w:highlight w:val="none"/>
          <w:lang w:val="en-US" w:eastAsia="zh-CN" w:bidi="ar-SA"/>
        </w:rPr>
        <w:t>（承办单位：县农业农村局）</w:t>
      </w:r>
    </w:p>
    <w:p w14:paraId="29BFCE17">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关于校园周边交通安全的建议（</w:t>
      </w:r>
      <w:r>
        <w:rPr>
          <w:rFonts w:hint="eastAsia" w:ascii="Times New Roman" w:hAnsi="Times New Roman" w:eastAsia="楷体_GB2312" w:cs="Times New Roman"/>
          <w:b/>
          <w:bCs/>
          <w:color w:val="auto"/>
          <w:spacing w:val="0"/>
          <w:kern w:val="44"/>
          <w:sz w:val="32"/>
          <w:szCs w:val="32"/>
          <w:highlight w:val="none"/>
          <w:lang w:val="en-US" w:eastAsia="zh-CN" w:bidi="ar-SA"/>
        </w:rPr>
        <w:t>105</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县公安局：</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进行</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摸排</w:t>
      </w:r>
      <w:bookmarkStart w:id="2" w:name="_GoBack"/>
      <w:bookmarkEnd w:id="2"/>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，以联席办名义向部分乡镇下发隐患整改</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通知，并且</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学校标识标牌逐步完善</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县教育局：一是紧抓宣传教育，增强学生的安全意识，发挥课堂教育主渠道作用，将骑行电动车和乘坐校车安全知识纳入学校安全教育课程及“1530”安全提醒机制，提升学生交通安全意识和防范能力，引导学生遵守交通规则，规范骑行电动车和乘坐校车的行为。二是结合春秋季开学、全国中小学生安全教育日和全国交通安全日等关键节点，制作“知危险 会避险”交通体验课，认真组织开展“一盔一带”安全守护行动，各学校利用主题班会、悬挂标语条幅、电子屏滚动播放、家长微信群等方式宣传交通安全知识，指导全县学校建立交通安全宣传阵地300余处，发放致学生家长一封信19万封，与学生家长签订《交通安全承诺书》18万余份，举办校园交通安全手抄报评比展播活动，参与者10万余人次。三是联合公安、交通等部门开展督查校车安全专项行动，加强校车安全隐患排查和消除，组织驾驶员、随车照管人员学习道路交通安全法律法规以及安全防范、</w:t>
      </w:r>
      <w:r>
        <w:rPr>
          <w:rFonts w:hint="eastAsia" w:ascii="Times New Roman" w:hAnsi="Times New Roman" w:cs="Times New Roman"/>
          <w:b w:val="0"/>
          <w:bCs/>
          <w:color w:val="000000" w:themeColor="text1"/>
          <w:spacing w:val="-6"/>
          <w:kern w:val="2"/>
          <w:sz w:val="32"/>
          <w:szCs w:val="32"/>
          <w:highlight w:val="none"/>
          <w:lang w:val="en-US" w:eastAsia="zh-CN" w:bidi="ar-SA"/>
          <w14:textFill>
            <w14:solidFill>
              <w14:schemeClr w14:val="tx1"/>
            </w14:solidFill>
          </w14:textFill>
        </w:rPr>
        <w:t>应急处置和应急救援知识，严格落实《濉溪县校车运营管理工作实施方案》，保障学生乘车安全。</w:t>
      </w:r>
      <w:r>
        <w:rPr>
          <w:rFonts w:hint="default" w:ascii="Times New Roman" w:hAnsi="Times New Roman" w:eastAsia="楷体_GB2312" w:cs="Times New Roman"/>
          <w:b/>
          <w:bCs/>
          <w:color w:val="auto"/>
          <w:spacing w:val="-6"/>
          <w:kern w:val="44"/>
          <w:sz w:val="32"/>
          <w:szCs w:val="32"/>
          <w:highlight w:val="none"/>
          <w:lang w:val="en-US" w:eastAsia="zh-CN" w:bidi="ar-SA"/>
        </w:rPr>
        <w:t>（承办单位：县公安局</w:t>
      </w:r>
      <w:r>
        <w:rPr>
          <w:rFonts w:hint="eastAsia" w:ascii="Times New Roman" w:hAnsi="Times New Roman" w:eastAsia="楷体_GB2312" w:cs="Times New Roman"/>
          <w:b/>
          <w:bCs/>
          <w:color w:val="auto"/>
          <w:spacing w:val="-6"/>
          <w:kern w:val="44"/>
          <w:sz w:val="32"/>
          <w:szCs w:val="32"/>
          <w:highlight w:val="none"/>
          <w:lang w:val="en-US" w:eastAsia="zh-CN" w:bidi="ar-SA"/>
        </w:rPr>
        <w:t>、县教育局</w:t>
      </w:r>
      <w:r>
        <w:rPr>
          <w:rFonts w:hint="default" w:ascii="Times New Roman" w:hAnsi="Times New Roman" w:eastAsia="楷体_GB2312" w:cs="Times New Roman"/>
          <w:b/>
          <w:bCs/>
          <w:color w:val="auto"/>
          <w:spacing w:val="-6"/>
          <w:kern w:val="44"/>
          <w:sz w:val="32"/>
          <w:szCs w:val="32"/>
          <w:highlight w:val="none"/>
          <w:lang w:val="en-US" w:eastAsia="zh-CN" w:bidi="ar-SA"/>
        </w:rPr>
        <w:t>）</w:t>
      </w:r>
    </w:p>
    <w:p w14:paraId="4838DD0A">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关于做好雨后防汛工作的建议（</w:t>
      </w:r>
      <w:r>
        <w:rPr>
          <w:rFonts w:hint="eastAsia" w:ascii="Times New Roman" w:hAnsi="Times New Roman" w:eastAsia="楷体_GB2312" w:cs="Times New Roman"/>
          <w:b/>
          <w:bCs/>
          <w:color w:val="auto"/>
          <w:spacing w:val="0"/>
          <w:kern w:val="44"/>
          <w:sz w:val="32"/>
          <w:szCs w:val="32"/>
          <w:highlight w:val="none"/>
          <w:lang w:val="en-US" w:eastAsia="zh-CN" w:bidi="ar-SA"/>
        </w:rPr>
        <w:t>106</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新建沟闸位于新建沟与沱河右岸交汇处，始建于1964年，2孔卷扬式单向止水闸门，已运行60多年，历经多次维修，2024年7月-9月沱河发</w:t>
      </w:r>
      <w:r>
        <w:rPr>
          <w:rFonts w:hint="default" w:ascii="Times New Roman" w:hAnsi="Times New Roman" w:eastAsia="仿宋_GB2312" w:cs="Times New Roman"/>
          <w:b w:val="0"/>
          <w:bCs/>
          <w:color w:val="000000" w:themeColor="text1"/>
          <w:spacing w:val="-6"/>
          <w:kern w:val="2"/>
          <w:sz w:val="32"/>
          <w:szCs w:val="32"/>
          <w:highlight w:val="none"/>
          <w:lang w:val="en-US" w:eastAsia="zh-CN" w:bidi="ar-SA"/>
          <w14:textFill>
            <w14:solidFill>
              <w14:schemeClr w14:val="tx1"/>
            </w14:solidFill>
          </w14:textFill>
        </w:rPr>
        <w:t>生两次超警戒水位近一周左右，达50年一遇水情，出现河水翻越</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闸门倒灌现象。县水务局</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已</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向县政府申请资金，纳入水毁工程</w:t>
      </w:r>
      <w:r>
        <w:rPr>
          <w:rFonts w:hint="default" w:ascii="Times New Roman" w:hAnsi="Times New Roman" w:eastAsia="仿宋_GB2312" w:cs="Times New Roman"/>
          <w:b w:val="0"/>
          <w:bCs/>
          <w:color w:val="000000" w:themeColor="text1"/>
          <w:spacing w:val="-6"/>
          <w:kern w:val="2"/>
          <w:sz w:val="32"/>
          <w:szCs w:val="32"/>
          <w:highlight w:val="none"/>
          <w:lang w:val="en-US" w:eastAsia="zh-CN" w:bidi="ar-SA"/>
          <w14:textFill>
            <w14:solidFill>
              <w14:schemeClr w14:val="tx1"/>
            </w14:solidFill>
          </w14:textFill>
        </w:rPr>
        <w:t>项目实施，争取2026年汛前完成维修任务。</w:t>
      </w:r>
      <w:r>
        <w:rPr>
          <w:rFonts w:hint="default" w:ascii="Times New Roman" w:hAnsi="Times New Roman" w:eastAsia="楷体_GB2312" w:cs="Times New Roman"/>
          <w:b/>
          <w:bCs/>
          <w:color w:val="auto"/>
          <w:spacing w:val="-6"/>
          <w:kern w:val="44"/>
          <w:sz w:val="32"/>
          <w:szCs w:val="32"/>
          <w:highlight w:val="none"/>
          <w:lang w:val="en-US" w:eastAsia="zh-CN" w:bidi="ar-SA"/>
        </w:rPr>
        <w:t>（承办单位：县水务局）</w:t>
      </w:r>
    </w:p>
    <w:p w14:paraId="199EF0AB">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关于实施城市更新，推动濉溪县商贸业高质量发展的建议（</w:t>
      </w:r>
      <w:r>
        <w:rPr>
          <w:rFonts w:hint="eastAsia" w:ascii="Times New Roman" w:hAnsi="Times New Roman" w:eastAsia="楷体_GB2312" w:cs="Times New Roman"/>
          <w:b/>
          <w:bCs/>
          <w:color w:val="auto"/>
          <w:spacing w:val="0"/>
          <w:kern w:val="44"/>
          <w:sz w:val="32"/>
          <w:szCs w:val="32"/>
          <w:highlight w:val="none"/>
          <w:lang w:val="en-US" w:eastAsia="zh-CN" w:bidi="ar-SA"/>
        </w:rPr>
        <w:t>107</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通过</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引入社会资本建成了汉德城北菜市场、老城农贸市场等集休闲、娱乐为一体的小型商贸综合体，盘活中苑商厦、状元府邸、宏宇·之心城商业圈，引进万达、双墨阁大酒店等商业项目，目前，乾隆湖双墨阁大酒店围墙建设已完工，地下基坑工程正在动工开挖，降水抽水设施运行同步开展，6月初正式通过省发改委组织的全省二季度重大项目集中开工认定；万达广场（新世纪文化广场）已全面动工建设</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计划2027年6月建成投入运营。上述项目的建成运营，将大大推进全县商贸业发展格局，虹吸周边消费，提升全县消费品质。</w:t>
      </w:r>
      <w:r>
        <w:rPr>
          <w:rFonts w:hint="default" w:ascii="Times New Roman" w:hAnsi="Times New Roman" w:eastAsia="楷体_GB2312" w:cs="Times New Roman"/>
          <w:b/>
          <w:bCs/>
          <w:color w:val="auto"/>
          <w:spacing w:val="0"/>
          <w:kern w:val="44"/>
          <w:sz w:val="32"/>
          <w:szCs w:val="32"/>
          <w:highlight w:val="none"/>
          <w:lang w:val="en-US" w:eastAsia="zh-CN" w:bidi="ar-SA"/>
        </w:rPr>
        <w:t>（承办单位：县商务局）</w:t>
      </w:r>
    </w:p>
    <w:p w14:paraId="593BAD07">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关于畅通双堆集镇镇区外环路的建议（</w:t>
      </w:r>
      <w:r>
        <w:rPr>
          <w:rFonts w:hint="eastAsia" w:ascii="Times New Roman" w:hAnsi="Times New Roman" w:eastAsia="楷体_GB2312" w:cs="Times New Roman"/>
          <w:b/>
          <w:bCs/>
          <w:color w:val="auto"/>
          <w:spacing w:val="0"/>
          <w:kern w:val="44"/>
          <w:sz w:val="32"/>
          <w:szCs w:val="32"/>
          <w:highlight w:val="none"/>
          <w:lang w:val="en-US" w:eastAsia="zh-CN" w:bidi="ar-SA"/>
        </w:rPr>
        <w:t>108</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县交通局已将双堆集镇东外环及南部大外环的建设纳入我县交通运输发展的整体规划中。在项目推进节奏上，将分阶段、有步骤地开展建设工作，濉溪县（临涣至双堆集）美丽公路建设项目计划2027 年2月底建成使用，计划工期为18 个月</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项目总造价约2亿元；S503双堆集镇至站前路段改建工程，计划2026年10月建成使用，计划工期为12个月</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总投资约4743万元；2025年实施县乡道升级改造工程张化路南段、白王路；张化路北段已列入2026年农村公路建设计划。项目建成后，将有效分流镇区的车流、人流，解决镇区道路堵塞和企业出货通行不畅的问题，充分发挥双堆集高速出入口及高铁站的交通枢纽作用，进一步提升双堆集镇的交通便利性。</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（承办单位：县交通局）</w:t>
      </w:r>
    </w:p>
    <w:p w14:paraId="03D34BA0">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关于加强农村剩余劳动力技能培训，促进农民工就业的建议（</w:t>
      </w:r>
      <w:r>
        <w:rPr>
          <w:rFonts w:hint="eastAsia" w:ascii="Times New Roman" w:hAnsi="Times New Roman" w:eastAsia="楷体_GB2312" w:cs="Times New Roman"/>
          <w:b/>
          <w:bCs/>
          <w:color w:val="auto"/>
          <w:spacing w:val="0"/>
          <w:kern w:val="44"/>
          <w:sz w:val="32"/>
          <w:szCs w:val="32"/>
          <w:highlight w:val="none"/>
          <w:lang w:val="en-US" w:eastAsia="zh-CN" w:bidi="ar-SA"/>
        </w:rPr>
        <w:t>109</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一是面向学历水平低、有就业意愿且在村待业的劳动群体针对性地开展职业技能培训，结合当地劳动密集型企业的技能人才需求，送培训到“家门口”。开展集中培训、现场教学、实习实训等。利用信息化技术手段，开展网络培训和远程教育，提高培训的覆盖面和效果。二是丰富培训形式，采用“理论教学+实践操作”相结合的培训方式，让群众既能学到理论知识，又能掌握实际操作技能，真正学有所成。三是落实和整合已有的培训政策，围绕就业重点行业和领域，计划大力开展服装、维修、家政、餐饮等有效实用的职业技能培训，鼓励和引导农村劳动者参加培训并考取职业资格证书，提高技能水平和工作能力，使其够跟上产业发展带来的技能需求变化。</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楷体_GB2312" w:cs="Times New Roman"/>
          <w:b/>
          <w:bCs/>
          <w:color w:val="auto"/>
          <w:spacing w:val="0"/>
          <w:kern w:val="44"/>
          <w:sz w:val="32"/>
          <w:szCs w:val="32"/>
          <w:highlight w:val="none"/>
          <w:lang w:val="en-US" w:eastAsia="zh-CN" w:bidi="ar-SA"/>
        </w:rPr>
        <w:t>承办单位：县人社局）</w:t>
      </w:r>
    </w:p>
    <w:p w14:paraId="12128105">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w:t>
      </w:r>
      <w:r>
        <w:rPr>
          <w:rFonts w:hint="eastAsia" w:ascii="Times New Roman" w:hAnsi="Times New Roman" w:eastAsia="楷体_GB2312" w:cs="Times New Roman"/>
          <w:b/>
          <w:bCs/>
          <w:color w:val="auto"/>
          <w:spacing w:val="0"/>
          <w:kern w:val="44"/>
          <w:sz w:val="32"/>
          <w:szCs w:val="32"/>
          <w:highlight w:val="none"/>
          <w:lang w:val="en-US" w:eastAsia="zh-CN" w:bidi="ar-SA"/>
        </w:rPr>
        <w:t>于</w:t>
      </w:r>
      <w:r>
        <w:rPr>
          <w:rFonts w:hint="default" w:ascii="Times New Roman" w:hAnsi="Times New Roman" w:eastAsia="楷体_GB2312" w:cs="Times New Roman"/>
          <w:b/>
          <w:bCs/>
          <w:color w:val="auto"/>
          <w:spacing w:val="0"/>
          <w:kern w:val="44"/>
          <w:sz w:val="32"/>
          <w:szCs w:val="32"/>
          <w:highlight w:val="none"/>
          <w:lang w:val="en-US" w:eastAsia="zh-CN" w:bidi="ar-SA"/>
        </w:rPr>
        <w:t>加强社会心理服务体系建设的建议（</w:t>
      </w:r>
      <w:r>
        <w:rPr>
          <w:rFonts w:hint="eastAsia" w:ascii="Times New Roman" w:hAnsi="Times New Roman" w:eastAsia="楷体_GB2312" w:cs="Times New Roman"/>
          <w:b/>
          <w:bCs/>
          <w:color w:val="auto"/>
          <w:spacing w:val="0"/>
          <w:kern w:val="44"/>
          <w:sz w:val="32"/>
          <w:szCs w:val="32"/>
          <w:highlight w:val="none"/>
          <w:lang w:val="en-US" w:eastAsia="zh-CN" w:bidi="ar-SA"/>
        </w:rPr>
        <w:t>110</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val="0"/>
          <w:color w:val="000000"/>
          <w:spacing w:val="0"/>
          <w:sz w:val="32"/>
          <w:szCs w:val="32"/>
          <w:highlight w:val="none"/>
          <w:u w:val="none"/>
          <w:lang w:val="en-US" w:eastAsia="zh-CN"/>
        </w:rPr>
        <w:t>一</w:t>
      </w:r>
      <w:r>
        <w:rPr>
          <w:rFonts w:hint="eastAsia" w:ascii="Times New Roman" w:hAnsi="Times New Roman" w:cs="Times New Roman"/>
          <w:b w:val="0"/>
          <w:bCs w:val="0"/>
          <w:color w:val="000000"/>
          <w:spacing w:val="0"/>
          <w:sz w:val="32"/>
          <w:szCs w:val="32"/>
          <w:highlight w:val="none"/>
          <w:u w:val="none"/>
          <w:lang w:val="en-US" w:eastAsia="zh-CN"/>
        </w:rPr>
        <w:t>是</w:t>
      </w:r>
      <w:r>
        <w:rPr>
          <w:rFonts w:hint="default" w:ascii="Times New Roman" w:hAnsi="Times New Roman" w:eastAsia="仿宋_GB2312" w:cs="Times New Roman"/>
          <w:b w:val="0"/>
          <w:bCs w:val="0"/>
          <w:color w:val="000000"/>
          <w:spacing w:val="0"/>
          <w:sz w:val="32"/>
          <w:szCs w:val="32"/>
          <w:highlight w:val="none"/>
          <w:u w:val="none"/>
          <w:lang w:val="en-US" w:eastAsia="zh-CN"/>
        </w:rPr>
        <w:t>关于健全社会心理服务机制体系</w:t>
      </w:r>
      <w:r>
        <w:rPr>
          <w:rFonts w:hint="eastAsia" w:ascii="Times New Roman" w:hAnsi="Times New Roman" w:cs="Times New Roman"/>
          <w:b w:val="0"/>
          <w:bCs w:val="0"/>
          <w:color w:val="000000"/>
          <w:spacing w:val="0"/>
          <w:sz w:val="32"/>
          <w:szCs w:val="32"/>
          <w:highlight w:val="none"/>
          <w:u w:val="none"/>
          <w:lang w:val="en-US" w:eastAsia="zh-CN"/>
        </w:rPr>
        <w:t>。</w:t>
      </w:r>
      <w:r>
        <w:rPr>
          <w:rFonts w:hint="default" w:ascii="Times New Roman" w:hAnsi="Times New Roman" w:eastAsia="仿宋_GB2312" w:cs="Times New Roman"/>
          <w:b w:val="0"/>
          <w:bCs w:val="0"/>
          <w:color w:val="000000"/>
          <w:spacing w:val="0"/>
          <w:sz w:val="32"/>
          <w:szCs w:val="32"/>
          <w:highlight w:val="none"/>
          <w:u w:val="none"/>
          <w:lang w:val="en-US" w:eastAsia="zh-CN"/>
        </w:rPr>
        <w:t>濉溪县人民医院已开设心理门诊，每周一至周六上午开诊，提供心理评估与咨询服务。二</w:t>
      </w:r>
      <w:r>
        <w:rPr>
          <w:rFonts w:hint="eastAsia" w:ascii="Times New Roman" w:hAnsi="Times New Roman" w:cs="Times New Roman"/>
          <w:b w:val="0"/>
          <w:bCs w:val="0"/>
          <w:color w:val="000000"/>
          <w:spacing w:val="0"/>
          <w:sz w:val="32"/>
          <w:szCs w:val="32"/>
          <w:highlight w:val="none"/>
          <w:u w:val="none"/>
          <w:lang w:val="en-US" w:eastAsia="zh-CN"/>
        </w:rPr>
        <w:t>是</w:t>
      </w:r>
      <w:r>
        <w:rPr>
          <w:rFonts w:hint="default" w:ascii="Times New Roman" w:hAnsi="Times New Roman" w:eastAsia="仿宋_GB2312" w:cs="Times New Roman"/>
          <w:b w:val="0"/>
          <w:bCs w:val="0"/>
          <w:color w:val="000000"/>
          <w:spacing w:val="0"/>
          <w:sz w:val="32"/>
          <w:szCs w:val="32"/>
          <w:highlight w:val="none"/>
          <w:u w:val="none"/>
          <w:lang w:val="en-US" w:eastAsia="zh-CN"/>
        </w:rPr>
        <w:t>关于加强基层心理服务平台建设</w:t>
      </w:r>
      <w:r>
        <w:rPr>
          <w:rFonts w:hint="eastAsia" w:ascii="Times New Roman" w:hAnsi="Times New Roman" w:cs="Times New Roman"/>
          <w:b w:val="0"/>
          <w:bCs w:val="0"/>
          <w:color w:val="000000"/>
          <w:spacing w:val="0"/>
          <w:sz w:val="32"/>
          <w:szCs w:val="32"/>
          <w:highlight w:val="none"/>
          <w:u w:val="none"/>
          <w:lang w:val="en-US" w:eastAsia="zh-CN"/>
        </w:rPr>
        <w:t>。</w:t>
      </w:r>
      <w:r>
        <w:rPr>
          <w:rFonts w:hint="default" w:ascii="Times New Roman" w:hAnsi="Times New Roman" w:eastAsia="仿宋_GB2312" w:cs="Times New Roman"/>
          <w:b w:val="0"/>
          <w:bCs w:val="0"/>
          <w:color w:val="000000"/>
          <w:spacing w:val="0"/>
          <w:sz w:val="32"/>
          <w:szCs w:val="32"/>
          <w:highlight w:val="none"/>
          <w:u w:val="none"/>
          <w:lang w:val="en-US" w:eastAsia="zh-CN"/>
        </w:rPr>
        <w:t>针对县、乡、村三级综治中心或城乡社区综合服务设施，县卫健委将积极配合相关部门，提供心理健康服务的专业指导和支持。三</w:t>
      </w:r>
      <w:r>
        <w:rPr>
          <w:rFonts w:hint="eastAsia" w:ascii="Times New Roman" w:hAnsi="Times New Roman" w:cs="Times New Roman"/>
          <w:b w:val="0"/>
          <w:bCs w:val="0"/>
          <w:color w:val="000000"/>
          <w:spacing w:val="0"/>
          <w:sz w:val="32"/>
          <w:szCs w:val="32"/>
          <w:highlight w:val="none"/>
          <w:u w:val="none"/>
          <w:lang w:val="en-US" w:eastAsia="zh-CN"/>
        </w:rPr>
        <w:t>是</w:t>
      </w:r>
      <w:r>
        <w:rPr>
          <w:rFonts w:hint="default" w:ascii="Times New Roman" w:hAnsi="Times New Roman" w:eastAsia="仿宋_GB2312" w:cs="Times New Roman"/>
          <w:b w:val="0"/>
          <w:bCs w:val="0"/>
          <w:color w:val="000000"/>
          <w:spacing w:val="0"/>
          <w:sz w:val="32"/>
          <w:szCs w:val="32"/>
          <w:highlight w:val="none"/>
          <w:u w:val="none"/>
          <w:lang w:val="en-US" w:eastAsia="zh-CN"/>
        </w:rPr>
        <w:t>关于完善教育系统心理服务网络</w:t>
      </w:r>
      <w:r>
        <w:rPr>
          <w:rFonts w:hint="eastAsia" w:ascii="Times New Roman" w:hAnsi="Times New Roman" w:cs="Times New Roman"/>
          <w:b w:val="0"/>
          <w:bCs w:val="0"/>
          <w:color w:val="000000"/>
          <w:spacing w:val="0"/>
          <w:sz w:val="32"/>
          <w:szCs w:val="32"/>
          <w:highlight w:val="none"/>
          <w:u w:val="none"/>
          <w:lang w:val="en-US" w:eastAsia="zh-CN"/>
        </w:rPr>
        <w:t>。</w:t>
      </w:r>
      <w:r>
        <w:rPr>
          <w:rFonts w:hint="default" w:ascii="Times New Roman" w:hAnsi="Times New Roman" w:eastAsia="仿宋_GB2312" w:cs="Times New Roman"/>
          <w:b w:val="0"/>
          <w:bCs w:val="0"/>
          <w:color w:val="000000"/>
          <w:spacing w:val="0"/>
          <w:sz w:val="32"/>
          <w:szCs w:val="32"/>
          <w:highlight w:val="none"/>
          <w:u w:val="none"/>
          <w:lang w:val="en-US" w:eastAsia="zh-CN"/>
        </w:rPr>
        <w:t>针对教育系统完善教育体系心理服务网络，县卫健委与教育部门及学校开展合作，共同推进心理健康教育的普及和发展。同时，我们也将积极关注医护工作者子女的心理健康问题，为他们提供必要的心理支持和帮助。四</w:t>
      </w:r>
      <w:r>
        <w:rPr>
          <w:rFonts w:hint="eastAsia" w:ascii="Times New Roman" w:hAnsi="Times New Roman" w:cs="Times New Roman"/>
          <w:b w:val="0"/>
          <w:bCs w:val="0"/>
          <w:color w:val="000000"/>
          <w:spacing w:val="0"/>
          <w:sz w:val="32"/>
          <w:szCs w:val="32"/>
          <w:highlight w:val="none"/>
          <w:u w:val="none"/>
          <w:lang w:val="en-US" w:eastAsia="zh-CN"/>
        </w:rPr>
        <w:t>是</w:t>
      </w:r>
      <w:r>
        <w:rPr>
          <w:rFonts w:hint="default" w:ascii="Times New Roman" w:hAnsi="Times New Roman" w:eastAsia="仿宋_GB2312" w:cs="Times New Roman"/>
          <w:b w:val="0"/>
          <w:bCs w:val="0"/>
          <w:color w:val="000000"/>
          <w:spacing w:val="0"/>
          <w:sz w:val="32"/>
          <w:szCs w:val="32"/>
          <w:highlight w:val="none"/>
          <w:u w:val="none"/>
          <w:lang w:val="en-US" w:eastAsia="zh-CN"/>
        </w:rPr>
        <w:t>关于加强社会心理服务经费保障</w:t>
      </w:r>
      <w:r>
        <w:rPr>
          <w:rFonts w:hint="eastAsia" w:ascii="Times New Roman" w:hAnsi="Times New Roman" w:cs="Times New Roman"/>
          <w:b w:val="0"/>
          <w:bCs w:val="0"/>
          <w:color w:val="000000"/>
          <w:spacing w:val="0"/>
          <w:sz w:val="32"/>
          <w:szCs w:val="32"/>
          <w:highlight w:val="none"/>
          <w:u w:val="none"/>
          <w:lang w:val="en-US" w:eastAsia="zh-CN"/>
        </w:rPr>
        <w:t>。</w:t>
      </w:r>
      <w:r>
        <w:rPr>
          <w:rFonts w:hint="default" w:ascii="Times New Roman" w:hAnsi="Times New Roman" w:eastAsia="仿宋_GB2312" w:cs="Times New Roman"/>
          <w:b w:val="0"/>
          <w:bCs w:val="0"/>
          <w:color w:val="000000"/>
          <w:spacing w:val="0"/>
          <w:sz w:val="32"/>
          <w:szCs w:val="32"/>
          <w:highlight w:val="none"/>
          <w:u w:val="none"/>
          <w:lang w:val="en-US" w:eastAsia="zh-CN"/>
        </w:rPr>
        <w:t>全力支持党委政府将心理社会服务经费保障纳入年度预算的决策。</w:t>
      </w:r>
      <w:r>
        <w:rPr>
          <w:rFonts w:hint="default" w:ascii="Times New Roman" w:hAnsi="Times New Roman" w:eastAsia="楷体_GB2312" w:cs="Times New Roman"/>
          <w:b/>
          <w:bCs/>
          <w:color w:val="auto"/>
          <w:spacing w:val="0"/>
          <w:kern w:val="44"/>
          <w:sz w:val="32"/>
          <w:szCs w:val="32"/>
          <w:highlight w:val="none"/>
          <w:lang w:val="en-US" w:eastAsia="zh-CN" w:bidi="ar-SA"/>
        </w:rPr>
        <w:t>（承办单位：县</w:t>
      </w:r>
      <w:r>
        <w:rPr>
          <w:rFonts w:hint="eastAsia" w:ascii="Times New Roman" w:hAnsi="Times New Roman" w:eastAsia="楷体_GB2312" w:cs="Times New Roman"/>
          <w:b/>
          <w:bCs/>
          <w:color w:val="auto"/>
          <w:spacing w:val="0"/>
          <w:kern w:val="44"/>
          <w:sz w:val="32"/>
          <w:szCs w:val="32"/>
          <w:highlight w:val="none"/>
          <w:lang w:val="en-US" w:eastAsia="zh-CN" w:bidi="ar-SA"/>
        </w:rPr>
        <w:t>卫健委</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52BBA60C">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关于建设儿童友好上学路径的建议（</w:t>
      </w:r>
      <w:r>
        <w:rPr>
          <w:rFonts w:hint="eastAsia" w:ascii="Times New Roman" w:hAnsi="Times New Roman" w:eastAsia="楷体_GB2312" w:cs="Times New Roman"/>
          <w:b/>
          <w:bCs/>
          <w:color w:val="auto"/>
          <w:spacing w:val="0"/>
          <w:kern w:val="44"/>
          <w:sz w:val="32"/>
          <w:szCs w:val="32"/>
          <w:highlight w:val="none"/>
          <w:lang w:val="en-US" w:eastAsia="zh-CN" w:bidi="ar-SA"/>
        </w:rPr>
        <w:t>111</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县</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教育局：一是结合学校、居民区分布，优化学区划分，联合城市管理、公安、交通等多部门，设置专门的儿童上学专用通道，确保上学路径最短、最安全，同时，通道周边设置明显的标识，引导儿童安全通行。下一步我们和其他部门加强沟通协作，形成工作合力，确保儿童安全上学路径建设工作顺利推进。二是紧抓宣传教育，增强学生的安全意识，发挥课堂教育主渠道作用，将交通安全知识纳入学校安全教育课程及“1530”安全提醒机制，提升学生交通安全意识和防范能力，引导学生遵守交通规则。三是结合春秋季开学、全国中小学生安全教育日和全国交通安全日等关键节点，制作“知危险 会避险”交通体验课，联合公安部门积极开展“交通安全进校园”宣传教育活动，让学生体验交通安全的重要性。为全县学生创造更加安全的学习和交通出行环境。县公安局：交管部门加强了学校周边道路交通管理，尤其是对电动车违法和机动车违停进行了整治，清除道路堵点，为学生创造畅通有序的秩序。县城管局：通过对宁波鄞州“最美上学路”三份导则的学习，城管、教育、公安将联合规划，共同前往宁波鄞州实地参观学习，借鉴他们的先进经验，为我县在城市品质改善提升过程中打造“最美上学路”起到助力作用。届时联合城市规划、交通等多部门，结合学校、居民区分布，规划设置专门的儿童上学专用通道，确保路径最短、最安全，同时，通道周边设置明显的标识，引导儿童安全通行。</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w:t>
      </w:r>
      <w:r>
        <w:rPr>
          <w:rFonts w:hint="eastAsia" w:ascii="Times New Roman" w:hAnsi="Times New Roman" w:eastAsia="楷体_GB2312" w:cs="Times New Roman"/>
          <w:b/>
          <w:bCs/>
          <w:color w:val="auto"/>
          <w:spacing w:val="0"/>
          <w:kern w:val="44"/>
          <w:sz w:val="32"/>
          <w:szCs w:val="32"/>
          <w:highlight w:val="none"/>
          <w:lang w:val="en-US" w:eastAsia="zh-CN" w:bidi="ar-SA"/>
        </w:rPr>
        <w:t>局、县公安局、县城管局</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0DCCE3B6">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spacing w:val="0"/>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关于提高医保门诊费用报销额度并简化报销流程的建议（</w:t>
      </w:r>
      <w:r>
        <w:rPr>
          <w:rFonts w:hint="eastAsia" w:ascii="Times New Roman" w:hAnsi="Times New Roman" w:eastAsia="楷体_GB2312" w:cs="Times New Roman"/>
          <w:b/>
          <w:bCs/>
          <w:color w:val="auto"/>
          <w:spacing w:val="0"/>
          <w:kern w:val="44"/>
          <w:sz w:val="32"/>
          <w:szCs w:val="32"/>
          <w:highlight w:val="none"/>
          <w:lang w:val="en-US" w:eastAsia="zh-CN" w:bidi="ar-SA"/>
        </w:rPr>
        <w:t>112</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根据《安徽省医疗保障局、安徽省财政厅关于印发安徽省城乡居民基本医疗保险和大病保险待遇保障政策的通知》（皖医保发〔2024〕9号）文件要求，各级医保、财政部门要全面压实工作责任，规范落实各项待遇保障政策，统一政策执行标准和解读口径，公平适度保障参保群众基本医疗保障权益。对省级已经明确统一的待遇政策，各地要严格执行，不得自行调整。对省级尚未统一的待遇政策，各地可执行现有政策，并逐步过渡到全省统一，不得自行制定超过现有待遇标准的政策。特殊情况，需报省医保局、省财政厅同意后施行。省级医保、财政部门将根据经济社会发展水平、参保群众基本就医需求、医保基金运行实际等，动态调整完善待遇保障政策。《通知》规定，普通门诊政策：在参保地市域内一级及以下定点基层医疗机构（含社区卫生服务中心、乡镇卫生院）发生的政策范围内普通门诊医药费用，不设起付标准和单次报销限额，基本医保基金报销比例为60%年度报销限额150元，高于150元的地市可继续执行原年度报销限额。未达到高血压、糖尿病（以下简称“两病”）门诊慢特病认定标准的“两病”患者，在参保地市域内一级及以下定点基层医疗机构（含社区卫生服务中心、乡镇卫生院）发生的政策范围内“两病”门诊药品费用由统筹基金支付，不设起付线，报销比例不低于50%。各市根据基金承受能力分病种设定报销比例和年度报销限额，逐步过渡到全省统一，我县“两病”门诊药品费用不设起付线，报销比例55％，全年封顶150元。合并两种疾病的，最高支付限额可累计为300元。办理异地长期居住备案的人员，在备案地发生的政策范围内普通门诊费用，执行参保地普通门诊保障政策。目前，参保患者持身份证（社保卡）或电子医保码到基层定点医疗机构均门诊报销已实现即时结报，不需要到服务大厅报销。</w:t>
      </w:r>
      <w:r>
        <w:rPr>
          <w:rFonts w:hint="default" w:ascii="Times New Roman" w:hAnsi="Times New Roman" w:eastAsia="楷体_GB2312" w:cs="Times New Roman"/>
          <w:b/>
          <w:bCs/>
          <w:color w:val="auto"/>
          <w:spacing w:val="0"/>
          <w:kern w:val="44"/>
          <w:sz w:val="32"/>
          <w:szCs w:val="32"/>
          <w:highlight w:val="none"/>
          <w:lang w:val="en-US" w:eastAsia="zh-CN" w:bidi="ar-SA"/>
        </w:rPr>
        <w:t>（承办单位：县医保局）</w:t>
      </w:r>
    </w:p>
    <w:p w14:paraId="21BC2C7C">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关于整顿牙科市场乱象的建议（</w:t>
      </w:r>
      <w:r>
        <w:rPr>
          <w:rFonts w:hint="eastAsia" w:ascii="Times New Roman" w:hAnsi="Times New Roman" w:eastAsia="楷体_GB2312" w:cs="Times New Roman"/>
          <w:b/>
          <w:bCs/>
          <w:color w:val="auto"/>
          <w:spacing w:val="0"/>
          <w:kern w:val="44"/>
          <w:sz w:val="32"/>
          <w:szCs w:val="32"/>
          <w:highlight w:val="none"/>
          <w:lang w:val="en-US" w:eastAsia="zh-CN" w:bidi="ar-SA"/>
        </w:rPr>
        <w:t>113</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县卫健委：一是安排所有提供口腔医疗服务的医疗机构，开展一次全面自查。二是开展专项检查，发现违法违规的，将立案查处。三是联合县市场监督管理局，加强口腔方面广告监测，严厉打击发布虚假违法广告行为，确保广告市场秩序的规范。针对种植牙等高价项目，督促医疗机构公开服务价格、治疗方案和潜在风险，使患者能够在充分了解信息的基础上做出理性选择。同时，医保部门已对种植牙等项目的收费方式进行了调整，整合收费项目，避免逐项收费带来的不透明和过高收费问题。四是结合健康口腔行动部署，安排口腔医护人员尤其是新备案表口腔诊所的医护人员，参加市县级组织的业务培训，提高口腔医护人员的专业水平和服务质量。县市场监督管理局：一、严查主体资质。（一）强化源头治理，严打无证经营行为。一是建立市场监管、卫健、公安等多部门联动机制，定期开展“黑诊所”专项排查；二是动态跟踪监管，建立重点监管名单，加强日常巡查，防止其利用资质注销“真空期”继续非法行医；三是深入开展流通领域药械专项整治。（二）构建信用监管体系，提升行业自律水平 。一是实行信用分级分类管理；二是建立医师、护士等从业人员信用档案，记录执业行为、不良事件及奖惩情况。将信用评价结果与职称晋升、评优评先直接关联，对严重失信者实行行业禁入。（三）完善长效机制，推动可持续发展。鼓励社会资本在合规前提下设立口腔诊所。通过新媒体、社区宣传等渠道普及就医常识，引导群众选择正规机构。三是跨部门协同监管，建立信息共享平台，严格准入标准，强化经营行为监管，切实保障群众“看牙安全”。二、严查收费价格。对于市场调节价的商品和服务，市场监管局价格监管的职能是依法查处不按规定明码标价、价格欺诈等违法行为。</w:t>
      </w:r>
      <w:r>
        <w:rPr>
          <w:rFonts w:hint="default" w:ascii="Times New Roman" w:hAnsi="Times New Roman" w:eastAsia="楷体_GB2312" w:cs="Times New Roman"/>
          <w:b/>
          <w:bCs/>
          <w:color w:val="auto"/>
          <w:spacing w:val="0"/>
          <w:kern w:val="44"/>
          <w:sz w:val="32"/>
          <w:szCs w:val="32"/>
          <w:highlight w:val="none"/>
          <w:lang w:val="en-US" w:eastAsia="zh-CN" w:bidi="ar-SA"/>
        </w:rPr>
        <w:t>（承办单位：县卫健委</w:t>
      </w:r>
      <w:r>
        <w:rPr>
          <w:rFonts w:hint="eastAsia" w:ascii="Times New Roman" w:hAnsi="Times New Roman" w:eastAsia="楷体_GB2312" w:cs="Times New Roman"/>
          <w:b/>
          <w:bCs/>
          <w:color w:val="auto"/>
          <w:spacing w:val="0"/>
          <w:kern w:val="44"/>
          <w:sz w:val="32"/>
          <w:szCs w:val="32"/>
          <w:highlight w:val="none"/>
          <w:lang w:val="en-US" w:eastAsia="zh-CN" w:bidi="ar-SA"/>
        </w:rPr>
        <w:t>、县市场监督管理局</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318F79ED">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关于整合资源开办濉溪青年夜校的建议（</w:t>
      </w:r>
      <w:r>
        <w:rPr>
          <w:rFonts w:hint="eastAsia" w:ascii="Times New Roman" w:hAnsi="Times New Roman" w:eastAsia="楷体_GB2312" w:cs="Times New Roman"/>
          <w:b/>
          <w:bCs/>
          <w:color w:val="auto"/>
          <w:spacing w:val="0"/>
          <w:kern w:val="44"/>
          <w:sz w:val="32"/>
          <w:szCs w:val="32"/>
          <w:highlight w:val="none"/>
          <w:lang w:val="en-US" w:eastAsia="zh-CN" w:bidi="ar-SA"/>
        </w:rPr>
        <w:t>114</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县教育局</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充分挖掘所属学校的潜在空间资源，在不影响正常教学秩序的前提下，筛选出适合用于青年夜校教学的场地。积极协调学校资源，调配部分闲置的教学设施设备，如多媒体教室、实验室、体育器材等，为青年夜校的教学活动提供硬件支持。在师资队伍建设方面，积极配合团县委，共同征集志愿者教师，动员相关专业领域的教师积极参与青年夜校工作，鼓励其发挥自身专业特长，充实夜校的师资力量，为青年夜校的课程教学贡献力量。</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团县委</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一、整合县域资源，盘活场地利用。一方面，联合县教育局、各单位、行业协会等，建立资源共享机制，统筹调配人力、物力资源。例如，与学校合作，邀请专业教师作为课程讲师；与单位协作，发动青年职工分享工作经验与专业技能；与协会联动，借助其行业资源开展特色课程教学。另一方面，高效利用现有场地，根据不同课程需求进行合理规划与安排。比如，将嵇康琴馆作为古琴培训的场地，体育馆用于体育健身类课程教学，在青少年综合服务中心开展文化类活动，确保“青年夜校”顺利开办，为青年提供便捷、舒适的学习环境。二、调研青年需求，定制夜校“课程表”。一是通过“问卷星”、青年社群、线下座谈会等渠道开展调研，广泛征集青年对技能提升、兴趣培养、社交拓展等方面的需求；二是建立“课程动态调整机制”，根据调研结果，联合合作单位开发“菜单式”课程体系，涵盖职业技能（新媒体运营、公务员考试）、文化艺术（书法、国画）、兴趣爱好（非遗、手工）等内容；三是设立青年“课程反馈通道”，定期收集学员意见，优化课程设置与教学方式，提升青年参与积极性。三、多方共建，推动青年夜校项目化。一方面，主动与财政部门沟通协调，争取专项经费支持；另一方面，广泛引入社会资源，通过与皖汇夜校等培训机构合作办学、招募志愿者担任师资等方式，降低办学成本。对于培训费及材料费，参考国内“青年夜校”收费标准，拟定课程收费为300-500元/10-12课时，材料费按实际成本收取，确保价格普惠性与可持续性。同时，对低收入青年群体设立公益补贴名额，保障教育公平。</w:t>
      </w:r>
      <w:r>
        <w:rPr>
          <w:rFonts w:hint="default" w:ascii="Times New Roman" w:hAnsi="Times New Roman" w:eastAsia="楷体_GB2312" w:cs="Times New Roman"/>
          <w:b/>
          <w:bCs/>
          <w:color w:val="auto"/>
          <w:spacing w:val="0"/>
          <w:kern w:val="44"/>
          <w:sz w:val="32"/>
          <w:szCs w:val="32"/>
          <w:highlight w:val="none"/>
          <w:lang w:val="en-US" w:eastAsia="zh-CN" w:bidi="ar-SA"/>
        </w:rPr>
        <w:t>（承办单位：县教育局</w:t>
      </w:r>
      <w:r>
        <w:rPr>
          <w:rFonts w:hint="eastAsia" w:ascii="Times New Roman" w:hAnsi="Times New Roman" w:eastAsia="楷体_GB2312" w:cs="Times New Roman"/>
          <w:b/>
          <w:bCs/>
          <w:color w:val="auto"/>
          <w:spacing w:val="0"/>
          <w:kern w:val="44"/>
          <w:sz w:val="32"/>
          <w:szCs w:val="32"/>
          <w:highlight w:val="none"/>
          <w:lang w:val="en-US" w:eastAsia="zh-CN" w:bidi="ar-SA"/>
        </w:rPr>
        <w:t>、团县委</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1E745A82">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auto"/>
          <w:spacing w:val="0"/>
          <w:kern w:val="44"/>
          <w:sz w:val="32"/>
          <w:szCs w:val="32"/>
          <w:highlight w:val="none"/>
          <w:lang w:val="en-US" w:eastAsia="zh-CN" w:bidi="ar-SA"/>
        </w:rPr>
        <w:t>关于乡镇卫生院人才培养的建议（</w:t>
      </w:r>
      <w:r>
        <w:rPr>
          <w:rFonts w:hint="eastAsia" w:ascii="Times New Roman" w:hAnsi="Times New Roman" w:eastAsia="楷体_GB2312" w:cs="Times New Roman"/>
          <w:b/>
          <w:bCs/>
          <w:color w:val="auto"/>
          <w:spacing w:val="0"/>
          <w:kern w:val="44"/>
          <w:sz w:val="32"/>
          <w:szCs w:val="32"/>
          <w:highlight w:val="none"/>
          <w:lang w:val="en-US" w:eastAsia="zh-CN" w:bidi="ar-SA"/>
        </w:rPr>
        <w:t>115</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当前基层卫生院现有编制情况核定编制1311名，实有在编人员1254名，空编制57个。因需预留农村订单定向培养医学生和三支一扶人员期满落编23名，空余编制较少。现卫健委利用省相关文件精神如：“县管乡用”，“三支一扶”、农村订单定向医学生免费培养等形式共招聘；村室通过一村一名大学生村医、乡村医生定向委托培养方式招录人员，为县域医疗服务体系源源不断地注入人才活水。通过统筹乡镇卫生院高级职称岗位，激励乡镇卫生院卫生专业技术人员晋升</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kern w:val="2"/>
          <w:sz w:val="32"/>
          <w:szCs w:val="32"/>
          <w:highlight w:val="none"/>
          <w:lang w:val="en-US" w:eastAsia="zh-CN" w:bidi="ar-SA"/>
          <w14:textFill>
            <w14:solidFill>
              <w14:schemeClr w14:val="tx1"/>
            </w14:solidFill>
          </w14:textFill>
        </w:rPr>
        <w:t>逐步优化解决乡镇卫生院人才队伍质量和短缺问题。</w:t>
      </w:r>
      <w:r>
        <w:rPr>
          <w:rFonts w:hint="default" w:ascii="Times New Roman" w:hAnsi="Times New Roman" w:eastAsia="楷体_GB2312" w:cs="Times New Roman"/>
          <w:b/>
          <w:bCs/>
          <w:color w:val="auto"/>
          <w:spacing w:val="0"/>
          <w:kern w:val="44"/>
          <w:sz w:val="32"/>
          <w:szCs w:val="32"/>
          <w:highlight w:val="none"/>
          <w:lang w:val="en-US" w:eastAsia="zh-CN" w:bidi="ar-SA"/>
        </w:rPr>
        <w:t>（承办单位：县卫健委）</w:t>
      </w:r>
    </w:p>
    <w:p w14:paraId="35F767DD">
      <w:pPr>
        <w:pStyle w:val="2"/>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楷体_GB2312" w:cs="Times New Roman"/>
          <w:b/>
          <w:bCs/>
          <w:color w:val="auto"/>
          <w:kern w:val="44"/>
          <w:sz w:val="32"/>
          <w:szCs w:val="32"/>
          <w:highlight w:val="none"/>
          <w:lang w:val="en-US" w:eastAsia="zh-CN" w:bidi="ar-SA"/>
        </w:rPr>
      </w:pPr>
      <w:r>
        <w:rPr>
          <w:rFonts w:hint="default" w:ascii="Times New Roman" w:hAnsi="Times New Roman" w:eastAsia="楷体_GB2312" w:cs="Times New Roman"/>
          <w:b/>
          <w:bCs/>
          <w:color w:val="auto"/>
          <w:spacing w:val="0"/>
          <w:kern w:val="44"/>
          <w:sz w:val="32"/>
          <w:szCs w:val="32"/>
          <w:highlight w:val="none"/>
          <w:lang w:val="en-US" w:eastAsia="zh-CN" w:bidi="ar-SA"/>
        </w:rPr>
        <w:t>关于在学校门口开展联合整治的建议（</w:t>
      </w:r>
      <w:r>
        <w:rPr>
          <w:rFonts w:hint="eastAsia" w:ascii="Times New Roman" w:hAnsi="Times New Roman" w:eastAsia="楷体_GB2312" w:cs="Times New Roman"/>
          <w:b/>
          <w:bCs/>
          <w:color w:val="auto"/>
          <w:spacing w:val="0"/>
          <w:kern w:val="44"/>
          <w:sz w:val="32"/>
          <w:szCs w:val="32"/>
          <w:highlight w:val="none"/>
          <w:lang w:val="en-US" w:eastAsia="zh-CN" w:bidi="ar-SA"/>
        </w:rPr>
        <w:t>116</w:t>
      </w:r>
      <w:r>
        <w:rPr>
          <w:rFonts w:hint="default" w:ascii="Times New Roman" w:hAnsi="Times New Roman" w:eastAsia="楷体_GB2312" w:cs="Times New Roman"/>
          <w:b/>
          <w:bCs/>
          <w:color w:val="auto"/>
          <w:spacing w:val="0"/>
          <w:kern w:val="44"/>
          <w:sz w:val="32"/>
          <w:szCs w:val="32"/>
          <w:highlight w:val="none"/>
          <w:lang w:val="en-US" w:eastAsia="zh-CN" w:bidi="ar-SA"/>
        </w:rPr>
        <w:t>号）</w:t>
      </w:r>
      <w:r>
        <w:rPr>
          <w:rFonts w:hint="eastAsia" w:ascii="Times New Roman" w:hAnsi="Times New Roman" w:eastAsia="楷体_GB2312" w:cs="Times New Roman"/>
          <w:b/>
          <w:bCs/>
          <w:color w:val="auto"/>
          <w:spacing w:val="0"/>
          <w:kern w:val="44"/>
          <w:sz w:val="32"/>
          <w:szCs w:val="32"/>
          <w:highlight w:val="none"/>
          <w:lang w:val="en-US" w:eastAsia="zh-CN" w:bidi="ar-SA"/>
        </w:rPr>
        <w:t>。</w:t>
      </w:r>
      <w:r>
        <w:rPr>
          <w:rFonts w:hint="eastAsia" w:ascii="Times New Roman" w:hAnsi="Times New Roman" w:cs="Times New Roman"/>
          <w:b w:val="0"/>
          <w:bCs/>
          <w:color w:val="000000" w:themeColor="text1"/>
          <w:spacing w:val="0"/>
          <w:kern w:val="2"/>
          <w:sz w:val="32"/>
          <w:szCs w:val="32"/>
          <w:highlight w:val="none"/>
          <w:lang w:val="en-US" w:eastAsia="zh-CN" w:bidi="ar-SA"/>
          <w14:textFill>
            <w14:solidFill>
              <w14:schemeClr w14:val="tx1"/>
            </w14:solidFill>
          </w14:textFill>
        </w:rPr>
        <w:t>县公安局：四铺派出所加强集市周边道路交通管理，清理违停车辆，纠正电动车违法1150余辆，不定期开展秩序整治，优化交通环境，此项工作将持续开展，提升道路通行率。县城管局：在日常巡查中，针对上下学高峰时段，安排执法人员定点值守，对发现的流动摊贩及时进行劝离和查处。同时，不定期开展集中整治行动，对屡教不改的摊贩依法依规进行处罚。下一步，强化监管力度，进一步优化执法人员排班制度，确保在学生上下学的关键时间段，校园周边有足够的执法力量。增加巡查频次，采取错时执法、不定期突击检查等方式，严厉打击流动摊贩的违规经营行为。加强部门协作，与市场监管、卫健、教育等部门建立常态化联合执法机制，形成监管合力。市场监管部门负责食品质量安全检查，卫健部门检查从业人员健康状况，教育部门加强对学生的食品安全和环境卫生教育。疏堵结合，在校园周边合适区域，探索设置临时疏导点，引导流动摊贩规范经营。同时，加强对疏导点的管理，明确经营时间、经营范围和卫生要求，确保摊贩经营有序、环境整洁。建立长效机制，完善校园周边环境治理的长效管理机制，加强对执法人员的培训和考核，提高执法水平和管理效能。设立举报热线，鼓励群众积极参与监督。</w:t>
      </w:r>
      <w:r>
        <w:rPr>
          <w:rFonts w:hint="default" w:ascii="Times New Roman" w:hAnsi="Times New Roman" w:eastAsia="楷体_GB2312" w:cs="Times New Roman"/>
          <w:b/>
          <w:bCs/>
          <w:color w:val="auto"/>
          <w:spacing w:val="0"/>
          <w:kern w:val="44"/>
          <w:sz w:val="32"/>
          <w:szCs w:val="32"/>
          <w:highlight w:val="none"/>
          <w:lang w:val="en-US" w:eastAsia="zh-CN" w:bidi="ar-SA"/>
        </w:rPr>
        <w:t>（承办单位：县公安局</w:t>
      </w:r>
      <w:r>
        <w:rPr>
          <w:rFonts w:hint="eastAsia" w:ascii="Times New Roman" w:hAnsi="Times New Roman" w:eastAsia="楷体_GB2312" w:cs="Times New Roman"/>
          <w:b/>
          <w:bCs/>
          <w:color w:val="auto"/>
          <w:spacing w:val="0"/>
          <w:kern w:val="44"/>
          <w:sz w:val="32"/>
          <w:szCs w:val="32"/>
          <w:highlight w:val="none"/>
          <w:lang w:val="en-US" w:eastAsia="zh-CN" w:bidi="ar-SA"/>
        </w:rPr>
        <w:t>、县城管局</w:t>
      </w:r>
      <w:r>
        <w:rPr>
          <w:rFonts w:hint="default" w:ascii="Times New Roman" w:hAnsi="Times New Roman" w:eastAsia="楷体_GB2312" w:cs="Times New Roman"/>
          <w:b/>
          <w:bCs/>
          <w:color w:val="auto"/>
          <w:spacing w:val="0"/>
          <w:kern w:val="44"/>
          <w:sz w:val="32"/>
          <w:szCs w:val="32"/>
          <w:highlight w:val="none"/>
          <w:lang w:val="en-US" w:eastAsia="zh-CN" w:bidi="ar-SA"/>
        </w:rPr>
        <w:t>）</w:t>
      </w:r>
    </w:p>
    <w:p w14:paraId="414E19EC">
      <w:pPr>
        <w:pStyle w:val="2"/>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color w:val="auto"/>
          <w:kern w:val="44"/>
          <w:sz w:val="32"/>
          <w:szCs w:val="32"/>
          <w:highlight w:val="none"/>
          <w:lang w:val="en-US" w:eastAsia="zh-CN" w:bidi="ar-SA"/>
        </w:rPr>
      </w:pPr>
    </w:p>
    <w:sectPr>
      <w:footerReference r:id="rId3" w:type="default"/>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21A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BD95D">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BD95D">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zg1OGM2Zjc5NTk2MDAzZWNiNWVkZmQwNjE5MTkifQ=="/>
  </w:docVars>
  <w:rsids>
    <w:rsidRoot w:val="6BF82C73"/>
    <w:rsid w:val="010A7C19"/>
    <w:rsid w:val="015C4E4C"/>
    <w:rsid w:val="016F430C"/>
    <w:rsid w:val="01763BCE"/>
    <w:rsid w:val="018F6A3E"/>
    <w:rsid w:val="01FE5971"/>
    <w:rsid w:val="02002BAF"/>
    <w:rsid w:val="022B099C"/>
    <w:rsid w:val="023567F6"/>
    <w:rsid w:val="02A1111E"/>
    <w:rsid w:val="02E917C6"/>
    <w:rsid w:val="02FE4C99"/>
    <w:rsid w:val="03082F4B"/>
    <w:rsid w:val="03580109"/>
    <w:rsid w:val="036E7AD4"/>
    <w:rsid w:val="03736B59"/>
    <w:rsid w:val="037D3FED"/>
    <w:rsid w:val="03BB23AC"/>
    <w:rsid w:val="03C73C40"/>
    <w:rsid w:val="03CD27A8"/>
    <w:rsid w:val="03EA08A3"/>
    <w:rsid w:val="04073203"/>
    <w:rsid w:val="044346DC"/>
    <w:rsid w:val="04675C1C"/>
    <w:rsid w:val="04792867"/>
    <w:rsid w:val="047B6F67"/>
    <w:rsid w:val="04EA281A"/>
    <w:rsid w:val="051E25B2"/>
    <w:rsid w:val="056326BB"/>
    <w:rsid w:val="05712CE6"/>
    <w:rsid w:val="05734F81"/>
    <w:rsid w:val="05A42909"/>
    <w:rsid w:val="05AB7BBE"/>
    <w:rsid w:val="05B66C8F"/>
    <w:rsid w:val="05BA3E5F"/>
    <w:rsid w:val="060A6355"/>
    <w:rsid w:val="061614DB"/>
    <w:rsid w:val="06255BC2"/>
    <w:rsid w:val="06320837"/>
    <w:rsid w:val="063A14B7"/>
    <w:rsid w:val="063F44C8"/>
    <w:rsid w:val="067803E8"/>
    <w:rsid w:val="069B641D"/>
    <w:rsid w:val="06B036DE"/>
    <w:rsid w:val="07270BB8"/>
    <w:rsid w:val="072F15C4"/>
    <w:rsid w:val="074844BB"/>
    <w:rsid w:val="07C5765D"/>
    <w:rsid w:val="07F43A9E"/>
    <w:rsid w:val="081E245E"/>
    <w:rsid w:val="08410597"/>
    <w:rsid w:val="08A94889"/>
    <w:rsid w:val="08AD56C8"/>
    <w:rsid w:val="08B253D3"/>
    <w:rsid w:val="08D436EC"/>
    <w:rsid w:val="091757C8"/>
    <w:rsid w:val="097562E5"/>
    <w:rsid w:val="098B6A14"/>
    <w:rsid w:val="099843CC"/>
    <w:rsid w:val="09C23012"/>
    <w:rsid w:val="09E54F56"/>
    <w:rsid w:val="0A12494B"/>
    <w:rsid w:val="0AD027B2"/>
    <w:rsid w:val="0ADE63E5"/>
    <w:rsid w:val="0B116A1F"/>
    <w:rsid w:val="0B39378A"/>
    <w:rsid w:val="0B4F1869"/>
    <w:rsid w:val="0B965FF8"/>
    <w:rsid w:val="0B973A2F"/>
    <w:rsid w:val="0BC20F2A"/>
    <w:rsid w:val="0BE06155"/>
    <w:rsid w:val="0C250617"/>
    <w:rsid w:val="0C265565"/>
    <w:rsid w:val="0C4D7C21"/>
    <w:rsid w:val="0C637445"/>
    <w:rsid w:val="0C76301A"/>
    <w:rsid w:val="0CA44632"/>
    <w:rsid w:val="0D0227BA"/>
    <w:rsid w:val="0D041E6A"/>
    <w:rsid w:val="0D0E73B0"/>
    <w:rsid w:val="0D292DC9"/>
    <w:rsid w:val="0D6D38CF"/>
    <w:rsid w:val="0D782AD4"/>
    <w:rsid w:val="0DB02028"/>
    <w:rsid w:val="0DCA4CA2"/>
    <w:rsid w:val="0E042561"/>
    <w:rsid w:val="0E172C2B"/>
    <w:rsid w:val="0E2128BA"/>
    <w:rsid w:val="0E2F75DE"/>
    <w:rsid w:val="0E440D00"/>
    <w:rsid w:val="0E5C7E9D"/>
    <w:rsid w:val="0E9A3205"/>
    <w:rsid w:val="0E9C09EC"/>
    <w:rsid w:val="0E9C279A"/>
    <w:rsid w:val="0F8120BC"/>
    <w:rsid w:val="0FCC720A"/>
    <w:rsid w:val="0FD722DC"/>
    <w:rsid w:val="0FEF02B3"/>
    <w:rsid w:val="102B17FB"/>
    <w:rsid w:val="103C4234"/>
    <w:rsid w:val="103E0032"/>
    <w:rsid w:val="106C2D6C"/>
    <w:rsid w:val="10763205"/>
    <w:rsid w:val="108D60F6"/>
    <w:rsid w:val="10AC13BA"/>
    <w:rsid w:val="10F66AD9"/>
    <w:rsid w:val="11011801"/>
    <w:rsid w:val="11050ACA"/>
    <w:rsid w:val="11274A63"/>
    <w:rsid w:val="112B0BFF"/>
    <w:rsid w:val="11A10DCC"/>
    <w:rsid w:val="11CD3CCE"/>
    <w:rsid w:val="11D31BF4"/>
    <w:rsid w:val="11EE299E"/>
    <w:rsid w:val="1230601B"/>
    <w:rsid w:val="123D1FC9"/>
    <w:rsid w:val="12505591"/>
    <w:rsid w:val="12744159"/>
    <w:rsid w:val="129503AC"/>
    <w:rsid w:val="12CD73C6"/>
    <w:rsid w:val="12FE6759"/>
    <w:rsid w:val="135F4757"/>
    <w:rsid w:val="13873A19"/>
    <w:rsid w:val="13947859"/>
    <w:rsid w:val="13B75047"/>
    <w:rsid w:val="13BD6CEF"/>
    <w:rsid w:val="13E7095B"/>
    <w:rsid w:val="143533EF"/>
    <w:rsid w:val="14506500"/>
    <w:rsid w:val="1456736E"/>
    <w:rsid w:val="148166BA"/>
    <w:rsid w:val="14844254"/>
    <w:rsid w:val="14AC0B76"/>
    <w:rsid w:val="14C3164D"/>
    <w:rsid w:val="152C0D1B"/>
    <w:rsid w:val="15A74FD0"/>
    <w:rsid w:val="15EB4733"/>
    <w:rsid w:val="1633315D"/>
    <w:rsid w:val="166B7621"/>
    <w:rsid w:val="166E498B"/>
    <w:rsid w:val="166E7112"/>
    <w:rsid w:val="16A1309F"/>
    <w:rsid w:val="16A42B33"/>
    <w:rsid w:val="174A7237"/>
    <w:rsid w:val="177A5BC6"/>
    <w:rsid w:val="17A77336"/>
    <w:rsid w:val="17EB6A4A"/>
    <w:rsid w:val="18275A6F"/>
    <w:rsid w:val="18522525"/>
    <w:rsid w:val="18935164"/>
    <w:rsid w:val="18CD45C3"/>
    <w:rsid w:val="19066799"/>
    <w:rsid w:val="193006AE"/>
    <w:rsid w:val="194F6D87"/>
    <w:rsid w:val="19636636"/>
    <w:rsid w:val="19776877"/>
    <w:rsid w:val="19AB3D57"/>
    <w:rsid w:val="19AC5378"/>
    <w:rsid w:val="19B13200"/>
    <w:rsid w:val="19B93398"/>
    <w:rsid w:val="19F3E867"/>
    <w:rsid w:val="1A0B0172"/>
    <w:rsid w:val="1AA05A77"/>
    <w:rsid w:val="1ABA46D4"/>
    <w:rsid w:val="1AD25EC1"/>
    <w:rsid w:val="1AE87792"/>
    <w:rsid w:val="1B506DE6"/>
    <w:rsid w:val="1B544B28"/>
    <w:rsid w:val="1B995B00"/>
    <w:rsid w:val="1BA07D6D"/>
    <w:rsid w:val="1BA746BE"/>
    <w:rsid w:val="1BF74140"/>
    <w:rsid w:val="1BFFE03F"/>
    <w:rsid w:val="1C1077F8"/>
    <w:rsid w:val="1C273FEB"/>
    <w:rsid w:val="1C280A6A"/>
    <w:rsid w:val="1C4F77B1"/>
    <w:rsid w:val="1C9935FA"/>
    <w:rsid w:val="1CFE1868"/>
    <w:rsid w:val="1D5C5F16"/>
    <w:rsid w:val="1E1B7B7F"/>
    <w:rsid w:val="1E952F81"/>
    <w:rsid w:val="1EE241F9"/>
    <w:rsid w:val="1EE6158C"/>
    <w:rsid w:val="1F20231F"/>
    <w:rsid w:val="1F24276A"/>
    <w:rsid w:val="1F551632"/>
    <w:rsid w:val="1F686DF4"/>
    <w:rsid w:val="1F8A4FBC"/>
    <w:rsid w:val="1F9A290A"/>
    <w:rsid w:val="1FA6737F"/>
    <w:rsid w:val="1FC04427"/>
    <w:rsid w:val="1FF6107E"/>
    <w:rsid w:val="200B777F"/>
    <w:rsid w:val="203647FC"/>
    <w:rsid w:val="203A606B"/>
    <w:rsid w:val="20463726"/>
    <w:rsid w:val="208244E5"/>
    <w:rsid w:val="20A946D3"/>
    <w:rsid w:val="20AF50AD"/>
    <w:rsid w:val="20C40F70"/>
    <w:rsid w:val="20CB71D8"/>
    <w:rsid w:val="20CC7DDC"/>
    <w:rsid w:val="21477726"/>
    <w:rsid w:val="21577EDB"/>
    <w:rsid w:val="21635AC5"/>
    <w:rsid w:val="21AF6FF0"/>
    <w:rsid w:val="21D4251F"/>
    <w:rsid w:val="21DC7625"/>
    <w:rsid w:val="21EE534A"/>
    <w:rsid w:val="21FC1B78"/>
    <w:rsid w:val="223B5A35"/>
    <w:rsid w:val="22476665"/>
    <w:rsid w:val="22561186"/>
    <w:rsid w:val="226A16D4"/>
    <w:rsid w:val="229E355B"/>
    <w:rsid w:val="22CF641B"/>
    <w:rsid w:val="22EB7AE4"/>
    <w:rsid w:val="22F92EA7"/>
    <w:rsid w:val="23073FDA"/>
    <w:rsid w:val="230A01C2"/>
    <w:rsid w:val="235978A2"/>
    <w:rsid w:val="23843AD1"/>
    <w:rsid w:val="23A60814"/>
    <w:rsid w:val="23BA10C2"/>
    <w:rsid w:val="23CB16FF"/>
    <w:rsid w:val="23FC63B3"/>
    <w:rsid w:val="24134E54"/>
    <w:rsid w:val="244D31C9"/>
    <w:rsid w:val="249F552C"/>
    <w:rsid w:val="24AC7783"/>
    <w:rsid w:val="24CF51B7"/>
    <w:rsid w:val="24E56C1A"/>
    <w:rsid w:val="25040446"/>
    <w:rsid w:val="2536704D"/>
    <w:rsid w:val="253A41A3"/>
    <w:rsid w:val="25457FB6"/>
    <w:rsid w:val="259941BD"/>
    <w:rsid w:val="25C923D4"/>
    <w:rsid w:val="266F0A68"/>
    <w:rsid w:val="26C708A4"/>
    <w:rsid w:val="26D62097"/>
    <w:rsid w:val="26FB6383"/>
    <w:rsid w:val="27554102"/>
    <w:rsid w:val="27747016"/>
    <w:rsid w:val="27FE132F"/>
    <w:rsid w:val="28494DF9"/>
    <w:rsid w:val="286E1BB9"/>
    <w:rsid w:val="28856217"/>
    <w:rsid w:val="28887BBF"/>
    <w:rsid w:val="28AA6FC3"/>
    <w:rsid w:val="28B27E59"/>
    <w:rsid w:val="28CF57EE"/>
    <w:rsid w:val="28D83651"/>
    <w:rsid w:val="298011DE"/>
    <w:rsid w:val="29AC5C8F"/>
    <w:rsid w:val="29DD3EBD"/>
    <w:rsid w:val="2A1554FD"/>
    <w:rsid w:val="2A6A2827"/>
    <w:rsid w:val="2A7B76E8"/>
    <w:rsid w:val="2A7E571E"/>
    <w:rsid w:val="2B3E4EB5"/>
    <w:rsid w:val="2B85488A"/>
    <w:rsid w:val="2BFA7026"/>
    <w:rsid w:val="2C1005F7"/>
    <w:rsid w:val="2C42277B"/>
    <w:rsid w:val="2C4D7F6E"/>
    <w:rsid w:val="2C626979"/>
    <w:rsid w:val="2C752B50"/>
    <w:rsid w:val="2C960832"/>
    <w:rsid w:val="2CBB2FF0"/>
    <w:rsid w:val="2CBF374E"/>
    <w:rsid w:val="2D384CF5"/>
    <w:rsid w:val="2D5034E4"/>
    <w:rsid w:val="2D6A1F89"/>
    <w:rsid w:val="2DA84860"/>
    <w:rsid w:val="2DBA55FE"/>
    <w:rsid w:val="2DE53D06"/>
    <w:rsid w:val="2E023E21"/>
    <w:rsid w:val="2EBF4557"/>
    <w:rsid w:val="2EED10C4"/>
    <w:rsid w:val="2F743F01"/>
    <w:rsid w:val="2F860BD0"/>
    <w:rsid w:val="2FAB0049"/>
    <w:rsid w:val="2FCA4F61"/>
    <w:rsid w:val="2FF921CA"/>
    <w:rsid w:val="30330D58"/>
    <w:rsid w:val="305B02AF"/>
    <w:rsid w:val="307C6947"/>
    <w:rsid w:val="308220A2"/>
    <w:rsid w:val="30945B60"/>
    <w:rsid w:val="30B360F4"/>
    <w:rsid w:val="310F6C24"/>
    <w:rsid w:val="3138572F"/>
    <w:rsid w:val="31490108"/>
    <w:rsid w:val="31523460"/>
    <w:rsid w:val="31745184"/>
    <w:rsid w:val="31B02B14"/>
    <w:rsid w:val="320D2EAD"/>
    <w:rsid w:val="32242B7A"/>
    <w:rsid w:val="324F174E"/>
    <w:rsid w:val="32534A78"/>
    <w:rsid w:val="32591540"/>
    <w:rsid w:val="32944C82"/>
    <w:rsid w:val="32B350EA"/>
    <w:rsid w:val="32E17602"/>
    <w:rsid w:val="32FA4D55"/>
    <w:rsid w:val="32FC1801"/>
    <w:rsid w:val="33605869"/>
    <w:rsid w:val="3368056A"/>
    <w:rsid w:val="33D1693A"/>
    <w:rsid w:val="33E4383E"/>
    <w:rsid w:val="33F7044F"/>
    <w:rsid w:val="33FE342B"/>
    <w:rsid w:val="342F7A89"/>
    <w:rsid w:val="343541A1"/>
    <w:rsid w:val="34813705"/>
    <w:rsid w:val="34E77D57"/>
    <w:rsid w:val="352B2DCA"/>
    <w:rsid w:val="354B7E94"/>
    <w:rsid w:val="359F30D5"/>
    <w:rsid w:val="359F479A"/>
    <w:rsid w:val="35C806CA"/>
    <w:rsid w:val="35F0600B"/>
    <w:rsid w:val="36407D2B"/>
    <w:rsid w:val="365E4655"/>
    <w:rsid w:val="36634289"/>
    <w:rsid w:val="36906C94"/>
    <w:rsid w:val="36DC26F3"/>
    <w:rsid w:val="37096544"/>
    <w:rsid w:val="370A0339"/>
    <w:rsid w:val="37671737"/>
    <w:rsid w:val="37977E1F"/>
    <w:rsid w:val="379A29E1"/>
    <w:rsid w:val="379D5444"/>
    <w:rsid w:val="37D261A1"/>
    <w:rsid w:val="37D64BA7"/>
    <w:rsid w:val="37EA06DB"/>
    <w:rsid w:val="380534F8"/>
    <w:rsid w:val="380642BC"/>
    <w:rsid w:val="383D6734"/>
    <w:rsid w:val="389B56ED"/>
    <w:rsid w:val="38A345A1"/>
    <w:rsid w:val="38E075A3"/>
    <w:rsid w:val="393F076E"/>
    <w:rsid w:val="393F0D9F"/>
    <w:rsid w:val="3944049D"/>
    <w:rsid w:val="395E1D66"/>
    <w:rsid w:val="398664FD"/>
    <w:rsid w:val="398B7E00"/>
    <w:rsid w:val="39D569DC"/>
    <w:rsid w:val="3A2940F7"/>
    <w:rsid w:val="3A2F2590"/>
    <w:rsid w:val="3A4045A0"/>
    <w:rsid w:val="3A4668F0"/>
    <w:rsid w:val="3A886068"/>
    <w:rsid w:val="3A982496"/>
    <w:rsid w:val="3ACA4067"/>
    <w:rsid w:val="3AEA41B5"/>
    <w:rsid w:val="3B363A0C"/>
    <w:rsid w:val="3B4141B4"/>
    <w:rsid w:val="3B45313E"/>
    <w:rsid w:val="3B7FE9AC"/>
    <w:rsid w:val="3BD74C8E"/>
    <w:rsid w:val="3C34124F"/>
    <w:rsid w:val="3C4A09BB"/>
    <w:rsid w:val="3C667DC0"/>
    <w:rsid w:val="3C8B3CCA"/>
    <w:rsid w:val="3CDF336B"/>
    <w:rsid w:val="3D042979"/>
    <w:rsid w:val="3D344362"/>
    <w:rsid w:val="3D5358A8"/>
    <w:rsid w:val="3D6E1622"/>
    <w:rsid w:val="3DA45043"/>
    <w:rsid w:val="3DD53590"/>
    <w:rsid w:val="3ECB4BFF"/>
    <w:rsid w:val="3ECB66BE"/>
    <w:rsid w:val="3ED59BD0"/>
    <w:rsid w:val="3F0675F9"/>
    <w:rsid w:val="3F1F4F1F"/>
    <w:rsid w:val="3F427608"/>
    <w:rsid w:val="3F843ABE"/>
    <w:rsid w:val="3F9A21D6"/>
    <w:rsid w:val="3FABC9C2"/>
    <w:rsid w:val="3FC16AE9"/>
    <w:rsid w:val="3FE54FD2"/>
    <w:rsid w:val="401B5EF9"/>
    <w:rsid w:val="40363F4D"/>
    <w:rsid w:val="404623E2"/>
    <w:rsid w:val="40640DFF"/>
    <w:rsid w:val="40795178"/>
    <w:rsid w:val="40EC510F"/>
    <w:rsid w:val="40F938F8"/>
    <w:rsid w:val="41177258"/>
    <w:rsid w:val="41236C02"/>
    <w:rsid w:val="41720FB5"/>
    <w:rsid w:val="419465D5"/>
    <w:rsid w:val="42416CF7"/>
    <w:rsid w:val="425546E1"/>
    <w:rsid w:val="42C8119D"/>
    <w:rsid w:val="42CC7BA3"/>
    <w:rsid w:val="42F91C42"/>
    <w:rsid w:val="43201933"/>
    <w:rsid w:val="43234C5C"/>
    <w:rsid w:val="432A5FEB"/>
    <w:rsid w:val="43346E69"/>
    <w:rsid w:val="43AD6F36"/>
    <w:rsid w:val="43CA58A5"/>
    <w:rsid w:val="43D321DE"/>
    <w:rsid w:val="43E048FB"/>
    <w:rsid w:val="44077BDE"/>
    <w:rsid w:val="44106525"/>
    <w:rsid w:val="441B57A8"/>
    <w:rsid w:val="443F72DA"/>
    <w:rsid w:val="447C0575"/>
    <w:rsid w:val="44836C0A"/>
    <w:rsid w:val="44EA747E"/>
    <w:rsid w:val="44F81138"/>
    <w:rsid w:val="45763769"/>
    <w:rsid w:val="459019B0"/>
    <w:rsid w:val="45A856F8"/>
    <w:rsid w:val="45BE20F2"/>
    <w:rsid w:val="45C76627"/>
    <w:rsid w:val="461A3B1B"/>
    <w:rsid w:val="464858DB"/>
    <w:rsid w:val="467454A6"/>
    <w:rsid w:val="46933EA7"/>
    <w:rsid w:val="46CE1038"/>
    <w:rsid w:val="46D122E4"/>
    <w:rsid w:val="4710374A"/>
    <w:rsid w:val="47264328"/>
    <w:rsid w:val="478832E0"/>
    <w:rsid w:val="479B0FEB"/>
    <w:rsid w:val="47EF3464"/>
    <w:rsid w:val="47F22E4F"/>
    <w:rsid w:val="47FE17F4"/>
    <w:rsid w:val="480C66F0"/>
    <w:rsid w:val="48AA50C6"/>
    <w:rsid w:val="48B75125"/>
    <w:rsid w:val="491352B1"/>
    <w:rsid w:val="49506BCE"/>
    <w:rsid w:val="495C2C76"/>
    <w:rsid w:val="497F5F5E"/>
    <w:rsid w:val="49A40179"/>
    <w:rsid w:val="49AF5B5F"/>
    <w:rsid w:val="4A125F01"/>
    <w:rsid w:val="4A2E4B98"/>
    <w:rsid w:val="4A2E657F"/>
    <w:rsid w:val="4A49554D"/>
    <w:rsid w:val="4A9478CC"/>
    <w:rsid w:val="4A9B4377"/>
    <w:rsid w:val="4AA45803"/>
    <w:rsid w:val="4ABE1451"/>
    <w:rsid w:val="4ADB7DB6"/>
    <w:rsid w:val="4B1D4687"/>
    <w:rsid w:val="4B6007CA"/>
    <w:rsid w:val="4B7A718D"/>
    <w:rsid w:val="4BA007E3"/>
    <w:rsid w:val="4BC82845"/>
    <w:rsid w:val="4BCB07FD"/>
    <w:rsid w:val="4BE7343D"/>
    <w:rsid w:val="4C231829"/>
    <w:rsid w:val="4C307A20"/>
    <w:rsid w:val="4C392DFB"/>
    <w:rsid w:val="4C602C6D"/>
    <w:rsid w:val="4C865EDF"/>
    <w:rsid w:val="4C9C1031"/>
    <w:rsid w:val="4CEC60BF"/>
    <w:rsid w:val="4D0C1DC1"/>
    <w:rsid w:val="4D2E5D95"/>
    <w:rsid w:val="4D3306CF"/>
    <w:rsid w:val="4D4B54DB"/>
    <w:rsid w:val="4D6420F9"/>
    <w:rsid w:val="4D6D36A4"/>
    <w:rsid w:val="4DA150FB"/>
    <w:rsid w:val="4DEC4CE8"/>
    <w:rsid w:val="4E01203E"/>
    <w:rsid w:val="4E1F24C4"/>
    <w:rsid w:val="4E483A99"/>
    <w:rsid w:val="4E7229C3"/>
    <w:rsid w:val="4E870795"/>
    <w:rsid w:val="4E9B1B4B"/>
    <w:rsid w:val="4EA74993"/>
    <w:rsid w:val="4ECC72A2"/>
    <w:rsid w:val="4EFD0A57"/>
    <w:rsid w:val="4F184107"/>
    <w:rsid w:val="4F416B96"/>
    <w:rsid w:val="4F4B592A"/>
    <w:rsid w:val="4F5A7C58"/>
    <w:rsid w:val="4FBB61DD"/>
    <w:rsid w:val="4FC7122F"/>
    <w:rsid w:val="4FD02C81"/>
    <w:rsid w:val="4FE237A9"/>
    <w:rsid w:val="4FED2930"/>
    <w:rsid w:val="503C735D"/>
    <w:rsid w:val="506F7733"/>
    <w:rsid w:val="507C1B5D"/>
    <w:rsid w:val="50A97291"/>
    <w:rsid w:val="50B02961"/>
    <w:rsid w:val="511F2F07"/>
    <w:rsid w:val="51275918"/>
    <w:rsid w:val="512A365A"/>
    <w:rsid w:val="513A69CB"/>
    <w:rsid w:val="517C1535"/>
    <w:rsid w:val="51C66E85"/>
    <w:rsid w:val="51CB74D8"/>
    <w:rsid w:val="51F264A4"/>
    <w:rsid w:val="5201085F"/>
    <w:rsid w:val="523464D5"/>
    <w:rsid w:val="52447E05"/>
    <w:rsid w:val="5253261E"/>
    <w:rsid w:val="52BE77B3"/>
    <w:rsid w:val="52BF774F"/>
    <w:rsid w:val="52D25D57"/>
    <w:rsid w:val="53CE651E"/>
    <w:rsid w:val="540F28EC"/>
    <w:rsid w:val="54273122"/>
    <w:rsid w:val="547E46B6"/>
    <w:rsid w:val="548D3B82"/>
    <w:rsid w:val="54B5164D"/>
    <w:rsid w:val="54BC0090"/>
    <w:rsid w:val="5524233B"/>
    <w:rsid w:val="55690BF5"/>
    <w:rsid w:val="558646EF"/>
    <w:rsid w:val="55C70BE2"/>
    <w:rsid w:val="55F304F6"/>
    <w:rsid w:val="55F51857"/>
    <w:rsid w:val="55FD7697"/>
    <w:rsid w:val="56177C28"/>
    <w:rsid w:val="56764297"/>
    <w:rsid w:val="568B266D"/>
    <w:rsid w:val="56B50693"/>
    <w:rsid w:val="56C46BA9"/>
    <w:rsid w:val="572F197E"/>
    <w:rsid w:val="57510BC3"/>
    <w:rsid w:val="5806440C"/>
    <w:rsid w:val="5814296E"/>
    <w:rsid w:val="587C29ED"/>
    <w:rsid w:val="587D0EB9"/>
    <w:rsid w:val="58BE2FA8"/>
    <w:rsid w:val="58C52932"/>
    <w:rsid w:val="58D07DF4"/>
    <w:rsid w:val="58D62F5A"/>
    <w:rsid w:val="58DF3D9A"/>
    <w:rsid w:val="590C0B28"/>
    <w:rsid w:val="591945BB"/>
    <w:rsid w:val="59435650"/>
    <w:rsid w:val="59710BD4"/>
    <w:rsid w:val="5A0C7DA1"/>
    <w:rsid w:val="5A2055FA"/>
    <w:rsid w:val="5A364E1D"/>
    <w:rsid w:val="5A6B7CAE"/>
    <w:rsid w:val="5AB56578"/>
    <w:rsid w:val="5AEF0CBE"/>
    <w:rsid w:val="5B210A7B"/>
    <w:rsid w:val="5B4A6146"/>
    <w:rsid w:val="5B503CBD"/>
    <w:rsid w:val="5B553EE5"/>
    <w:rsid w:val="5B8027F4"/>
    <w:rsid w:val="5B9A08D9"/>
    <w:rsid w:val="5BB054F9"/>
    <w:rsid w:val="5BFFBA60"/>
    <w:rsid w:val="5C6E089F"/>
    <w:rsid w:val="5CCB238D"/>
    <w:rsid w:val="5CF42E9A"/>
    <w:rsid w:val="5D0D6E53"/>
    <w:rsid w:val="5DDE6DED"/>
    <w:rsid w:val="5DEF4B62"/>
    <w:rsid w:val="5E631F59"/>
    <w:rsid w:val="5E97541D"/>
    <w:rsid w:val="5EA4557A"/>
    <w:rsid w:val="5EB7AAA3"/>
    <w:rsid w:val="5F0674B4"/>
    <w:rsid w:val="5F294F51"/>
    <w:rsid w:val="5F3D6D4F"/>
    <w:rsid w:val="5F4D5334"/>
    <w:rsid w:val="5F5D4BFA"/>
    <w:rsid w:val="5F9C3975"/>
    <w:rsid w:val="5FC8476A"/>
    <w:rsid w:val="601B50B8"/>
    <w:rsid w:val="60667114"/>
    <w:rsid w:val="60806FCC"/>
    <w:rsid w:val="60BE2771"/>
    <w:rsid w:val="60C34A1A"/>
    <w:rsid w:val="6100537D"/>
    <w:rsid w:val="614D672E"/>
    <w:rsid w:val="61B72CE8"/>
    <w:rsid w:val="61B81BC2"/>
    <w:rsid w:val="61F1668F"/>
    <w:rsid w:val="621719D8"/>
    <w:rsid w:val="625B7B17"/>
    <w:rsid w:val="627806C9"/>
    <w:rsid w:val="627B71A0"/>
    <w:rsid w:val="62F05186"/>
    <w:rsid w:val="63284D3B"/>
    <w:rsid w:val="63470101"/>
    <w:rsid w:val="635756B4"/>
    <w:rsid w:val="63604CB9"/>
    <w:rsid w:val="638A735E"/>
    <w:rsid w:val="63D25BB7"/>
    <w:rsid w:val="63EC2FCE"/>
    <w:rsid w:val="64013B5B"/>
    <w:rsid w:val="641A649B"/>
    <w:rsid w:val="6424218B"/>
    <w:rsid w:val="648D5F82"/>
    <w:rsid w:val="64FB60BE"/>
    <w:rsid w:val="650869C2"/>
    <w:rsid w:val="651222EA"/>
    <w:rsid w:val="65197815"/>
    <w:rsid w:val="65644F35"/>
    <w:rsid w:val="66383744"/>
    <w:rsid w:val="663935EB"/>
    <w:rsid w:val="6656125F"/>
    <w:rsid w:val="667C3224"/>
    <w:rsid w:val="667C4500"/>
    <w:rsid w:val="66CA6A45"/>
    <w:rsid w:val="66F10A4A"/>
    <w:rsid w:val="672A5D0A"/>
    <w:rsid w:val="67305781"/>
    <w:rsid w:val="673152EA"/>
    <w:rsid w:val="67421966"/>
    <w:rsid w:val="675B2367"/>
    <w:rsid w:val="677FFF9E"/>
    <w:rsid w:val="67D650DE"/>
    <w:rsid w:val="680D5840"/>
    <w:rsid w:val="686D58E2"/>
    <w:rsid w:val="68747003"/>
    <w:rsid w:val="689A0547"/>
    <w:rsid w:val="68F2471A"/>
    <w:rsid w:val="68F61A9D"/>
    <w:rsid w:val="69224EEB"/>
    <w:rsid w:val="692E56E8"/>
    <w:rsid w:val="695D5355"/>
    <w:rsid w:val="6977022E"/>
    <w:rsid w:val="69A022B3"/>
    <w:rsid w:val="69A30C12"/>
    <w:rsid w:val="6A2855CF"/>
    <w:rsid w:val="6A2922A9"/>
    <w:rsid w:val="6A3D05EE"/>
    <w:rsid w:val="6A777F97"/>
    <w:rsid w:val="6A7F409A"/>
    <w:rsid w:val="6ACA3A8C"/>
    <w:rsid w:val="6AF12374"/>
    <w:rsid w:val="6B1E17A6"/>
    <w:rsid w:val="6B252A70"/>
    <w:rsid w:val="6B5C7E0E"/>
    <w:rsid w:val="6B7F19ED"/>
    <w:rsid w:val="6BA667A6"/>
    <w:rsid w:val="6BF82C73"/>
    <w:rsid w:val="6C4437A2"/>
    <w:rsid w:val="6C4562FA"/>
    <w:rsid w:val="6C580B98"/>
    <w:rsid w:val="6C6D39C5"/>
    <w:rsid w:val="6C711A7C"/>
    <w:rsid w:val="6CCA4D4E"/>
    <w:rsid w:val="6CD214F3"/>
    <w:rsid w:val="6D601880"/>
    <w:rsid w:val="6DB7169D"/>
    <w:rsid w:val="6DCA3B29"/>
    <w:rsid w:val="6DF606F4"/>
    <w:rsid w:val="6E0F5613"/>
    <w:rsid w:val="6E5518BE"/>
    <w:rsid w:val="6E5B49FB"/>
    <w:rsid w:val="6E6B7334"/>
    <w:rsid w:val="6E810905"/>
    <w:rsid w:val="6EDA5EEB"/>
    <w:rsid w:val="6EDF4571"/>
    <w:rsid w:val="6F086F15"/>
    <w:rsid w:val="6F0D03EB"/>
    <w:rsid w:val="6F0F39F7"/>
    <w:rsid w:val="6F390B12"/>
    <w:rsid w:val="6F437969"/>
    <w:rsid w:val="6FA60DFD"/>
    <w:rsid w:val="6FB37682"/>
    <w:rsid w:val="6FFB0243"/>
    <w:rsid w:val="700C2451"/>
    <w:rsid w:val="707029DF"/>
    <w:rsid w:val="70727B8C"/>
    <w:rsid w:val="70A9317F"/>
    <w:rsid w:val="71323587"/>
    <w:rsid w:val="71722787"/>
    <w:rsid w:val="718A31A2"/>
    <w:rsid w:val="720578C1"/>
    <w:rsid w:val="72351FC0"/>
    <w:rsid w:val="724F4077"/>
    <w:rsid w:val="72C55A38"/>
    <w:rsid w:val="73053CED"/>
    <w:rsid w:val="73131A58"/>
    <w:rsid w:val="7315786E"/>
    <w:rsid w:val="731832FE"/>
    <w:rsid w:val="73216213"/>
    <w:rsid w:val="734463A5"/>
    <w:rsid w:val="735859AD"/>
    <w:rsid w:val="73CF53E7"/>
    <w:rsid w:val="73E346AF"/>
    <w:rsid w:val="73F92CEC"/>
    <w:rsid w:val="741620FE"/>
    <w:rsid w:val="74534AF2"/>
    <w:rsid w:val="74B82BA7"/>
    <w:rsid w:val="74BD0F22"/>
    <w:rsid w:val="74D252CE"/>
    <w:rsid w:val="74DB091B"/>
    <w:rsid w:val="75A82C1C"/>
    <w:rsid w:val="75DA6B4D"/>
    <w:rsid w:val="75E144FE"/>
    <w:rsid w:val="75E54637"/>
    <w:rsid w:val="760A3301"/>
    <w:rsid w:val="7614205F"/>
    <w:rsid w:val="766703E1"/>
    <w:rsid w:val="76794E52"/>
    <w:rsid w:val="76816FC9"/>
    <w:rsid w:val="76CA3830"/>
    <w:rsid w:val="76DF0A34"/>
    <w:rsid w:val="77020109"/>
    <w:rsid w:val="77093BD7"/>
    <w:rsid w:val="771D3258"/>
    <w:rsid w:val="77527E0B"/>
    <w:rsid w:val="7798281C"/>
    <w:rsid w:val="77EE068E"/>
    <w:rsid w:val="781225CE"/>
    <w:rsid w:val="781B5927"/>
    <w:rsid w:val="786E5169"/>
    <w:rsid w:val="7892370F"/>
    <w:rsid w:val="78960636"/>
    <w:rsid w:val="78AF778B"/>
    <w:rsid w:val="78BF05C9"/>
    <w:rsid w:val="78D863D1"/>
    <w:rsid w:val="79390690"/>
    <w:rsid w:val="795E6047"/>
    <w:rsid w:val="79DE7E7D"/>
    <w:rsid w:val="7A2800DC"/>
    <w:rsid w:val="7AD30A7C"/>
    <w:rsid w:val="7ADA6E1B"/>
    <w:rsid w:val="7B046B46"/>
    <w:rsid w:val="7B15775C"/>
    <w:rsid w:val="7B39ED51"/>
    <w:rsid w:val="7B5C6070"/>
    <w:rsid w:val="7B835E63"/>
    <w:rsid w:val="7BB57A83"/>
    <w:rsid w:val="7BDFBF23"/>
    <w:rsid w:val="7BF10F58"/>
    <w:rsid w:val="7C001651"/>
    <w:rsid w:val="7C52743D"/>
    <w:rsid w:val="7C5B1E3A"/>
    <w:rsid w:val="7C8A4E29"/>
    <w:rsid w:val="7C9E08D4"/>
    <w:rsid w:val="7CBF588A"/>
    <w:rsid w:val="7CC07A8E"/>
    <w:rsid w:val="7CC778A3"/>
    <w:rsid w:val="7CEDC421"/>
    <w:rsid w:val="7D524A9C"/>
    <w:rsid w:val="7D55752F"/>
    <w:rsid w:val="7D8B6384"/>
    <w:rsid w:val="7D937D0D"/>
    <w:rsid w:val="7DDB4267"/>
    <w:rsid w:val="7DEC8DBB"/>
    <w:rsid w:val="7E024A8C"/>
    <w:rsid w:val="7E282B4B"/>
    <w:rsid w:val="7E4470F3"/>
    <w:rsid w:val="7E4A0D41"/>
    <w:rsid w:val="7E5E2B88"/>
    <w:rsid w:val="7E6D0804"/>
    <w:rsid w:val="7F3D2627"/>
    <w:rsid w:val="7F64728F"/>
    <w:rsid w:val="7F8177D2"/>
    <w:rsid w:val="7F8B714F"/>
    <w:rsid w:val="7FB7320F"/>
    <w:rsid w:val="7FBE91C7"/>
    <w:rsid w:val="7FBF9B34"/>
    <w:rsid w:val="7FC72C92"/>
    <w:rsid w:val="7FD36AE7"/>
    <w:rsid w:val="7FDF07DC"/>
    <w:rsid w:val="7FFA0C1B"/>
    <w:rsid w:val="7FFEF8FB"/>
    <w:rsid w:val="7FFF78DC"/>
    <w:rsid w:val="8F7F5B78"/>
    <w:rsid w:val="B3FBFC8E"/>
    <w:rsid w:val="B6EED54A"/>
    <w:rsid w:val="BB779310"/>
    <w:rsid w:val="BCFDF04F"/>
    <w:rsid w:val="BFCD2381"/>
    <w:rsid w:val="BFFF13EE"/>
    <w:rsid w:val="C59418FD"/>
    <w:rsid w:val="CFFFBD88"/>
    <w:rsid w:val="CFFFFAFF"/>
    <w:rsid w:val="D7C71291"/>
    <w:rsid w:val="D7FB8599"/>
    <w:rsid w:val="DBFBD846"/>
    <w:rsid w:val="DC7FF8C6"/>
    <w:rsid w:val="DE7F4FAE"/>
    <w:rsid w:val="DFDE06CA"/>
    <w:rsid w:val="EB7BD803"/>
    <w:rsid w:val="EEDEEE2C"/>
    <w:rsid w:val="F3F3035A"/>
    <w:rsid w:val="F6DF7F6B"/>
    <w:rsid w:val="F773ED5E"/>
    <w:rsid w:val="F7FC7B47"/>
    <w:rsid w:val="FB7D50CE"/>
    <w:rsid w:val="FBCEB34E"/>
    <w:rsid w:val="FBDD4B68"/>
    <w:rsid w:val="FD9BFAC2"/>
    <w:rsid w:val="FDECA00E"/>
    <w:rsid w:val="FF7C4473"/>
    <w:rsid w:val="FFD7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color w:val="000000" w:themeColor="text1"/>
      <w:kern w:val="2"/>
      <w:sz w:val="32"/>
      <w:szCs w:val="24"/>
      <w:lang w:val="en-US" w:eastAsia="zh-CN" w:bidi="ar-SA"/>
      <w14:textFill>
        <w14:solidFill>
          <w14:schemeClr w14:val="tx1"/>
        </w14:solidFill>
      </w14:textFill>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 Char"/>
    <w:basedOn w:val="1"/>
    <w:qFormat/>
    <w:uiPriority w:val="0"/>
    <w:pPr>
      <w:spacing w:line="360" w:lineRule="auto"/>
    </w:pPr>
    <w:rPr>
      <w:rFonts w:ascii="宋体" w:hAnsi="宋体"/>
      <w:b/>
      <w:sz w:val="28"/>
      <w:szCs w:val="28"/>
    </w:rPr>
  </w:style>
  <w:style w:type="paragraph" w:styleId="7">
    <w:name w:val="index 8"/>
    <w:basedOn w:val="1"/>
    <w:next w:val="1"/>
    <w:qFormat/>
    <w:uiPriority w:val="0"/>
    <w:pPr>
      <w:ind w:left="2940"/>
    </w:pPr>
  </w:style>
  <w:style w:type="paragraph" w:styleId="8">
    <w:name w:val="Normal Indent"/>
    <w:basedOn w:val="1"/>
    <w:qFormat/>
    <w:uiPriority w:val="0"/>
    <w:pPr>
      <w:ind w:firstLine="420" w:firstLineChars="200"/>
    </w:p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cs="Arial"/>
      <w:szCs w:val="20"/>
    </w:rPr>
  </w:style>
  <w:style w:type="paragraph" w:styleId="12">
    <w:name w:val="Date"/>
    <w:basedOn w:val="1"/>
    <w:next w:val="1"/>
    <w:qFormat/>
    <w:uiPriority w:val="0"/>
    <w:pPr>
      <w:ind w:left="2500" w:leftChars="2500"/>
    </w:pPr>
  </w:style>
  <w:style w:type="paragraph" w:styleId="13">
    <w:name w:val="Body Text Indent 2"/>
    <w:basedOn w:val="1"/>
    <w:next w:val="1"/>
    <w:qFormat/>
    <w:uiPriority w:val="0"/>
    <w:pPr>
      <w:spacing w:after="120" w:afterLines="0" w:afterAutospacing="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9"/>
    <w:qFormat/>
    <w:uiPriority w:val="99"/>
    <w:pPr>
      <w:spacing w:before="120" w:after="240"/>
      <w:ind w:left="100" w:leftChars="100" w:firstLine="420" w:firstLineChars="100"/>
    </w:pPr>
  </w:style>
  <w:style w:type="paragraph" w:styleId="18">
    <w:name w:val="Body Text First Indent 2"/>
    <w:basedOn w:val="1"/>
    <w:qFormat/>
    <w:uiPriority w:val="99"/>
    <w:pPr>
      <w:spacing w:after="0"/>
      <w:ind w:firstLine="420" w:firstLineChars="200"/>
    </w:pPr>
    <w:rPr>
      <w:kern w:val="0"/>
      <w:sz w:val="24"/>
    </w:rPr>
  </w:style>
  <w:style w:type="character" w:styleId="21">
    <w:name w:val="Strong"/>
    <w:basedOn w:val="20"/>
    <w:qFormat/>
    <w:uiPriority w:val="0"/>
    <w:rPr>
      <w:b/>
    </w:rPr>
  </w:style>
  <w:style w:type="character" w:styleId="22">
    <w:name w:val="page number"/>
    <w:basedOn w:val="20"/>
    <w:qFormat/>
    <w:uiPriority w:val="0"/>
  </w:style>
  <w:style w:type="paragraph" w:customStyle="1" w:styleId="23">
    <w:name w:val="Char"/>
    <w:basedOn w:val="1"/>
    <w:qFormat/>
    <w:uiPriority w:val="0"/>
    <w:pPr>
      <w:spacing w:line="360" w:lineRule="auto"/>
    </w:pPr>
    <w:rPr>
      <w:rFonts w:ascii="宋体" w:hAnsi="宋体"/>
      <w:b/>
      <w:sz w:val="28"/>
      <w:szCs w:val="28"/>
    </w:rPr>
  </w:style>
  <w:style w:type="paragraph" w:customStyle="1" w:styleId="24">
    <w:name w:val="正文1"/>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customStyle="1" w:styleId="25">
    <w:name w:val="15"/>
    <w:basedOn w:val="20"/>
    <w:qFormat/>
    <w:uiPriority w:val="0"/>
    <w:rPr>
      <w:rFonts w:hint="default" w:ascii="Calibri" w:hAnsi="Calibri"/>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30606</Words>
  <Characters>31588</Characters>
  <Lines>0</Lines>
  <Paragraphs>0</Paragraphs>
  <TotalTime>0</TotalTime>
  <ScaleCrop>false</ScaleCrop>
  <LinksUpToDate>false</LinksUpToDate>
  <CharactersWithSpaces>31598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2024-01-06T06:34:00Z</dcterms:created>
  <dc:creator>还好</dc:creator>
  <cp:lastModifiedBy>王文浩</cp:lastModifiedBy>
  <cp:lastPrinted>2026-01-26T17:04:00Z</cp:lastPrinted>
  <dcterms:modified xsi:type="dcterms:W3CDTF">2026-02-02T06:33:22Z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1368C50192C8479F9329BE4B7D4B11EF_13</vt:lpwstr>
  </property>
  <property fmtid="{D5CDD505-2E9C-101B-9397-08002B2CF9AE}" pid="4" name="KSOTemplateDocerSaveRecord">
    <vt:lpwstr>eyJoZGlkIjoiNzg3MDYzYmM5Zjc1MjJhOGMzMDY0M2Y1N2E0N2JmZjAiLCJ1c2VySWQiOiI0Mjg4MjI4OTgifQ==</vt:lpwstr>
  </property>
</Properties>
</file>