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66C92">
      <w:pPr>
        <w:keepLines w:val="0"/>
        <w:pageBreakBefore w:val="0"/>
        <w:kinsoku/>
        <w:topLinePunct w:val="0"/>
        <w:bidi w:val="0"/>
        <w:adjustRightInd w:val="0"/>
        <w:snapToGrid w:val="0"/>
        <w:rPr>
          <w:rFonts w:hint="default" w:ascii="Times New Roman" w:hAnsi="Times New Roman" w:eastAsia="宋体" w:cs="Times New Roman"/>
          <w:sz w:val="36"/>
          <w:szCs w:val="36"/>
        </w:rPr>
      </w:pPr>
    </w:p>
    <w:p w14:paraId="12B4BAA8">
      <w:pPr>
        <w:keepLines w:val="0"/>
        <w:pageBreakBefore w:val="0"/>
        <w:kinsoku/>
        <w:topLinePunct w:val="0"/>
        <w:bidi w:val="0"/>
        <w:adjustRightInd w:val="0"/>
        <w:snapToGrid w:val="0"/>
        <w:rPr>
          <w:rFonts w:hint="default" w:ascii="Times New Roman" w:hAnsi="Times New Roman" w:eastAsia="宋体" w:cs="Times New Roman"/>
          <w:sz w:val="36"/>
          <w:szCs w:val="36"/>
        </w:rPr>
      </w:pPr>
    </w:p>
    <w:p w14:paraId="3EAD6A7D">
      <w:pPr>
        <w:keepLines w:val="0"/>
        <w:pageBreakBefore w:val="0"/>
        <w:kinsoku/>
        <w:topLinePunct w:val="0"/>
        <w:bidi w:val="0"/>
        <w:adjustRightInd w:val="0"/>
        <w:snapToGrid w:val="0"/>
        <w:rPr>
          <w:rFonts w:hint="default" w:ascii="Times New Roman" w:hAnsi="Times New Roman" w:eastAsia="宋体" w:cs="Times New Roman"/>
          <w:sz w:val="36"/>
          <w:szCs w:val="36"/>
        </w:rPr>
      </w:pPr>
    </w:p>
    <w:p w14:paraId="5B8C72D3">
      <w:pPr>
        <w:keepLines w:val="0"/>
        <w:pageBreakBefore w:val="0"/>
        <w:kinsoku/>
        <w:topLinePunct w:val="0"/>
        <w:bidi w:val="0"/>
        <w:adjustRightInd w:val="0"/>
        <w:snapToGrid w:val="0"/>
        <w:rPr>
          <w:rFonts w:hint="default" w:ascii="Times New Roman" w:hAnsi="Times New Roman" w:eastAsia="宋体" w:cs="Times New Roman"/>
          <w:sz w:val="36"/>
          <w:szCs w:val="36"/>
        </w:rPr>
      </w:pPr>
    </w:p>
    <w:p w14:paraId="34F7FCE2">
      <w:pPr>
        <w:keepLines w:val="0"/>
        <w:pageBreakBefore w:val="0"/>
        <w:kinsoku/>
        <w:topLinePunct w:val="0"/>
        <w:bidi w:val="0"/>
        <w:adjustRightInd w:val="0"/>
        <w:snapToGrid w:val="0"/>
        <w:rPr>
          <w:rFonts w:hint="default" w:ascii="Times New Roman" w:hAnsi="Times New Roman" w:eastAsia="宋体" w:cs="Times New Roman"/>
          <w:sz w:val="36"/>
          <w:szCs w:val="36"/>
        </w:rPr>
      </w:pPr>
    </w:p>
    <w:p w14:paraId="5EE48884">
      <w:pPr>
        <w:keepLines w:val="0"/>
        <w:pageBreakBefore w:val="0"/>
        <w:kinsoku/>
        <w:topLinePunct w:val="0"/>
        <w:bidi w:val="0"/>
        <w:adjustRightInd w:val="0"/>
        <w:snapToGrid w:val="0"/>
        <w:spacing w:before="192" w:beforeLines="80"/>
        <w:jc w:val="center"/>
        <w:rPr>
          <w:rFonts w:hint="default" w:ascii="Times New Roman" w:hAnsi="Times New Roman" w:eastAsia="宋体" w:cs="Times New Roman"/>
          <w:bCs/>
          <w:color w:val="auto"/>
          <w:sz w:val="72"/>
          <w:szCs w:val="72"/>
        </w:rPr>
      </w:pPr>
      <w:r>
        <w:rPr>
          <w:rFonts w:hint="default" w:ascii="Times New Roman" w:hAnsi="Times New Roman" w:eastAsia="宋体" w:cs="Times New Roman"/>
          <w:bCs/>
          <w:color w:val="auto"/>
          <w:sz w:val="72"/>
          <w:szCs w:val="72"/>
        </w:rPr>
        <w:t>建设项目环境影响报告表</w:t>
      </w:r>
    </w:p>
    <w:p w14:paraId="6E5A97E2">
      <w:pPr>
        <w:keepLines w:val="0"/>
        <w:pageBreakBefore w:val="0"/>
        <w:kinsoku/>
        <w:topLinePunct w:val="0"/>
        <w:bidi w:val="0"/>
        <w:adjustRightInd w:val="0"/>
        <w:snapToGrid w:val="0"/>
        <w:spacing w:before="192" w:beforeLines="80"/>
        <w:jc w:val="center"/>
        <w:rPr>
          <w:rFonts w:hint="default" w:ascii="Times New Roman" w:hAnsi="Times New Roman" w:eastAsia="宋体" w:cs="Times New Roman"/>
          <w:bCs/>
          <w:color w:val="auto"/>
          <w:sz w:val="48"/>
          <w:szCs w:val="48"/>
          <w:lang w:val="en-US" w:eastAsia="zh-CN"/>
        </w:rPr>
      </w:pPr>
      <w:r>
        <w:rPr>
          <w:rFonts w:hint="default" w:ascii="Times New Roman" w:hAnsi="Times New Roman" w:eastAsia="宋体" w:cs="Times New Roman"/>
          <w:bCs/>
          <w:color w:val="auto"/>
          <w:sz w:val="48"/>
          <w:szCs w:val="48"/>
        </w:rPr>
        <w:t>（污染影响类）</w:t>
      </w:r>
    </w:p>
    <w:p w14:paraId="467441F1">
      <w:pPr>
        <w:keepLines w:val="0"/>
        <w:pageBreakBefore w:val="0"/>
        <w:kinsoku/>
        <w:topLinePunct w:val="0"/>
        <w:bidi w:val="0"/>
        <w:adjustRightInd w:val="0"/>
        <w:snapToGrid w:val="0"/>
        <w:rPr>
          <w:rStyle w:val="50"/>
          <w:rFonts w:hint="default" w:ascii="Times New Roman" w:hAnsi="Times New Roman" w:eastAsia="宋体" w:cs="Times New Roman"/>
        </w:rPr>
      </w:pPr>
    </w:p>
    <w:p w14:paraId="7B641C5A">
      <w:pPr>
        <w:keepLines w:val="0"/>
        <w:pageBreakBefore w:val="0"/>
        <w:kinsoku/>
        <w:topLinePunct w:val="0"/>
        <w:bidi w:val="0"/>
        <w:adjustRightInd w:val="0"/>
        <w:snapToGrid w:val="0"/>
        <w:jc w:val="center"/>
        <w:rPr>
          <w:rFonts w:hint="default" w:ascii="Times New Roman" w:hAnsi="Times New Roman" w:eastAsia="宋体" w:cs="Times New Roman"/>
          <w:sz w:val="52"/>
          <w:szCs w:val="52"/>
        </w:rPr>
      </w:pPr>
    </w:p>
    <w:p w14:paraId="28356206">
      <w:pPr>
        <w:keepLines w:val="0"/>
        <w:pageBreakBefore w:val="0"/>
        <w:kinsoku/>
        <w:topLinePunct w:val="0"/>
        <w:bidi w:val="0"/>
        <w:adjustRightInd w:val="0"/>
        <w:snapToGrid w:val="0"/>
        <w:ind w:firstLine="1040"/>
        <w:rPr>
          <w:rFonts w:hint="default" w:ascii="Times New Roman" w:hAnsi="Times New Roman" w:eastAsia="宋体" w:cs="Times New Roman"/>
          <w:sz w:val="44"/>
          <w:szCs w:val="44"/>
        </w:rPr>
      </w:pPr>
    </w:p>
    <w:p w14:paraId="3B1A840F">
      <w:pPr>
        <w:keepLines w:val="0"/>
        <w:pageBreakBefore w:val="0"/>
        <w:kinsoku/>
        <w:topLinePunct w:val="0"/>
        <w:bidi w:val="0"/>
        <w:adjustRightInd w:val="0"/>
        <w:snapToGrid w:val="0"/>
        <w:ind w:firstLine="1040"/>
        <w:rPr>
          <w:rFonts w:hint="default" w:ascii="Times New Roman" w:hAnsi="Times New Roman" w:eastAsia="宋体" w:cs="Times New Roman"/>
          <w:sz w:val="44"/>
          <w:szCs w:val="44"/>
        </w:rPr>
      </w:pPr>
    </w:p>
    <w:p w14:paraId="4CB91B5C">
      <w:pPr>
        <w:keepLines w:val="0"/>
        <w:pageBreakBefore w:val="0"/>
        <w:kinsoku/>
        <w:topLinePunct w:val="0"/>
        <w:bidi w:val="0"/>
        <w:adjustRightInd w:val="0"/>
        <w:snapToGrid w:val="0"/>
        <w:ind w:firstLine="1040"/>
        <w:rPr>
          <w:rFonts w:hint="default" w:ascii="Times New Roman" w:hAnsi="Times New Roman" w:eastAsia="宋体" w:cs="Times New Roman"/>
          <w:sz w:val="44"/>
          <w:szCs w:val="44"/>
        </w:rPr>
      </w:pPr>
    </w:p>
    <w:p w14:paraId="4FA31B0F">
      <w:pPr>
        <w:keepNext w:val="0"/>
        <w:keepLines w:val="0"/>
        <w:pageBreakBefore w:val="0"/>
        <w:widowControl w:val="0"/>
        <w:kinsoku/>
        <w:wordWrap/>
        <w:overflowPunct/>
        <w:topLinePunct w:val="0"/>
        <w:autoSpaceDE/>
        <w:autoSpaceDN/>
        <w:bidi w:val="0"/>
        <w:adjustRightInd w:val="0"/>
        <w:snapToGrid w:val="0"/>
        <w:spacing w:line="288" w:lineRule="auto"/>
        <w:ind w:firstLine="794"/>
        <w:textAlignment w:val="auto"/>
        <w:rPr>
          <w:rFonts w:hint="default" w:ascii="Times New Roman" w:hAnsi="Times New Roman" w:eastAsia="宋体" w:cs="Times New Roman"/>
          <w:b/>
          <w:bCs/>
          <w:sz w:val="36"/>
          <w:szCs w:val="36"/>
          <w:u w:val="single"/>
          <w:lang w:val="en-US" w:eastAsia="zh-CN"/>
        </w:rPr>
      </w:pPr>
      <w:r>
        <w:rPr>
          <w:rFonts w:hint="eastAsia" w:cs="Times New Roman"/>
          <w:sz w:val="36"/>
          <w:szCs w:val="36"/>
          <w:u w:val="single"/>
          <w:lang w:val="en-US" w:eastAsia="zh-CN"/>
        </w:rPr>
        <w:t xml:space="preserve">       </w:t>
      </w:r>
      <w:r>
        <w:rPr>
          <w:rFonts w:hint="eastAsia" w:cs="Times New Roman"/>
          <w:sz w:val="36"/>
          <w:szCs w:val="36"/>
          <w:u w:val="none"/>
          <w:lang w:val="en-US" w:eastAsia="zh-CN"/>
        </w:rPr>
        <w:t xml:space="preserve">   </w:t>
      </w:r>
      <w:r>
        <w:rPr>
          <w:rFonts w:hint="eastAsia" w:cs="Times New Roman"/>
          <w:sz w:val="36"/>
          <w:szCs w:val="36"/>
          <w:u w:val="single"/>
          <w:lang w:val="en-US" w:eastAsia="zh-CN"/>
        </w:rPr>
        <w:t xml:space="preserve"> </w:t>
      </w:r>
    </w:p>
    <w:p w14:paraId="376ADC65">
      <w:pPr>
        <w:keepLines w:val="0"/>
        <w:pageBreakBefore w:val="0"/>
        <w:kinsoku/>
        <w:topLinePunct w:val="0"/>
        <w:bidi w:val="0"/>
        <w:adjustRightInd w:val="0"/>
        <w:snapToGrid w:val="0"/>
        <w:spacing w:line="288" w:lineRule="auto"/>
        <w:ind w:firstLine="1040"/>
        <w:rPr>
          <w:rFonts w:hint="default" w:ascii="Times New Roman" w:hAnsi="Times New Roman" w:eastAsia="宋体" w:cs="Times New Roman"/>
          <w:sz w:val="36"/>
          <w:szCs w:val="36"/>
          <w:u w:val="single"/>
        </w:rPr>
      </w:pPr>
      <w:bookmarkStart w:id="0" w:name="_Hlk57884087"/>
    </w:p>
    <w:tbl>
      <w:tblPr>
        <w:tblStyle w:val="47"/>
        <w:tblW w:w="9379" w:type="dxa"/>
        <w:jc w:val="center"/>
        <w:tblBorders>
          <w:top w:val="none" w:color="auto" w:sz="0" w:space="0"/>
          <w:left w:val="none" w:color="auto" w:sz="0" w:space="0"/>
          <w:bottom w:val="single" w:color="auto" w:sz="4" w:space="0"/>
          <w:right w:val="none" w:color="auto" w:sz="0" w:space="0"/>
          <w:insideH w:val="single" w:color="auto" w:sz="4" w:space="0"/>
          <w:insideV w:val="none" w:color="auto" w:sz="4" w:space="0"/>
        </w:tblBorders>
        <w:tblLayout w:type="autofit"/>
        <w:tblCellMar>
          <w:top w:w="0" w:type="dxa"/>
          <w:left w:w="108" w:type="dxa"/>
          <w:bottom w:w="0" w:type="dxa"/>
          <w:right w:w="108" w:type="dxa"/>
        </w:tblCellMar>
      </w:tblPr>
      <w:tblGrid>
        <w:gridCol w:w="2987"/>
        <w:gridCol w:w="6392"/>
      </w:tblGrid>
      <w:tr w14:paraId="7B0632AF">
        <w:tblPrEx>
          <w:tblBorders>
            <w:top w:val="none" w:color="auto" w:sz="0" w:space="0"/>
            <w:left w:val="none" w:color="auto" w:sz="0" w:space="0"/>
            <w:bottom w:val="single" w:color="auto" w:sz="4" w:space="0"/>
            <w:right w:val="none" w:color="auto" w:sz="0" w:space="0"/>
            <w:insideH w:val="single" w:color="auto" w:sz="4" w:space="0"/>
            <w:insideV w:val="none" w:color="auto" w:sz="4" w:space="0"/>
          </w:tblBorders>
          <w:tblCellMar>
            <w:top w:w="0" w:type="dxa"/>
            <w:left w:w="108" w:type="dxa"/>
            <w:bottom w:w="0" w:type="dxa"/>
            <w:right w:w="108" w:type="dxa"/>
          </w:tblCellMar>
        </w:tblPrEx>
        <w:trPr>
          <w:trHeight w:val="680" w:hRule="atLeast"/>
          <w:jc w:val="center"/>
        </w:trPr>
        <w:tc>
          <w:tcPr>
            <w:tcW w:w="2987" w:type="dxa"/>
            <w:noWrap w:val="0"/>
            <w:vAlign w:val="center"/>
          </w:tcPr>
          <w:p w14:paraId="3F0E43B5">
            <w:pPr>
              <w:pStyle w:val="265"/>
              <w:rPr>
                <w:rFonts w:hint="eastAsia" w:ascii="Times New Roman" w:hAnsi="宋体" w:eastAsia="宋体" w:cs="Times New Roman"/>
                <w:kern w:val="2"/>
                <w:sz w:val="36"/>
                <w:szCs w:val="20"/>
                <w:lang w:val="en-US" w:eastAsia="zh-CN" w:bidi="ar-SA"/>
              </w:rPr>
            </w:pPr>
            <w:r>
              <w:rPr>
                <w:rFonts w:hint="eastAsia" w:ascii="Times New Roman" w:hAnsi="宋体" w:eastAsia="宋体" w:cs="Times New Roman"/>
                <w:kern w:val="2"/>
                <w:sz w:val="36"/>
                <w:szCs w:val="20"/>
                <w:lang w:val="en-US" w:eastAsia="zh-CN" w:bidi="ar-SA"/>
              </w:rPr>
              <w:t>项目名称：</w:t>
            </w:r>
          </w:p>
        </w:tc>
        <w:tc>
          <w:tcPr>
            <w:tcW w:w="6392" w:type="dxa"/>
            <w:noWrap w:val="0"/>
            <w:vAlign w:val="center"/>
          </w:tcPr>
          <w:p w14:paraId="47B51433">
            <w:pPr>
              <w:pStyle w:val="265"/>
              <w:jc w:val="center"/>
              <w:rPr>
                <w:rFonts w:hint="eastAsia" w:ascii="Times New Roman" w:hAnsi="宋体" w:eastAsia="宋体" w:cs="Times New Roman"/>
                <w:kern w:val="2"/>
                <w:sz w:val="36"/>
                <w:szCs w:val="20"/>
                <w:lang w:val="en-US" w:eastAsia="zh-CN" w:bidi="ar-SA"/>
              </w:rPr>
            </w:pPr>
            <w:r>
              <w:rPr>
                <w:rFonts w:hint="default" w:ascii="Times New Roman" w:hAnsi="Times New Roman" w:eastAsia="宋体" w:cs="Times New Roman"/>
                <w:color w:val="auto"/>
                <w:sz w:val="36"/>
                <w:szCs w:val="36"/>
                <w:u w:val="none"/>
                <w:lang w:val="en-US" w:eastAsia="zh-CN"/>
              </w:rPr>
              <w:t>水稳站固废利用技术改造项目</w:t>
            </w:r>
          </w:p>
        </w:tc>
      </w:tr>
      <w:tr w14:paraId="5CD02E4A">
        <w:tblPrEx>
          <w:tblBorders>
            <w:top w:val="none" w:color="auto" w:sz="0" w:space="0"/>
            <w:left w:val="none" w:color="auto" w:sz="0" w:space="0"/>
            <w:bottom w:val="single" w:color="auto" w:sz="4" w:space="0"/>
            <w:right w:val="none" w:color="auto" w:sz="0" w:space="0"/>
            <w:insideH w:val="single" w:color="auto" w:sz="4" w:space="0"/>
            <w:insideV w:val="none" w:color="auto" w:sz="4" w:space="0"/>
          </w:tblBorders>
          <w:tblCellMar>
            <w:top w:w="0" w:type="dxa"/>
            <w:left w:w="108" w:type="dxa"/>
            <w:bottom w:w="0" w:type="dxa"/>
            <w:right w:w="108" w:type="dxa"/>
          </w:tblCellMar>
        </w:tblPrEx>
        <w:trPr>
          <w:trHeight w:val="680" w:hRule="atLeast"/>
          <w:jc w:val="center"/>
        </w:trPr>
        <w:tc>
          <w:tcPr>
            <w:tcW w:w="2987" w:type="dxa"/>
            <w:noWrap w:val="0"/>
            <w:vAlign w:val="center"/>
          </w:tcPr>
          <w:p w14:paraId="5DF6BACA">
            <w:pPr>
              <w:pStyle w:val="265"/>
              <w:rPr>
                <w:rFonts w:hint="eastAsia" w:ascii="Times New Roman" w:hAnsi="宋体" w:eastAsia="宋体" w:cs="Times New Roman"/>
                <w:kern w:val="2"/>
                <w:sz w:val="36"/>
                <w:szCs w:val="20"/>
                <w:lang w:val="en-US" w:eastAsia="zh-CN" w:bidi="ar-SA"/>
              </w:rPr>
            </w:pPr>
            <w:r>
              <w:rPr>
                <w:rFonts w:hint="eastAsia" w:ascii="Times New Roman" w:hAnsi="宋体" w:eastAsia="宋体" w:cs="Times New Roman"/>
                <w:kern w:val="2"/>
                <w:sz w:val="36"/>
                <w:szCs w:val="20"/>
                <w:lang w:val="en-US" w:eastAsia="zh-CN" w:bidi="ar-SA"/>
              </w:rPr>
              <w:t>建设单位（盖章）：</w:t>
            </w:r>
          </w:p>
        </w:tc>
        <w:tc>
          <w:tcPr>
            <w:tcW w:w="6392" w:type="dxa"/>
            <w:noWrap w:val="0"/>
            <w:vAlign w:val="center"/>
          </w:tcPr>
          <w:p w14:paraId="5D14067E">
            <w:pPr>
              <w:pStyle w:val="265"/>
              <w:jc w:val="center"/>
              <w:rPr>
                <w:rFonts w:hint="eastAsia" w:ascii="Times New Roman" w:hAnsi="宋体" w:eastAsia="宋体" w:cs="Times New Roman"/>
                <w:kern w:val="2"/>
                <w:sz w:val="36"/>
                <w:szCs w:val="20"/>
                <w:lang w:val="en-US" w:eastAsia="zh-CN" w:bidi="ar-SA"/>
              </w:rPr>
            </w:pPr>
            <w:r>
              <w:rPr>
                <w:rFonts w:hint="default" w:ascii="Times New Roman" w:hAnsi="Times New Roman" w:eastAsia="宋体" w:cs="Times New Roman"/>
                <w:sz w:val="36"/>
                <w:szCs w:val="36"/>
                <w:u w:val="none"/>
                <w:lang w:val="en-US" w:eastAsia="zh-CN"/>
              </w:rPr>
              <w:t>濉溪县恒鑫再生资源有限公司</w:t>
            </w:r>
          </w:p>
        </w:tc>
      </w:tr>
      <w:tr w14:paraId="63672F2A">
        <w:tblPrEx>
          <w:tblBorders>
            <w:top w:val="none" w:color="auto" w:sz="0" w:space="0"/>
            <w:left w:val="none" w:color="auto" w:sz="0" w:space="0"/>
            <w:bottom w:val="single" w:color="auto" w:sz="4" w:space="0"/>
            <w:right w:val="none" w:color="auto" w:sz="0" w:space="0"/>
            <w:insideH w:val="single" w:color="auto" w:sz="4" w:space="0"/>
            <w:insideV w:val="none" w:color="auto" w:sz="4" w:space="0"/>
          </w:tblBorders>
          <w:tblCellMar>
            <w:top w:w="0" w:type="dxa"/>
            <w:left w:w="108" w:type="dxa"/>
            <w:bottom w:w="0" w:type="dxa"/>
            <w:right w:w="108" w:type="dxa"/>
          </w:tblCellMar>
        </w:tblPrEx>
        <w:trPr>
          <w:trHeight w:val="680" w:hRule="atLeast"/>
          <w:jc w:val="center"/>
        </w:trPr>
        <w:tc>
          <w:tcPr>
            <w:tcW w:w="2987" w:type="dxa"/>
            <w:noWrap w:val="0"/>
            <w:vAlign w:val="center"/>
          </w:tcPr>
          <w:p w14:paraId="321590AE">
            <w:pPr>
              <w:pStyle w:val="265"/>
              <w:rPr>
                <w:rFonts w:hint="eastAsia" w:ascii="Times New Roman" w:hAnsi="宋体" w:eastAsia="宋体" w:cs="Times New Roman"/>
                <w:kern w:val="2"/>
                <w:sz w:val="36"/>
                <w:szCs w:val="20"/>
                <w:lang w:val="en-US" w:eastAsia="zh-CN" w:bidi="ar-SA"/>
              </w:rPr>
            </w:pPr>
            <w:r>
              <w:rPr>
                <w:rFonts w:hint="eastAsia" w:ascii="Times New Roman" w:hAnsi="宋体" w:eastAsia="宋体" w:cs="Times New Roman"/>
                <w:kern w:val="2"/>
                <w:sz w:val="36"/>
                <w:szCs w:val="20"/>
                <w:lang w:val="en-US" w:eastAsia="zh-CN" w:bidi="ar-SA"/>
              </w:rPr>
              <w:t>编制日期：</w:t>
            </w:r>
          </w:p>
        </w:tc>
        <w:tc>
          <w:tcPr>
            <w:tcW w:w="6392" w:type="dxa"/>
            <w:noWrap w:val="0"/>
            <w:vAlign w:val="center"/>
          </w:tcPr>
          <w:p w14:paraId="0AC7FEDB">
            <w:pPr>
              <w:pStyle w:val="265"/>
              <w:jc w:val="center"/>
              <w:rPr>
                <w:rFonts w:hint="eastAsia" w:ascii="Times New Roman" w:hAnsi="宋体" w:eastAsia="宋体" w:cs="Times New Roman"/>
                <w:kern w:val="2"/>
                <w:sz w:val="36"/>
                <w:szCs w:val="20"/>
                <w:lang w:val="en-US" w:eastAsia="zh-CN" w:bidi="ar-SA"/>
              </w:rPr>
            </w:pPr>
            <w:r>
              <w:rPr>
                <w:rFonts w:hint="eastAsia" w:ascii="Times New Roman" w:hAnsi="宋体" w:eastAsia="宋体" w:cs="Times New Roman"/>
                <w:kern w:val="2"/>
                <w:sz w:val="36"/>
                <w:szCs w:val="20"/>
                <w:lang w:val="en-US" w:eastAsia="zh-CN" w:bidi="ar-SA"/>
              </w:rPr>
              <w:t>二〇二</w:t>
            </w:r>
            <w:r>
              <w:rPr>
                <w:rFonts w:hint="eastAsia" w:hAnsi="宋体" w:cs="Times New Roman"/>
                <w:kern w:val="2"/>
                <w:sz w:val="36"/>
                <w:szCs w:val="20"/>
                <w:lang w:val="en-US" w:eastAsia="zh-CN" w:bidi="ar-SA"/>
              </w:rPr>
              <w:t>六</w:t>
            </w:r>
            <w:r>
              <w:rPr>
                <w:rFonts w:hint="eastAsia" w:ascii="Times New Roman" w:hAnsi="宋体" w:eastAsia="宋体" w:cs="Times New Roman"/>
                <w:kern w:val="2"/>
                <w:sz w:val="36"/>
                <w:szCs w:val="20"/>
                <w:lang w:val="en-US" w:eastAsia="zh-CN" w:bidi="ar-SA"/>
              </w:rPr>
              <w:t>年</w:t>
            </w:r>
            <w:r>
              <w:rPr>
                <w:rFonts w:hint="eastAsia" w:hAnsi="宋体" w:cs="Times New Roman"/>
                <w:kern w:val="2"/>
                <w:sz w:val="36"/>
                <w:szCs w:val="20"/>
                <w:lang w:val="en-US" w:eastAsia="zh-CN" w:bidi="ar-SA"/>
              </w:rPr>
              <w:t>一</w:t>
            </w:r>
            <w:r>
              <w:rPr>
                <w:rFonts w:hint="eastAsia" w:ascii="Times New Roman" w:hAnsi="宋体" w:eastAsia="宋体" w:cs="Times New Roman"/>
                <w:kern w:val="2"/>
                <w:sz w:val="36"/>
                <w:szCs w:val="20"/>
                <w:lang w:val="en-US" w:eastAsia="zh-CN" w:bidi="ar-SA"/>
              </w:rPr>
              <w:t>月</w:t>
            </w:r>
          </w:p>
        </w:tc>
      </w:tr>
    </w:tbl>
    <w:p w14:paraId="032C1549">
      <w:pPr>
        <w:keepLines w:val="0"/>
        <w:pageBreakBefore w:val="0"/>
        <w:kinsoku/>
        <w:topLinePunct w:val="0"/>
        <w:bidi w:val="0"/>
        <w:adjustRightInd w:val="0"/>
        <w:snapToGrid w:val="0"/>
        <w:spacing w:line="288" w:lineRule="auto"/>
        <w:ind w:firstLine="1040"/>
        <w:rPr>
          <w:rFonts w:hint="default" w:ascii="Times New Roman" w:hAnsi="Times New Roman" w:eastAsia="宋体" w:cs="Times New Roman"/>
          <w:sz w:val="36"/>
          <w:szCs w:val="36"/>
        </w:rPr>
      </w:pPr>
    </w:p>
    <w:p w14:paraId="61B5BA76">
      <w:pPr>
        <w:keepLines w:val="0"/>
        <w:pageBreakBefore w:val="0"/>
        <w:kinsoku/>
        <w:topLinePunct w:val="0"/>
        <w:bidi w:val="0"/>
        <w:adjustRightInd w:val="0"/>
        <w:snapToGrid w:val="0"/>
        <w:spacing w:line="288" w:lineRule="auto"/>
        <w:ind w:firstLine="1040"/>
        <w:rPr>
          <w:rFonts w:hint="default" w:ascii="Times New Roman" w:hAnsi="Times New Roman" w:eastAsia="宋体" w:cs="Times New Roman"/>
          <w:sz w:val="36"/>
          <w:szCs w:val="36"/>
        </w:rPr>
      </w:pPr>
    </w:p>
    <w:p w14:paraId="2C58800A">
      <w:pPr>
        <w:keepLines w:val="0"/>
        <w:pageBreakBefore w:val="0"/>
        <w:kinsoku/>
        <w:topLinePunct w:val="0"/>
        <w:bidi w:val="0"/>
        <w:adjustRightInd w:val="0"/>
        <w:snapToGrid w:val="0"/>
        <w:spacing w:line="288" w:lineRule="auto"/>
        <w:ind w:firstLine="1040"/>
        <w:rPr>
          <w:rFonts w:hint="default" w:ascii="Times New Roman" w:hAnsi="Times New Roman" w:eastAsia="宋体" w:cs="Times New Roman"/>
          <w:sz w:val="36"/>
          <w:szCs w:val="36"/>
        </w:rPr>
      </w:pPr>
    </w:p>
    <w:p w14:paraId="30B8AFA0">
      <w:pPr>
        <w:keepLines w:val="0"/>
        <w:pageBreakBefore w:val="0"/>
        <w:kinsoku/>
        <w:topLinePunct w:val="0"/>
        <w:bidi w:val="0"/>
        <w:adjustRightInd w:val="0"/>
        <w:snapToGrid w:val="0"/>
        <w:spacing w:line="288" w:lineRule="auto"/>
        <w:ind w:firstLine="1040"/>
        <w:rPr>
          <w:rFonts w:hint="default" w:ascii="Times New Roman" w:hAnsi="Times New Roman" w:eastAsia="宋体" w:cs="Times New Roman"/>
          <w:sz w:val="36"/>
          <w:szCs w:val="36"/>
        </w:rPr>
      </w:pPr>
    </w:p>
    <w:bookmarkEnd w:id="0"/>
    <w:p w14:paraId="244593C4">
      <w:pPr>
        <w:keepLines w:val="0"/>
        <w:pageBreakBefore w:val="0"/>
        <w:kinsoku/>
        <w:topLinePunct w:val="0"/>
        <w:bidi w:val="0"/>
        <w:adjustRightInd w:val="0"/>
        <w:snapToGrid w:val="0"/>
        <w:spacing w:line="288" w:lineRule="auto"/>
        <w:jc w:val="center"/>
        <w:rPr>
          <w:rFonts w:hint="default" w:ascii="Times New Roman" w:hAnsi="Times New Roman" w:eastAsia="宋体" w:cs="Times New Roman"/>
          <w:sz w:val="36"/>
          <w:szCs w:val="36"/>
        </w:rPr>
      </w:pPr>
      <w:r>
        <w:rPr>
          <w:rFonts w:hint="default" w:ascii="Times New Roman" w:hAnsi="Times New Roman" w:eastAsia="宋体" w:cs="Times New Roman"/>
          <w:sz w:val="36"/>
          <w:szCs w:val="36"/>
        </w:rPr>
        <w:t>中华人民共和国生态环境部制</w:t>
      </w:r>
    </w:p>
    <w:p w14:paraId="4BF34885">
      <w:pPr>
        <w:keepLines w:val="0"/>
        <w:pageBreakBefore w:val="0"/>
        <w:kinsoku/>
        <w:topLinePunct w:val="0"/>
        <w:bidi w:val="0"/>
        <w:adjustRightInd w:val="0"/>
        <w:snapToGrid w:val="0"/>
        <w:spacing w:line="288" w:lineRule="auto"/>
        <w:ind w:firstLine="1040"/>
        <w:rPr>
          <w:rFonts w:hint="default" w:ascii="Times New Roman" w:hAnsi="Times New Roman" w:eastAsia="宋体" w:cs="Times New Roman"/>
          <w:sz w:val="36"/>
          <w:szCs w:val="36"/>
        </w:rPr>
        <w:sectPr>
          <w:headerReference r:id="rId3" w:type="default"/>
          <w:footerReference r:id="rId4" w:type="default"/>
          <w:footerReference r:id="rId5" w:type="even"/>
          <w:pgSz w:w="11905" w:h="16838"/>
          <w:pgMar w:top="1440" w:right="1803" w:bottom="1440" w:left="1803" w:header="850" w:footer="1077" w:gutter="0"/>
          <w:pgBorders>
            <w:top w:val="none" w:sz="0" w:space="0"/>
            <w:left w:val="none" w:sz="0" w:space="0"/>
            <w:bottom w:val="none" w:sz="0" w:space="0"/>
            <w:right w:val="none" w:sz="0" w:space="0"/>
          </w:pgBorders>
          <w:pgNumType w:start="3"/>
          <w:cols w:space="0" w:num="1"/>
          <w:rtlGutter w:val="0"/>
          <w:docGrid w:linePitch="312" w:charSpace="0"/>
        </w:sectPr>
      </w:pPr>
    </w:p>
    <w:p w14:paraId="6C373B68">
      <w:pPr>
        <w:pStyle w:val="43"/>
        <w:keepLines w:val="0"/>
        <w:pageBreakBefore w:val="0"/>
        <w:kinsoku/>
        <w:topLinePunct w:val="0"/>
        <w:bidi w:val="0"/>
        <w:adjustRightInd w:val="0"/>
        <w:snapToGrid w:val="0"/>
        <w:spacing w:before="0" w:beforeAutospacing="0" w:after="0" w:afterAutospacing="0"/>
        <w:ind w:firstLine="420" w:firstLineChars="0"/>
        <w:jc w:val="center"/>
        <w:outlineLvl w:val="0"/>
        <w:rPr>
          <w:rFonts w:hint="default" w:ascii="Times New Roman" w:hAnsi="Times New Roman" w:eastAsia="宋体" w:cs="Times New Roman"/>
          <w:snapToGrid w:val="0"/>
          <w:sz w:val="30"/>
          <w:szCs w:val="30"/>
        </w:rPr>
      </w:pPr>
      <w:r>
        <w:rPr>
          <w:rFonts w:hint="default" w:ascii="Times New Roman" w:hAnsi="Times New Roman" w:eastAsia="宋体" w:cs="Times New Roman"/>
          <w:snapToGrid w:val="0"/>
          <w:sz w:val="30"/>
          <w:szCs w:val="30"/>
        </w:rPr>
        <w:t>一、建设项目基本情况</w:t>
      </w:r>
    </w:p>
    <w:tbl>
      <w:tblPr>
        <w:tblStyle w:val="47"/>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47"/>
        <w:gridCol w:w="697"/>
        <w:gridCol w:w="2246"/>
        <w:gridCol w:w="2139"/>
        <w:gridCol w:w="1467"/>
        <w:gridCol w:w="1973"/>
        <w:gridCol w:w="4"/>
      </w:tblGrid>
      <w:tr w14:paraId="35E46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065103E4">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6923" w:type="dxa"/>
            <w:gridSpan w:val="4"/>
            <w:noWrap w:val="0"/>
            <w:vAlign w:val="center"/>
          </w:tcPr>
          <w:p w14:paraId="2705BFD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水稳站固废利用技术改造项目</w:t>
            </w:r>
          </w:p>
        </w:tc>
      </w:tr>
      <w:tr w14:paraId="0C6FE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14791869">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项目代码</w:t>
            </w:r>
          </w:p>
        </w:tc>
        <w:tc>
          <w:tcPr>
            <w:tcW w:w="6923" w:type="dxa"/>
            <w:gridSpan w:val="4"/>
            <w:noWrap w:val="0"/>
            <w:vAlign w:val="center"/>
          </w:tcPr>
          <w:p w14:paraId="69FAEC7B">
            <w:pPr>
              <w:keepLines w:val="0"/>
              <w:pageBreakBefore w:val="0"/>
              <w:kinsoku/>
              <w:topLinePunct w:val="0"/>
              <w:bidi w:val="0"/>
              <w:adjustRightInd w:val="0"/>
              <w:snapToGrid w:val="0"/>
              <w:jc w:val="center"/>
              <w:rPr>
                <w:rFonts w:hint="default" w:ascii="Times New Roman" w:hAnsi="Times New Roman" w:eastAsia="宋体" w:cs="Times New Roman"/>
                <w:sz w:val="24"/>
                <w:szCs w:val="24"/>
                <w:lang w:val="en-US" w:eastAsia="zh-CN"/>
              </w:rPr>
            </w:pPr>
            <w:bookmarkStart w:id="4" w:name="_GoBack"/>
            <w:bookmarkEnd w:id="4"/>
          </w:p>
        </w:tc>
      </w:tr>
      <w:tr w14:paraId="67580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69B295E0">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建设单位联系人</w:t>
            </w:r>
          </w:p>
        </w:tc>
        <w:tc>
          <w:tcPr>
            <w:tcW w:w="2106" w:type="dxa"/>
            <w:noWrap w:val="0"/>
            <w:vAlign w:val="center"/>
          </w:tcPr>
          <w:p w14:paraId="0D47CA0C">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p>
        </w:tc>
        <w:tc>
          <w:tcPr>
            <w:tcW w:w="2126" w:type="dxa"/>
            <w:noWrap w:val="0"/>
            <w:vAlign w:val="center"/>
          </w:tcPr>
          <w:p w14:paraId="5E5274F8">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联系方式</w:t>
            </w:r>
          </w:p>
        </w:tc>
        <w:tc>
          <w:tcPr>
            <w:tcW w:w="2691" w:type="dxa"/>
            <w:gridSpan w:val="2"/>
            <w:noWrap w:val="0"/>
            <w:vAlign w:val="center"/>
          </w:tcPr>
          <w:p w14:paraId="6B98A524">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p>
        </w:tc>
      </w:tr>
      <w:tr w14:paraId="3567B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2F657E7A">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6923" w:type="dxa"/>
            <w:gridSpan w:val="4"/>
            <w:noWrap w:val="0"/>
            <w:vAlign w:val="center"/>
          </w:tcPr>
          <w:p w14:paraId="0C0DDE36">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濉溪县双堆集镇陈桥村</w:t>
            </w:r>
          </w:p>
        </w:tc>
      </w:tr>
      <w:tr w14:paraId="48DB0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463DA764">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地理坐标</w:t>
            </w:r>
          </w:p>
        </w:tc>
        <w:tc>
          <w:tcPr>
            <w:tcW w:w="6923" w:type="dxa"/>
            <w:gridSpan w:val="4"/>
            <w:noWrap w:val="0"/>
            <w:vAlign w:val="center"/>
          </w:tcPr>
          <w:p w14:paraId="638B55AD">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北纬：</w:t>
            </w:r>
            <w:r>
              <w:rPr>
                <w:rFonts w:hint="eastAsia" w:cs="Times New Roman"/>
                <w:color w:val="auto"/>
                <w:sz w:val="24"/>
                <w:szCs w:val="24"/>
                <w:lang w:val="en-US" w:eastAsia="zh-CN"/>
              </w:rPr>
              <w:t>33</w:t>
            </w:r>
            <w:r>
              <w:rPr>
                <w:rFonts w:hint="default" w:ascii="Times New Roman" w:hAnsi="Times New Roman" w:eastAsia="宋体" w:cs="Times New Roman"/>
                <w:color w:val="auto"/>
                <w:sz w:val="24"/>
                <w:szCs w:val="24"/>
              </w:rPr>
              <w:t>度</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10.323</w:t>
            </w:r>
            <w:r>
              <w:rPr>
                <w:rFonts w:hint="default" w:ascii="Times New Roman" w:hAnsi="Times New Roman" w:eastAsia="宋体" w:cs="Times New Roman"/>
                <w:color w:val="auto"/>
                <w:sz w:val="24"/>
                <w:szCs w:val="24"/>
              </w:rPr>
              <w:t>秒，东经：</w:t>
            </w:r>
            <w:r>
              <w:rPr>
                <w:rFonts w:hint="eastAsia" w:cs="Times New Roman"/>
                <w:color w:val="auto"/>
                <w:sz w:val="24"/>
                <w:szCs w:val="24"/>
                <w:lang w:val="en-US" w:eastAsia="zh-CN"/>
              </w:rPr>
              <w:t>116</w:t>
            </w:r>
            <w:r>
              <w:rPr>
                <w:rFonts w:hint="default" w:ascii="Times New Roman" w:hAnsi="Times New Roman" w:eastAsia="宋体" w:cs="Times New Roman"/>
                <w:color w:val="auto"/>
                <w:sz w:val="24"/>
                <w:szCs w:val="24"/>
              </w:rPr>
              <w:t>度</w:t>
            </w:r>
            <w:r>
              <w:rPr>
                <w:rFonts w:hint="eastAsia" w:cs="Times New Roman"/>
                <w:color w:val="auto"/>
                <w:sz w:val="24"/>
                <w:szCs w:val="24"/>
                <w:lang w:val="en-US" w:eastAsia="zh-CN"/>
              </w:rPr>
              <w:t>49</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34.574</w:t>
            </w:r>
            <w:r>
              <w:rPr>
                <w:rFonts w:hint="default" w:ascii="Times New Roman" w:hAnsi="Times New Roman" w:eastAsia="宋体" w:cs="Times New Roman"/>
                <w:color w:val="auto"/>
                <w:sz w:val="24"/>
                <w:szCs w:val="24"/>
              </w:rPr>
              <w:t>秒</w:t>
            </w:r>
          </w:p>
        </w:tc>
      </w:tr>
      <w:tr w14:paraId="329B3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22977682">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国民经济</w:t>
            </w:r>
          </w:p>
          <w:p w14:paraId="22C0923E">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行业类别</w:t>
            </w:r>
          </w:p>
        </w:tc>
        <w:tc>
          <w:tcPr>
            <w:tcW w:w="2106" w:type="dxa"/>
            <w:noWrap w:val="0"/>
            <w:vAlign w:val="center"/>
          </w:tcPr>
          <w:p w14:paraId="23D61C32">
            <w:pPr>
              <w:keepLines w:val="0"/>
              <w:pageBreakBefore w:val="0"/>
              <w:kinsoku/>
              <w:topLinePunct w:val="0"/>
              <w:bidi w:val="0"/>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C3029其他水泥类似制品制造</w:t>
            </w:r>
          </w:p>
        </w:tc>
        <w:tc>
          <w:tcPr>
            <w:tcW w:w="2126" w:type="dxa"/>
            <w:noWrap w:val="0"/>
            <w:vAlign w:val="center"/>
          </w:tcPr>
          <w:p w14:paraId="2F78F767">
            <w:pPr>
              <w:keepLines w:val="0"/>
              <w:pageBreakBefore w:val="0"/>
              <w:kinsoku/>
              <w:topLinePunct w:val="0"/>
              <w:bidi w:val="0"/>
              <w:adjustRightInd w:val="0"/>
              <w:snapToGrid w:val="0"/>
              <w:jc w:val="center"/>
              <w:rPr>
                <w:rFonts w:hint="default" w:ascii="Times New Roman" w:hAnsi="Times New Roman" w:eastAsia="宋体" w:cs="Times New Roman"/>
                <w:sz w:val="24"/>
                <w:szCs w:val="24"/>
                <w:lang w:val="en-US" w:eastAsia="zh-CN"/>
              </w:rPr>
            </w:pPr>
            <w:bookmarkStart w:id="1" w:name="_Hlk49843745"/>
            <w:r>
              <w:rPr>
                <w:rFonts w:hint="default" w:ascii="Times New Roman" w:hAnsi="Times New Roman" w:eastAsia="宋体" w:cs="Times New Roman"/>
                <w:sz w:val="24"/>
                <w:szCs w:val="24"/>
                <w:lang w:val="en-US" w:eastAsia="zh-CN"/>
              </w:rPr>
              <w:t>建设项目</w:t>
            </w:r>
          </w:p>
          <w:p w14:paraId="530E9330">
            <w:pPr>
              <w:keepLines w:val="0"/>
              <w:pageBreakBefore w:val="0"/>
              <w:kinsoku/>
              <w:topLinePunct w:val="0"/>
              <w:bidi w:val="0"/>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行业类别</w:t>
            </w:r>
            <w:bookmarkEnd w:id="1"/>
          </w:p>
        </w:tc>
        <w:tc>
          <w:tcPr>
            <w:tcW w:w="2691" w:type="dxa"/>
            <w:gridSpan w:val="2"/>
            <w:noWrap w:val="0"/>
            <w:vAlign w:val="center"/>
          </w:tcPr>
          <w:p w14:paraId="55066724">
            <w:pPr>
              <w:keepLines w:val="0"/>
              <w:pageBreakBefore w:val="0"/>
              <w:kinsoku/>
              <w:topLinePunct w:val="0"/>
              <w:bidi w:val="0"/>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 xml:space="preserve"> 二十七、非金属矿物制品业30 55石膏、水泥制品及类似制品制造302</w:t>
            </w:r>
          </w:p>
        </w:tc>
      </w:tr>
      <w:tr w14:paraId="41599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32E223A9">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建设性质</w:t>
            </w:r>
          </w:p>
        </w:tc>
        <w:tc>
          <w:tcPr>
            <w:tcW w:w="2106" w:type="dxa"/>
            <w:noWrap w:val="0"/>
            <w:vAlign w:val="center"/>
          </w:tcPr>
          <w:p w14:paraId="7B2BC39C">
            <w:pPr>
              <w:keepLines w:val="0"/>
              <w:pageBreakBefore w:val="0"/>
              <w:kinsoku/>
              <w:topLinePunct w:val="0"/>
              <w:bidi w:val="0"/>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新建（迁建）</w:t>
            </w:r>
          </w:p>
          <w:p w14:paraId="4C08F7D5">
            <w:pPr>
              <w:keepLines w:val="0"/>
              <w:pageBreakBefore w:val="0"/>
              <w:kinsoku/>
              <w:topLinePunct w:val="0"/>
              <w:bidi w:val="0"/>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改建</w:t>
            </w:r>
          </w:p>
          <w:p w14:paraId="06252396">
            <w:pPr>
              <w:keepLines w:val="0"/>
              <w:pageBreakBefore w:val="0"/>
              <w:kinsoku/>
              <w:topLinePunct w:val="0"/>
              <w:bidi w:val="0"/>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扩建</w:t>
            </w:r>
          </w:p>
          <w:p w14:paraId="0DE15F5F">
            <w:pPr>
              <w:keepLines w:val="0"/>
              <w:pageBreakBefore w:val="0"/>
              <w:kinsoku/>
              <w:topLinePunct w:val="0"/>
              <w:bidi w:val="0"/>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技术改造</w:t>
            </w:r>
          </w:p>
        </w:tc>
        <w:tc>
          <w:tcPr>
            <w:tcW w:w="2126" w:type="dxa"/>
            <w:noWrap w:val="0"/>
            <w:vAlign w:val="center"/>
          </w:tcPr>
          <w:p w14:paraId="7B87CF51">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w:t>
            </w:r>
          </w:p>
          <w:p w14:paraId="412118D5">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申报情形</w:t>
            </w:r>
          </w:p>
        </w:tc>
        <w:tc>
          <w:tcPr>
            <w:tcW w:w="2691" w:type="dxa"/>
            <w:gridSpan w:val="2"/>
            <w:noWrap w:val="0"/>
            <w:vAlign w:val="center"/>
          </w:tcPr>
          <w:p w14:paraId="5C260BA8">
            <w:pPr>
              <w:keepLines w:val="0"/>
              <w:pageBreakBefore w:val="0"/>
              <w:kinsoku/>
              <w:topLinePunct w:val="0"/>
              <w:bidi w:val="0"/>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首次申报项目</w:t>
            </w:r>
          </w:p>
          <w:p w14:paraId="265CD6D9">
            <w:pPr>
              <w:keepLines w:val="0"/>
              <w:pageBreakBefore w:val="0"/>
              <w:kinsoku/>
              <w:topLinePunct w:val="0"/>
              <w:bidi w:val="0"/>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不予批准后再次申报项目</w:t>
            </w:r>
          </w:p>
          <w:p w14:paraId="59D92133">
            <w:pPr>
              <w:keepLines w:val="0"/>
              <w:pageBreakBefore w:val="0"/>
              <w:kinsoku/>
              <w:topLinePunct w:val="0"/>
              <w:bidi w:val="0"/>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超五年重新审核项目</w:t>
            </w:r>
          </w:p>
          <w:p w14:paraId="59F716B3">
            <w:pPr>
              <w:keepLines w:val="0"/>
              <w:pageBreakBefore w:val="0"/>
              <w:kinsoku/>
              <w:topLinePunct w:val="0"/>
              <w:bidi w:val="0"/>
              <w:adjustRightInd w:val="0"/>
              <w:snapToGrid w:val="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重大变动重新报批项目</w:t>
            </w:r>
          </w:p>
        </w:tc>
      </w:tr>
      <w:tr w14:paraId="4FE51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175B1F8D">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项目审批（核准/备案）部门（选填）</w:t>
            </w:r>
          </w:p>
        </w:tc>
        <w:tc>
          <w:tcPr>
            <w:tcW w:w="2106" w:type="dxa"/>
            <w:noWrap w:val="0"/>
            <w:vAlign w:val="center"/>
          </w:tcPr>
          <w:p w14:paraId="0251966A">
            <w:pPr>
              <w:keepLines w:val="0"/>
              <w:pageBreakBefore w:val="0"/>
              <w:kinsoku/>
              <w:topLinePunct w:val="0"/>
              <w:bidi w:val="0"/>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2126" w:type="dxa"/>
            <w:noWrap w:val="0"/>
            <w:vAlign w:val="center"/>
          </w:tcPr>
          <w:p w14:paraId="79AFE1DB">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项目审批（核准/</w:t>
            </w:r>
          </w:p>
          <w:p w14:paraId="75A2AE7E">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备案）文号（选填）</w:t>
            </w:r>
          </w:p>
        </w:tc>
        <w:tc>
          <w:tcPr>
            <w:tcW w:w="2691" w:type="dxa"/>
            <w:gridSpan w:val="2"/>
            <w:noWrap w:val="0"/>
            <w:vAlign w:val="center"/>
          </w:tcPr>
          <w:p w14:paraId="593412B6">
            <w:pPr>
              <w:keepLines w:val="0"/>
              <w:pageBreakBefore w:val="0"/>
              <w:kinsoku/>
              <w:topLinePunct w:val="0"/>
              <w:bidi w:val="0"/>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r>
      <w:tr w14:paraId="13EDA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2149BBE3">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总投资（万元）</w:t>
            </w:r>
          </w:p>
        </w:tc>
        <w:tc>
          <w:tcPr>
            <w:tcW w:w="2106" w:type="dxa"/>
            <w:noWrap w:val="0"/>
            <w:vAlign w:val="center"/>
          </w:tcPr>
          <w:p w14:paraId="47B571E7">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600</w:t>
            </w:r>
          </w:p>
        </w:tc>
        <w:tc>
          <w:tcPr>
            <w:tcW w:w="2126" w:type="dxa"/>
            <w:noWrap w:val="0"/>
            <w:tcMar>
              <w:top w:w="16" w:type="dxa"/>
              <w:left w:w="16" w:type="dxa"/>
              <w:right w:w="16" w:type="dxa"/>
            </w:tcMar>
            <w:vAlign w:val="center"/>
          </w:tcPr>
          <w:p w14:paraId="0D4926DC">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2691" w:type="dxa"/>
            <w:gridSpan w:val="2"/>
            <w:noWrap w:val="0"/>
            <w:vAlign w:val="center"/>
          </w:tcPr>
          <w:p w14:paraId="525081FF">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35</w:t>
            </w:r>
          </w:p>
        </w:tc>
      </w:tr>
      <w:tr w14:paraId="162EE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454" w:hRule="atLeast"/>
          <w:jc w:val="center"/>
        </w:trPr>
        <w:tc>
          <w:tcPr>
            <w:tcW w:w="1792" w:type="dxa"/>
            <w:gridSpan w:val="2"/>
            <w:noWrap w:val="0"/>
            <w:tcMar>
              <w:top w:w="16" w:type="dxa"/>
              <w:left w:w="16" w:type="dxa"/>
              <w:right w:w="16" w:type="dxa"/>
            </w:tcMar>
            <w:vAlign w:val="center"/>
          </w:tcPr>
          <w:p w14:paraId="3EEC0BA0">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环保投资占比（%）</w:t>
            </w:r>
          </w:p>
        </w:tc>
        <w:tc>
          <w:tcPr>
            <w:tcW w:w="2106" w:type="dxa"/>
            <w:noWrap w:val="0"/>
            <w:vAlign w:val="center"/>
          </w:tcPr>
          <w:p w14:paraId="3D57D84A">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5.83</w:t>
            </w:r>
          </w:p>
        </w:tc>
        <w:tc>
          <w:tcPr>
            <w:tcW w:w="2126" w:type="dxa"/>
            <w:noWrap w:val="0"/>
            <w:tcMar>
              <w:top w:w="16" w:type="dxa"/>
              <w:left w:w="16" w:type="dxa"/>
              <w:right w:w="16" w:type="dxa"/>
            </w:tcMar>
            <w:vAlign w:val="center"/>
          </w:tcPr>
          <w:p w14:paraId="574192D0">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2691" w:type="dxa"/>
            <w:gridSpan w:val="2"/>
            <w:noWrap w:val="0"/>
            <w:vAlign w:val="center"/>
          </w:tcPr>
          <w:p w14:paraId="4E848619">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p>
        </w:tc>
      </w:tr>
      <w:tr w14:paraId="12367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 w:type="dxa"/>
          <w:trHeight w:val="90" w:hRule="atLeast"/>
          <w:jc w:val="center"/>
        </w:trPr>
        <w:tc>
          <w:tcPr>
            <w:tcW w:w="1792" w:type="dxa"/>
            <w:gridSpan w:val="2"/>
            <w:noWrap w:val="0"/>
            <w:tcMar>
              <w:top w:w="16" w:type="dxa"/>
              <w:left w:w="16" w:type="dxa"/>
              <w:right w:w="16" w:type="dxa"/>
            </w:tcMar>
            <w:vAlign w:val="center"/>
          </w:tcPr>
          <w:p w14:paraId="4C17BE07">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是否开工建设</w:t>
            </w:r>
          </w:p>
        </w:tc>
        <w:tc>
          <w:tcPr>
            <w:tcW w:w="4232" w:type="dxa"/>
            <w:gridSpan w:val="2"/>
            <w:noWrap w:val="0"/>
            <w:vAlign w:val="center"/>
          </w:tcPr>
          <w:p w14:paraId="7DCEC213">
            <w:pPr>
              <w:keepLines w:val="0"/>
              <w:pageBreakBefore w:val="0"/>
              <w:kinsoku/>
              <w:topLinePunct w:val="0"/>
              <w:bidi w:val="0"/>
              <w:adjustRightInd w:val="0"/>
              <w:snapToGrid w:val="0"/>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否</w:t>
            </w:r>
          </w:p>
          <w:p w14:paraId="2E4A0A47">
            <w:pPr>
              <w:keepLines w:val="0"/>
              <w:pageBreakBefore w:val="0"/>
              <w:kinsoku/>
              <w:topLinePunct w:val="0"/>
              <w:bidi w:val="0"/>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p>
        </w:tc>
        <w:tc>
          <w:tcPr>
            <w:tcW w:w="1058" w:type="dxa"/>
            <w:noWrap w:val="0"/>
            <w:tcMar>
              <w:top w:w="16" w:type="dxa"/>
              <w:left w:w="16" w:type="dxa"/>
              <w:right w:w="16" w:type="dxa"/>
            </w:tcMar>
            <w:vAlign w:val="center"/>
          </w:tcPr>
          <w:p w14:paraId="5EA38D06">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用地面积（m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633" w:type="dxa"/>
            <w:noWrap w:val="0"/>
            <w:vAlign w:val="center"/>
          </w:tcPr>
          <w:p w14:paraId="2CAD10FD">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5333.36（</w:t>
            </w:r>
            <w:r>
              <w:rPr>
                <w:rFonts w:hint="default" w:ascii="Times New Roman" w:hAnsi="Times New Roman" w:eastAsia="宋体" w:cs="Times New Roman"/>
                <w:color w:val="auto"/>
                <w:sz w:val="24"/>
                <w:szCs w:val="24"/>
                <w:lang w:val="en-US" w:eastAsia="zh-CN"/>
              </w:rPr>
              <w:t>无新增用地面积</w:t>
            </w:r>
            <w:r>
              <w:rPr>
                <w:rFonts w:hint="eastAsia" w:cs="Times New Roman"/>
                <w:color w:val="auto"/>
                <w:sz w:val="24"/>
                <w:szCs w:val="24"/>
                <w:lang w:val="en-US" w:eastAsia="zh-CN"/>
              </w:rPr>
              <w:t>）</w:t>
            </w:r>
          </w:p>
        </w:tc>
      </w:tr>
      <w:tr w14:paraId="67DEF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852" w:hRule="atLeast"/>
          <w:jc w:val="center"/>
        </w:trPr>
        <w:tc>
          <w:tcPr>
            <w:tcW w:w="1792" w:type="dxa"/>
            <w:gridSpan w:val="2"/>
            <w:noWrap w:val="0"/>
            <w:vAlign w:val="center"/>
          </w:tcPr>
          <w:p w14:paraId="60AAA916">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专项评价设置情况</w:t>
            </w:r>
          </w:p>
        </w:tc>
        <w:tc>
          <w:tcPr>
            <w:tcW w:w="6923" w:type="dxa"/>
            <w:gridSpan w:val="4"/>
            <w:noWrap w:val="0"/>
            <w:vAlign w:val="center"/>
          </w:tcPr>
          <w:p w14:paraId="70FFCB76">
            <w:pPr>
              <w:ind w:firstLine="480"/>
              <w:rPr>
                <w:rFonts w:ascii="Times New Roman" w:hAnsi="Times New Roman" w:cs="Times New Roman"/>
                <w:color w:val="auto"/>
              </w:rPr>
            </w:pPr>
            <w:r>
              <w:rPr>
                <w:rFonts w:ascii="Times New Roman" w:hAnsi="Times New Roman" w:cs="Times New Roman"/>
                <w:color w:val="auto"/>
              </w:rPr>
              <w:t>本项目专项评价设置情况见下表：</w:t>
            </w:r>
          </w:p>
          <w:p w14:paraId="61F02249">
            <w:pPr>
              <w:pStyle w:val="263"/>
              <w:rPr>
                <w:rFonts w:ascii="Times New Roman" w:hAnsi="Times New Roman" w:cs="Times New Roman"/>
                <w:color w:val="auto"/>
              </w:rPr>
            </w:pPr>
            <w:r>
              <w:rPr>
                <w:rFonts w:ascii="Times New Roman" w:hAnsi="Times New Roman" w:cs="Times New Roman"/>
                <w:color w:val="auto"/>
              </w:rPr>
              <w:t>表1-1专项评价设置原则对比表</w:t>
            </w:r>
          </w:p>
          <w:tbl>
            <w:tblPr>
              <w:tblStyle w:val="4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83"/>
              <w:gridCol w:w="3252"/>
              <w:gridCol w:w="2490"/>
              <w:gridCol w:w="984"/>
            </w:tblGrid>
            <w:tr w14:paraId="77DA2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9" w:type="dxa"/>
                  <w:noWrap w:val="0"/>
                  <w:vAlign w:val="center"/>
                </w:tcPr>
                <w:p w14:paraId="02DB4EA1">
                  <w:pPr>
                    <w:pStyle w:val="264"/>
                    <w:rPr>
                      <w:rFonts w:ascii="Times New Roman" w:hAnsi="Times New Roman" w:cs="Times New Roman"/>
                      <w:color w:val="auto"/>
                    </w:rPr>
                  </w:pPr>
                  <w:r>
                    <w:rPr>
                      <w:rFonts w:ascii="Times New Roman" w:hAnsi="Times New Roman" w:cs="Times New Roman"/>
                      <w:color w:val="auto"/>
                    </w:rPr>
                    <w:t>专项评价的类别</w:t>
                  </w:r>
                </w:p>
              </w:tc>
              <w:tc>
                <w:tcPr>
                  <w:tcW w:w="3236" w:type="dxa"/>
                  <w:noWrap w:val="0"/>
                  <w:vAlign w:val="center"/>
                </w:tcPr>
                <w:p w14:paraId="3E3CBBA2">
                  <w:pPr>
                    <w:pStyle w:val="264"/>
                    <w:rPr>
                      <w:rFonts w:ascii="Times New Roman" w:hAnsi="Times New Roman" w:cs="Times New Roman"/>
                      <w:color w:val="auto"/>
                    </w:rPr>
                  </w:pPr>
                  <w:r>
                    <w:rPr>
                      <w:rFonts w:ascii="Times New Roman" w:hAnsi="Times New Roman" w:cs="Times New Roman"/>
                      <w:color w:val="auto"/>
                    </w:rPr>
                    <w:t>设置原则</w:t>
                  </w:r>
                </w:p>
              </w:tc>
              <w:tc>
                <w:tcPr>
                  <w:tcW w:w="2478" w:type="dxa"/>
                  <w:noWrap w:val="0"/>
                  <w:vAlign w:val="center"/>
                </w:tcPr>
                <w:p w14:paraId="1B8E8C66">
                  <w:pPr>
                    <w:pStyle w:val="264"/>
                    <w:rPr>
                      <w:rFonts w:ascii="Times New Roman" w:hAnsi="Times New Roman" w:cs="Times New Roman"/>
                      <w:color w:val="auto"/>
                    </w:rPr>
                  </w:pPr>
                  <w:r>
                    <w:rPr>
                      <w:rFonts w:ascii="Times New Roman" w:hAnsi="Times New Roman" w:cs="Times New Roman"/>
                      <w:color w:val="auto"/>
                    </w:rPr>
                    <w:t>本项目情况</w:t>
                  </w:r>
                </w:p>
              </w:tc>
              <w:tc>
                <w:tcPr>
                  <w:tcW w:w="978" w:type="dxa"/>
                  <w:noWrap w:val="0"/>
                  <w:vAlign w:val="center"/>
                </w:tcPr>
                <w:p w14:paraId="2058BE07">
                  <w:pPr>
                    <w:pStyle w:val="264"/>
                    <w:rPr>
                      <w:rFonts w:ascii="Times New Roman" w:hAnsi="Times New Roman" w:cs="Times New Roman"/>
                      <w:color w:val="auto"/>
                    </w:rPr>
                  </w:pPr>
                  <w:r>
                    <w:rPr>
                      <w:rFonts w:ascii="Times New Roman" w:hAnsi="Times New Roman" w:cs="Times New Roman"/>
                      <w:color w:val="auto"/>
                    </w:rPr>
                    <w:t>是否设置专项评价</w:t>
                  </w:r>
                </w:p>
              </w:tc>
            </w:tr>
            <w:tr w14:paraId="67A97F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9" w:type="dxa"/>
                  <w:noWrap w:val="0"/>
                  <w:vAlign w:val="center"/>
                </w:tcPr>
                <w:p w14:paraId="6B3E1F31">
                  <w:pPr>
                    <w:pStyle w:val="264"/>
                    <w:rPr>
                      <w:rFonts w:ascii="Times New Roman" w:hAnsi="Times New Roman" w:cs="Times New Roman"/>
                      <w:color w:val="auto"/>
                    </w:rPr>
                  </w:pPr>
                  <w:r>
                    <w:rPr>
                      <w:rFonts w:ascii="Times New Roman" w:hAnsi="Times New Roman" w:cs="Times New Roman"/>
                      <w:color w:val="auto"/>
                    </w:rPr>
                    <w:t>大气</w:t>
                  </w:r>
                </w:p>
              </w:tc>
              <w:tc>
                <w:tcPr>
                  <w:tcW w:w="3236" w:type="dxa"/>
                  <w:noWrap w:val="0"/>
                  <w:vAlign w:val="center"/>
                </w:tcPr>
                <w:p w14:paraId="437D3F66">
                  <w:pPr>
                    <w:pStyle w:val="264"/>
                    <w:rPr>
                      <w:rFonts w:ascii="Times New Roman" w:hAnsi="Times New Roman" w:cs="Times New Roman"/>
                      <w:color w:val="auto"/>
                    </w:rPr>
                  </w:pPr>
                  <w:r>
                    <w:rPr>
                      <w:rFonts w:ascii="Times New Roman" w:hAnsi="Times New Roman" w:cs="Times New Roman"/>
                      <w:color w:val="auto"/>
                    </w:rPr>
                    <w:t>排放废气含有毒有害污染物、二噁英、苯并[a]芘、氰化物、氯气且厂界外500米范围内有环境空气保护目标的建设项目</w:t>
                  </w:r>
                </w:p>
              </w:tc>
              <w:tc>
                <w:tcPr>
                  <w:tcW w:w="2478" w:type="dxa"/>
                  <w:noWrap w:val="0"/>
                  <w:vAlign w:val="center"/>
                </w:tcPr>
                <w:p w14:paraId="0CDF0192">
                  <w:pPr>
                    <w:pStyle w:val="264"/>
                    <w:rPr>
                      <w:rFonts w:ascii="Times New Roman" w:hAnsi="Times New Roman" w:cs="Times New Roman"/>
                      <w:color w:val="auto"/>
                    </w:rPr>
                  </w:pPr>
                  <w:r>
                    <w:rPr>
                      <w:rFonts w:ascii="Times New Roman" w:hAnsi="Times New Roman" w:cs="Times New Roman"/>
                      <w:color w:val="auto"/>
                    </w:rPr>
                    <w:t>本项目运营过程中排放的废气不含有毒有害污染物</w:t>
                  </w:r>
                </w:p>
              </w:tc>
              <w:tc>
                <w:tcPr>
                  <w:tcW w:w="978" w:type="dxa"/>
                  <w:noWrap w:val="0"/>
                  <w:vAlign w:val="center"/>
                </w:tcPr>
                <w:p w14:paraId="61C86C6A">
                  <w:pPr>
                    <w:pStyle w:val="264"/>
                    <w:rPr>
                      <w:rFonts w:ascii="Times New Roman" w:hAnsi="Times New Roman" w:cs="Times New Roman"/>
                      <w:color w:val="auto"/>
                    </w:rPr>
                  </w:pPr>
                  <w:r>
                    <w:rPr>
                      <w:rFonts w:ascii="Times New Roman" w:hAnsi="Times New Roman" w:cs="Times New Roman"/>
                      <w:color w:val="auto"/>
                    </w:rPr>
                    <w:t>否</w:t>
                  </w:r>
                </w:p>
              </w:tc>
            </w:tr>
            <w:tr w14:paraId="4527D5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9" w:type="dxa"/>
                  <w:noWrap w:val="0"/>
                  <w:vAlign w:val="center"/>
                </w:tcPr>
                <w:p w14:paraId="10DD51D1">
                  <w:pPr>
                    <w:pStyle w:val="264"/>
                    <w:rPr>
                      <w:rFonts w:ascii="Times New Roman" w:hAnsi="Times New Roman" w:cs="Times New Roman"/>
                      <w:color w:val="auto"/>
                    </w:rPr>
                  </w:pPr>
                  <w:r>
                    <w:rPr>
                      <w:rFonts w:ascii="Times New Roman" w:hAnsi="Times New Roman" w:cs="Times New Roman"/>
                      <w:color w:val="auto"/>
                    </w:rPr>
                    <w:t>地表水</w:t>
                  </w:r>
                </w:p>
              </w:tc>
              <w:tc>
                <w:tcPr>
                  <w:tcW w:w="3236" w:type="dxa"/>
                  <w:noWrap w:val="0"/>
                  <w:vAlign w:val="center"/>
                </w:tcPr>
                <w:p w14:paraId="46320DD4">
                  <w:pPr>
                    <w:pStyle w:val="264"/>
                    <w:rPr>
                      <w:rFonts w:ascii="Times New Roman" w:hAnsi="Times New Roman" w:eastAsia="宋体" w:cs="Times New Roman"/>
                      <w:color w:val="auto"/>
                    </w:rPr>
                  </w:pPr>
                  <w:r>
                    <w:rPr>
                      <w:rFonts w:ascii="Times New Roman" w:hAnsi="Times New Roman" w:eastAsia="宋体" w:cs="Times New Roman"/>
                      <w:color w:val="auto"/>
                    </w:rPr>
                    <w:t>新增工业废水直排建设项目（槽罐车外送污水处理厂的除外）；新增废水直排的污水集中处理厂</w:t>
                  </w:r>
                </w:p>
              </w:tc>
              <w:tc>
                <w:tcPr>
                  <w:tcW w:w="2478" w:type="dxa"/>
                  <w:noWrap w:val="0"/>
                  <w:vAlign w:val="center"/>
                </w:tcPr>
                <w:p w14:paraId="263CA5AB">
                  <w:pPr>
                    <w:pStyle w:val="264"/>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本项目</w:t>
                  </w:r>
                  <w:r>
                    <w:rPr>
                      <w:rFonts w:hint="default" w:ascii="Times New Roman" w:hAnsi="Times New Roman" w:eastAsia="宋体" w:cs="Times New Roman"/>
                    </w:rPr>
                    <w:t>生活污水经厂区化粪池处理后用作厂区绿化用水，不外排；</w:t>
                  </w:r>
                  <w:r>
                    <w:rPr>
                      <w:rFonts w:hint="default" w:ascii="Times New Roman" w:hAnsi="Times New Roman" w:eastAsia="宋体" w:cs="Times New Roman"/>
                      <w:bCs/>
                    </w:rPr>
                    <w:t>项目建设区进出入口安装进出车辆洗车冲洗装置，运输车辆清洗废水经沉淀池处理后回用于车辆清洗工序中，不外排</w:t>
                  </w:r>
                  <w:r>
                    <w:rPr>
                      <w:rFonts w:hint="eastAsia" w:ascii="Times New Roman" w:hAnsi="Times New Roman" w:eastAsia="宋体" w:cs="Times New Roman"/>
                      <w:color w:val="auto"/>
                      <w:lang w:val="en-US" w:eastAsia="zh-CN"/>
                    </w:rPr>
                    <w:t>；因此无需开展地表水专项评价</w:t>
                  </w:r>
                </w:p>
              </w:tc>
              <w:tc>
                <w:tcPr>
                  <w:tcW w:w="978" w:type="dxa"/>
                  <w:noWrap w:val="0"/>
                  <w:vAlign w:val="center"/>
                </w:tcPr>
                <w:p w14:paraId="7762CE15">
                  <w:pPr>
                    <w:pStyle w:val="264"/>
                    <w:rPr>
                      <w:rFonts w:ascii="Times New Roman" w:hAnsi="Times New Roman" w:cs="Times New Roman"/>
                      <w:color w:val="auto"/>
                    </w:rPr>
                  </w:pPr>
                  <w:r>
                    <w:rPr>
                      <w:rFonts w:ascii="Times New Roman" w:hAnsi="Times New Roman" w:cs="Times New Roman"/>
                      <w:color w:val="auto"/>
                    </w:rPr>
                    <w:t>否</w:t>
                  </w:r>
                </w:p>
              </w:tc>
            </w:tr>
            <w:tr w14:paraId="3A348C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9" w:type="dxa"/>
                  <w:noWrap w:val="0"/>
                  <w:vAlign w:val="center"/>
                </w:tcPr>
                <w:p w14:paraId="6CC0F99D">
                  <w:pPr>
                    <w:pStyle w:val="264"/>
                    <w:rPr>
                      <w:rFonts w:ascii="Times New Roman" w:hAnsi="Times New Roman" w:cs="Times New Roman"/>
                      <w:color w:val="auto"/>
                    </w:rPr>
                  </w:pPr>
                  <w:r>
                    <w:rPr>
                      <w:rFonts w:ascii="Times New Roman" w:hAnsi="Times New Roman" w:cs="Times New Roman"/>
                      <w:color w:val="auto"/>
                    </w:rPr>
                    <w:t>环境风险</w:t>
                  </w:r>
                </w:p>
              </w:tc>
              <w:tc>
                <w:tcPr>
                  <w:tcW w:w="3236" w:type="dxa"/>
                  <w:noWrap w:val="0"/>
                  <w:vAlign w:val="center"/>
                </w:tcPr>
                <w:p w14:paraId="3A0E630B">
                  <w:pPr>
                    <w:pStyle w:val="264"/>
                    <w:rPr>
                      <w:rFonts w:ascii="Times New Roman" w:hAnsi="Times New Roman" w:cs="Times New Roman"/>
                      <w:color w:val="auto"/>
                    </w:rPr>
                  </w:pPr>
                  <w:r>
                    <w:rPr>
                      <w:rFonts w:ascii="Times New Roman" w:hAnsi="Times New Roman" w:cs="Times New Roman"/>
                      <w:color w:val="auto"/>
                    </w:rPr>
                    <w:t>有毒有害和易燃易爆危险物质存储量超过临界量的建设项目</w:t>
                  </w:r>
                </w:p>
              </w:tc>
              <w:tc>
                <w:tcPr>
                  <w:tcW w:w="2478" w:type="dxa"/>
                  <w:noWrap w:val="0"/>
                  <w:vAlign w:val="center"/>
                </w:tcPr>
                <w:p w14:paraId="418C5F45">
                  <w:pPr>
                    <w:pStyle w:val="264"/>
                    <w:rPr>
                      <w:rFonts w:hint="default" w:ascii="Times New Roman" w:hAnsi="Times New Roman" w:eastAsia="宋体" w:cs="Times New Roman"/>
                      <w:color w:val="auto"/>
                      <w:lang w:val="en-US" w:eastAsia="zh-CN"/>
                    </w:rPr>
                  </w:pPr>
                  <w:r>
                    <w:rPr>
                      <w:rFonts w:ascii="Times New Roman" w:hAnsi="Times New Roman" w:cs="Times New Roman"/>
                      <w:color w:val="auto"/>
                    </w:rPr>
                    <w:t>本项目</w:t>
                  </w:r>
                  <w:r>
                    <w:rPr>
                      <w:rFonts w:hint="eastAsia" w:ascii="Times New Roman" w:hAnsi="Times New Roman" w:cs="Times New Roman"/>
                      <w:color w:val="auto"/>
                      <w:lang w:val="en-US" w:eastAsia="zh-CN"/>
                    </w:rPr>
                    <w:t>不涉及</w:t>
                  </w:r>
                  <w:r>
                    <w:rPr>
                      <w:rFonts w:ascii="Times New Roman" w:hAnsi="Times New Roman" w:cs="Times New Roman"/>
                      <w:color w:val="auto"/>
                    </w:rPr>
                    <w:t>有毒有害和易燃易爆危险物质</w:t>
                  </w:r>
                  <w:r>
                    <w:rPr>
                      <w:rFonts w:hint="eastAsia" w:ascii="Times New Roman" w:hAnsi="Times New Roman" w:cs="Times New Roman"/>
                      <w:color w:val="auto"/>
                      <w:lang w:val="en-US" w:eastAsia="zh-CN"/>
                    </w:rPr>
                    <w:t>的使用</w:t>
                  </w:r>
                </w:p>
              </w:tc>
              <w:tc>
                <w:tcPr>
                  <w:tcW w:w="978" w:type="dxa"/>
                  <w:noWrap w:val="0"/>
                  <w:vAlign w:val="center"/>
                </w:tcPr>
                <w:p w14:paraId="067E3FC5">
                  <w:pPr>
                    <w:pStyle w:val="264"/>
                    <w:rPr>
                      <w:rFonts w:ascii="Times New Roman" w:hAnsi="Times New Roman" w:cs="Times New Roman"/>
                      <w:color w:val="auto"/>
                    </w:rPr>
                  </w:pPr>
                  <w:r>
                    <w:rPr>
                      <w:rFonts w:ascii="Times New Roman" w:hAnsi="Times New Roman" w:cs="Times New Roman"/>
                      <w:color w:val="auto"/>
                    </w:rPr>
                    <w:t>否</w:t>
                  </w:r>
                </w:p>
              </w:tc>
            </w:tr>
            <w:tr w14:paraId="3BBBBD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9" w:type="dxa"/>
                  <w:noWrap w:val="0"/>
                  <w:vAlign w:val="center"/>
                </w:tcPr>
                <w:p w14:paraId="38D3D2B6">
                  <w:pPr>
                    <w:pStyle w:val="264"/>
                    <w:rPr>
                      <w:rFonts w:ascii="Times New Roman" w:hAnsi="Times New Roman" w:cs="Times New Roman"/>
                      <w:color w:val="auto"/>
                    </w:rPr>
                  </w:pPr>
                  <w:r>
                    <w:rPr>
                      <w:rFonts w:ascii="Times New Roman" w:hAnsi="Times New Roman" w:cs="Times New Roman"/>
                      <w:color w:val="auto"/>
                    </w:rPr>
                    <w:t>生态</w:t>
                  </w:r>
                </w:p>
              </w:tc>
              <w:tc>
                <w:tcPr>
                  <w:tcW w:w="3236" w:type="dxa"/>
                  <w:noWrap w:val="0"/>
                  <w:vAlign w:val="center"/>
                </w:tcPr>
                <w:p w14:paraId="232BCF60">
                  <w:pPr>
                    <w:pStyle w:val="264"/>
                    <w:rPr>
                      <w:rFonts w:ascii="Times New Roman" w:hAnsi="Times New Roman" w:cs="Times New Roman"/>
                      <w:color w:val="auto"/>
                    </w:rPr>
                  </w:pPr>
                  <w:r>
                    <w:rPr>
                      <w:rFonts w:ascii="Times New Roman" w:hAnsi="Times New Roman" w:cs="Times New Roman"/>
                      <w:color w:val="auto"/>
                    </w:rPr>
                    <w:t>取水口下游500米范围内有重要水生生物的自然产卵场、索饵场、越冬场和洄游通道的新增河道取水的污染类建设项目</w:t>
                  </w:r>
                </w:p>
              </w:tc>
              <w:tc>
                <w:tcPr>
                  <w:tcW w:w="2478" w:type="dxa"/>
                  <w:noWrap w:val="0"/>
                  <w:vAlign w:val="center"/>
                </w:tcPr>
                <w:p w14:paraId="3E26359A">
                  <w:pPr>
                    <w:pStyle w:val="264"/>
                    <w:rPr>
                      <w:rFonts w:ascii="Times New Roman" w:hAnsi="Times New Roman" w:cs="Times New Roman"/>
                      <w:color w:val="auto"/>
                    </w:rPr>
                  </w:pPr>
                  <w:r>
                    <w:rPr>
                      <w:rFonts w:ascii="Times New Roman" w:hAnsi="Times New Roman" w:cs="Times New Roman"/>
                      <w:color w:val="auto"/>
                    </w:rPr>
                    <w:t>项目用水来源市政自来水管网供给，无需单独设置取水口</w:t>
                  </w:r>
                </w:p>
              </w:tc>
              <w:tc>
                <w:tcPr>
                  <w:tcW w:w="978" w:type="dxa"/>
                  <w:noWrap w:val="0"/>
                  <w:vAlign w:val="center"/>
                </w:tcPr>
                <w:p w14:paraId="423A5FEF">
                  <w:pPr>
                    <w:pStyle w:val="264"/>
                    <w:rPr>
                      <w:rFonts w:ascii="Times New Roman" w:hAnsi="Times New Roman" w:cs="Times New Roman"/>
                      <w:color w:val="auto"/>
                    </w:rPr>
                  </w:pPr>
                  <w:r>
                    <w:rPr>
                      <w:rFonts w:ascii="Times New Roman" w:hAnsi="Times New Roman" w:cs="Times New Roman"/>
                      <w:color w:val="auto"/>
                    </w:rPr>
                    <w:t>否</w:t>
                  </w:r>
                </w:p>
              </w:tc>
            </w:tr>
            <w:tr w14:paraId="32BB11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9" w:type="dxa"/>
                  <w:noWrap w:val="0"/>
                  <w:vAlign w:val="center"/>
                </w:tcPr>
                <w:p w14:paraId="30D52AC9">
                  <w:pPr>
                    <w:pStyle w:val="264"/>
                    <w:rPr>
                      <w:rFonts w:ascii="Times New Roman" w:hAnsi="Times New Roman" w:cs="Times New Roman"/>
                      <w:color w:val="auto"/>
                    </w:rPr>
                  </w:pPr>
                  <w:r>
                    <w:rPr>
                      <w:rFonts w:ascii="Times New Roman" w:hAnsi="Times New Roman" w:cs="Times New Roman"/>
                      <w:color w:val="auto"/>
                    </w:rPr>
                    <w:t>海洋</w:t>
                  </w:r>
                </w:p>
              </w:tc>
              <w:tc>
                <w:tcPr>
                  <w:tcW w:w="3236" w:type="dxa"/>
                  <w:noWrap w:val="0"/>
                  <w:vAlign w:val="center"/>
                </w:tcPr>
                <w:p w14:paraId="6168BA6D">
                  <w:pPr>
                    <w:pStyle w:val="264"/>
                    <w:rPr>
                      <w:rFonts w:ascii="Times New Roman" w:hAnsi="Times New Roman" w:cs="Times New Roman"/>
                      <w:color w:val="auto"/>
                    </w:rPr>
                  </w:pPr>
                  <w:r>
                    <w:rPr>
                      <w:rFonts w:ascii="Times New Roman" w:hAnsi="Times New Roman" w:cs="Times New Roman"/>
                      <w:color w:val="auto"/>
                    </w:rPr>
                    <w:t>直接向海排放污染物的海洋工程建设项目</w:t>
                  </w:r>
                </w:p>
              </w:tc>
              <w:tc>
                <w:tcPr>
                  <w:tcW w:w="2478" w:type="dxa"/>
                  <w:noWrap w:val="0"/>
                  <w:vAlign w:val="center"/>
                </w:tcPr>
                <w:p w14:paraId="24180EA2">
                  <w:pPr>
                    <w:pStyle w:val="264"/>
                    <w:rPr>
                      <w:rFonts w:ascii="Times New Roman" w:hAnsi="Times New Roman" w:cs="Times New Roman"/>
                      <w:color w:val="auto"/>
                    </w:rPr>
                  </w:pPr>
                  <w:r>
                    <w:rPr>
                      <w:rFonts w:ascii="Times New Roman" w:hAnsi="Times New Roman" w:cs="Times New Roman"/>
                      <w:color w:val="auto"/>
                    </w:rPr>
                    <w:t>本项目不属于直接向海排放污染物的海洋工程建设项目</w:t>
                  </w:r>
                </w:p>
              </w:tc>
              <w:tc>
                <w:tcPr>
                  <w:tcW w:w="978" w:type="dxa"/>
                  <w:noWrap w:val="0"/>
                  <w:vAlign w:val="center"/>
                </w:tcPr>
                <w:p w14:paraId="0C0A6F57">
                  <w:pPr>
                    <w:pStyle w:val="264"/>
                    <w:rPr>
                      <w:rFonts w:ascii="Times New Roman" w:hAnsi="Times New Roman" w:cs="Times New Roman"/>
                      <w:color w:val="auto"/>
                    </w:rPr>
                  </w:pPr>
                  <w:r>
                    <w:rPr>
                      <w:rFonts w:ascii="Times New Roman" w:hAnsi="Times New Roman" w:cs="Times New Roman"/>
                      <w:color w:val="auto"/>
                    </w:rPr>
                    <w:t>否</w:t>
                  </w:r>
                </w:p>
              </w:tc>
            </w:tr>
          </w:tbl>
          <w:p w14:paraId="5F7D133E">
            <w:pPr>
              <w:keepLines w:val="0"/>
              <w:pageBreakBefore w:val="0"/>
              <w:kinsoku/>
              <w:topLinePunct w:val="0"/>
              <w:autoSpaceDE w:val="0"/>
              <w:autoSpaceDN w:val="0"/>
              <w:bidi w:val="0"/>
              <w:adjustRightInd w:val="0"/>
              <w:snapToGrid w:val="0"/>
              <w:spacing w:line="400" w:lineRule="exact"/>
              <w:ind w:firstLine="420" w:firstLineChars="200"/>
              <w:jc w:val="both"/>
              <w:rPr>
                <w:rFonts w:hint="default" w:ascii="Times New Roman" w:hAnsi="Times New Roman" w:eastAsia="宋体" w:cs="Times New Roman"/>
                <w:color w:val="auto"/>
                <w:kern w:val="0"/>
                <w:sz w:val="24"/>
                <w:szCs w:val="24"/>
                <w:lang w:val="en-US" w:eastAsia="zh-CN"/>
              </w:rPr>
            </w:pPr>
            <w:r>
              <w:rPr>
                <w:rFonts w:ascii="Times New Roman" w:hAnsi="Times New Roman" w:cs="Times New Roman"/>
                <w:color w:val="auto"/>
              </w:rPr>
              <w:t>综上所述，本项目</w:t>
            </w:r>
            <w:r>
              <w:rPr>
                <w:rFonts w:hint="eastAsia" w:ascii="Times New Roman" w:hAnsi="Times New Roman" w:cs="Times New Roman"/>
                <w:color w:val="auto"/>
              </w:rPr>
              <w:t>无须设置</w:t>
            </w:r>
            <w:r>
              <w:rPr>
                <w:rFonts w:ascii="Times New Roman" w:hAnsi="Times New Roman" w:cs="Times New Roman"/>
                <w:color w:val="auto"/>
              </w:rPr>
              <w:t>专项评价。</w:t>
            </w:r>
          </w:p>
        </w:tc>
      </w:tr>
      <w:tr w14:paraId="1F1EE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175" w:hRule="atLeast"/>
          <w:jc w:val="center"/>
        </w:trPr>
        <w:tc>
          <w:tcPr>
            <w:tcW w:w="1792" w:type="dxa"/>
            <w:gridSpan w:val="2"/>
            <w:noWrap w:val="0"/>
            <w:vAlign w:val="center"/>
          </w:tcPr>
          <w:p w14:paraId="2E6B7512">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规划情况</w:t>
            </w:r>
          </w:p>
        </w:tc>
        <w:tc>
          <w:tcPr>
            <w:tcW w:w="6923" w:type="dxa"/>
            <w:gridSpan w:val="4"/>
            <w:noWrap w:val="0"/>
            <w:vAlign w:val="center"/>
          </w:tcPr>
          <w:p w14:paraId="41F97BD0">
            <w:pPr>
              <w:keepLines w:val="0"/>
              <w:pageBreakBefore w:val="0"/>
              <w:kinsoku/>
              <w:topLinePunct w:val="0"/>
              <w:autoSpaceDE w:val="0"/>
              <w:autoSpaceDN w:val="0"/>
              <w:bidi w:val="0"/>
              <w:adjustRightInd w:val="0"/>
              <w:snapToGrid w:val="0"/>
              <w:spacing w:line="400" w:lineRule="exact"/>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规划名称：《濉溪县国土空间总体规划（2021—2035年）》</w:t>
            </w:r>
          </w:p>
        </w:tc>
      </w:tr>
      <w:tr w14:paraId="33B02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494" w:hRule="atLeast"/>
          <w:jc w:val="center"/>
        </w:trPr>
        <w:tc>
          <w:tcPr>
            <w:tcW w:w="1792" w:type="dxa"/>
            <w:gridSpan w:val="2"/>
            <w:noWrap w:val="0"/>
            <w:vAlign w:val="center"/>
          </w:tcPr>
          <w:p w14:paraId="750D8203">
            <w:pPr>
              <w:keepLines w:val="0"/>
              <w:pageBreakBefore w:val="0"/>
              <w:kinsoku/>
              <w:topLinePunct w:val="0"/>
              <w:bidi w:val="0"/>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规划环境影响</w:t>
            </w:r>
          </w:p>
          <w:p w14:paraId="0CE1BC92">
            <w:pPr>
              <w:keepLines w:val="0"/>
              <w:pageBreakBefore w:val="0"/>
              <w:kinsoku/>
              <w:topLinePunct w:val="0"/>
              <w:bidi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评价情况</w:t>
            </w:r>
          </w:p>
        </w:tc>
        <w:tc>
          <w:tcPr>
            <w:tcW w:w="6923" w:type="dxa"/>
            <w:gridSpan w:val="4"/>
            <w:noWrap w:val="0"/>
            <w:vAlign w:val="center"/>
          </w:tcPr>
          <w:p w14:paraId="6E432E53">
            <w:pPr>
              <w:keepLines w:val="0"/>
              <w:pageBreakBefore w:val="0"/>
              <w:kinsoku/>
              <w:topLinePunct w:val="0"/>
              <w:autoSpaceDE w:val="0"/>
              <w:autoSpaceDN w:val="0"/>
              <w:bidi w:val="0"/>
              <w:adjustRightInd w:val="0"/>
              <w:snapToGrid w:val="0"/>
              <w:spacing w:line="400" w:lineRule="exact"/>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无</w:t>
            </w:r>
          </w:p>
        </w:tc>
      </w:tr>
      <w:tr w14:paraId="3ECBE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08" w:hRule="atLeast"/>
          <w:jc w:val="center"/>
        </w:trPr>
        <w:tc>
          <w:tcPr>
            <w:tcW w:w="1792" w:type="dxa"/>
            <w:gridSpan w:val="2"/>
            <w:noWrap w:val="0"/>
            <w:vAlign w:val="center"/>
          </w:tcPr>
          <w:p w14:paraId="1C2723AA">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规划及规划环境影响评价符合性分析</w:t>
            </w:r>
          </w:p>
        </w:tc>
        <w:tc>
          <w:tcPr>
            <w:tcW w:w="6923" w:type="dxa"/>
            <w:gridSpan w:val="4"/>
            <w:noWrap w:val="0"/>
            <w:vAlign w:val="center"/>
          </w:tcPr>
          <w:p w14:paraId="028E91F2">
            <w:pPr>
              <w:keepLines w:val="0"/>
              <w:pageBreakBefore w:val="0"/>
              <w:kinsoku/>
              <w:topLinePunct w:val="0"/>
              <w:autoSpaceDE w:val="0"/>
              <w:autoSpaceDN w:val="0"/>
              <w:bidi w:val="0"/>
              <w:adjustRightInd w:val="0"/>
              <w:snapToGrid w:val="0"/>
              <w:spacing w:line="400" w:lineRule="exact"/>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无</w:t>
            </w:r>
          </w:p>
        </w:tc>
      </w:tr>
      <w:tr w14:paraId="16C3D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noWrap w:val="0"/>
            <w:vAlign w:val="center"/>
          </w:tcPr>
          <w:p w14:paraId="7ED0DBF1">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其他符合性分析</w:t>
            </w:r>
          </w:p>
        </w:tc>
        <w:tc>
          <w:tcPr>
            <w:tcW w:w="7723" w:type="dxa"/>
            <w:gridSpan w:val="6"/>
            <w:noWrap w:val="0"/>
            <w:vAlign w:val="center"/>
          </w:tcPr>
          <w:p w14:paraId="4B98F45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lang w:eastAsia="zh-CN"/>
              </w:rPr>
              <w:t>、产业政策符合性分析</w:t>
            </w:r>
          </w:p>
          <w:p w14:paraId="6364A4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本项目属于</w:t>
            </w:r>
            <w:r>
              <w:rPr>
                <w:rFonts w:hint="eastAsia" w:cs="Times New Roman"/>
                <w:sz w:val="24"/>
                <w:szCs w:val="24"/>
                <w:lang w:val="en-US" w:eastAsia="zh-CN"/>
              </w:rPr>
              <w:t>C3029其他水泥类似制品制造</w:t>
            </w:r>
            <w:r>
              <w:rPr>
                <w:rFonts w:hint="default" w:ascii="Times New Roman" w:hAnsi="Times New Roman" w:eastAsia="宋体" w:cs="Times New Roman"/>
                <w:color w:val="auto"/>
                <w:sz w:val="24"/>
                <w:szCs w:val="24"/>
                <w:lang w:val="en-US" w:eastAsia="zh-CN"/>
              </w:rPr>
              <w:t>，符合《产业结构调整指导目录（2024年本）》中鼓励类项目，属于</w:t>
            </w:r>
            <w:r>
              <w:rPr>
                <w:rFonts w:hint="default" w:ascii="Times New Roman" w:hAnsi="Times New Roman" w:eastAsia="宋体" w:cs="Times New Roman"/>
                <w:sz w:val="24"/>
                <w:szCs w:val="24"/>
              </w:rPr>
              <w:t>四十二、环境保护与资源节约综合利用</w:t>
            </w:r>
            <w:r>
              <w:rPr>
                <w:rFonts w:hint="default" w:ascii="Times New Roman" w:hAnsi="Times New Roman" w:eastAsia="宋体" w:cs="Times New Roman"/>
                <w:color w:val="auto"/>
                <w:sz w:val="24"/>
                <w:szCs w:val="24"/>
                <w:lang w:val="en-US" w:eastAsia="zh-CN"/>
              </w:rPr>
              <w:t>中第8项，</w:t>
            </w:r>
            <w:r>
              <w:rPr>
                <w:rFonts w:hint="default" w:ascii="Times New Roman" w:hAnsi="Times New Roman" w:eastAsia="宋体" w:cs="Times New Roman"/>
                <w:sz w:val="24"/>
                <w:szCs w:val="24"/>
              </w:rPr>
              <w:t>建筑垃圾等工业废弃物循环利用</w:t>
            </w:r>
            <w:r>
              <w:rPr>
                <w:rFonts w:hint="default" w:ascii="Times New Roman" w:hAnsi="Times New Roman" w:eastAsia="宋体" w:cs="Times New Roman"/>
                <w:color w:val="auto"/>
                <w:sz w:val="24"/>
                <w:szCs w:val="24"/>
                <w:lang w:val="en-US" w:eastAsia="zh-CN"/>
              </w:rPr>
              <w:t>。根据《市场准入负面清单（202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年版）》规定，不属于负面清单之列。本项目符合国家产业政策、技术政策。</w:t>
            </w:r>
          </w:p>
          <w:p w14:paraId="22F5F1D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lang w:eastAsia="zh-CN"/>
              </w:rPr>
              <w:t>、</w:t>
            </w:r>
            <w:r>
              <w:rPr>
                <w:rFonts w:hint="default" w:ascii="Times New Roman" w:hAnsi="Times New Roman" w:eastAsia="宋体" w:cs="Times New Roman"/>
                <w:b/>
                <w:sz w:val="24"/>
                <w:szCs w:val="24"/>
                <w:lang w:val="en-US" w:eastAsia="zh-CN"/>
              </w:rPr>
              <w:t>选址合理性分析</w:t>
            </w:r>
          </w:p>
          <w:p w14:paraId="006336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（1）用地性质相符性分析</w:t>
            </w:r>
          </w:p>
          <w:p w14:paraId="461B4E57">
            <w:pPr>
              <w:spacing w:line="360" w:lineRule="auto"/>
              <w:ind w:firstLine="480" w:firstLineChars="200"/>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sz w:val="24"/>
                <w:szCs w:val="24"/>
                <w:lang w:val="en-US" w:eastAsia="zh-CN"/>
              </w:rPr>
              <w:t>本项目位于</w:t>
            </w:r>
            <w:r>
              <w:rPr>
                <w:rFonts w:hint="default" w:ascii="Times New Roman" w:hAnsi="Times New Roman" w:eastAsia="宋体" w:cs="Times New Roman"/>
                <w:color w:val="auto"/>
                <w:sz w:val="24"/>
                <w:szCs w:val="24"/>
                <w:lang w:val="en-US" w:eastAsia="zh-CN"/>
              </w:rPr>
              <w:t>安徽省淮北市濉溪县双堆集镇陈桥村</w:t>
            </w:r>
            <w:r>
              <w:rPr>
                <w:rFonts w:hint="default" w:ascii="Times New Roman" w:hAnsi="Times New Roman" w:eastAsia="宋体" w:cs="Times New Roman"/>
                <w:sz w:val="24"/>
                <w:szCs w:val="24"/>
                <w:lang w:val="en-US" w:eastAsia="zh-CN"/>
              </w:rPr>
              <w:t>，本项目不新增用地，项目现有用地</w:t>
            </w:r>
            <w:r>
              <w:rPr>
                <w:rFonts w:hint="default" w:ascii="Times New Roman" w:hAnsi="Times New Roman" w:eastAsia="宋体" w:cs="Times New Roman"/>
                <w:color w:val="auto"/>
                <w:sz w:val="24"/>
                <w:szCs w:val="24"/>
                <w:lang w:val="en-US" w:eastAsia="zh-CN"/>
              </w:rPr>
              <w:t>为建设用地</w:t>
            </w:r>
            <w:r>
              <w:rPr>
                <w:rFonts w:hint="default" w:ascii="Times New Roman" w:hAnsi="Times New Roman" w:eastAsia="宋体" w:cs="Times New Roman"/>
                <w:b w:val="0"/>
                <w:bCs w:val="0"/>
                <w:color w:val="auto"/>
                <w:kern w:val="0"/>
                <w:sz w:val="24"/>
                <w:szCs w:val="24"/>
                <w:lang w:val="en-US" w:eastAsia="zh-CN" w:bidi="ar-SA"/>
              </w:rPr>
              <w:t>。</w:t>
            </w:r>
          </w:p>
          <w:p w14:paraId="561F58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（2）选址所在地环境敏感程度分析</w:t>
            </w:r>
          </w:p>
          <w:p w14:paraId="3B8CD7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项目选址不属于生活饮用水源地和地下水补给区、风景名胜区、温泉疗养区、水产养殖区、基本农田保护区、自然保护区等需要特殊保护区域，周边环境不敏感。</w:t>
            </w:r>
          </w:p>
          <w:p w14:paraId="3E4BB6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（3）环境影响程度</w:t>
            </w:r>
          </w:p>
          <w:p w14:paraId="6CC541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根据工程分析确定的污染物源强，通过大气环境、水环境、声环境影响分析，说明项目建成后污染物达标排放对区域大气环境、水环境、声环境影响较小。</w:t>
            </w:r>
          </w:p>
          <w:p w14:paraId="6327EF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综上所述，本项目选址合理</w:t>
            </w:r>
          </w:p>
          <w:p w14:paraId="35D99BEB">
            <w:pPr>
              <w:pStyle w:val="252"/>
              <w:autoSpaceDE w:val="0"/>
              <w:adjustRightInd w:val="0"/>
              <w:snapToGrid w:val="0"/>
              <w:spacing w:line="360" w:lineRule="auto"/>
              <w:ind w:left="420" w:firstLine="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rPr>
              <w:t>与《淮北市生态环境保护</w:t>
            </w:r>
            <w:r>
              <w:rPr>
                <w:rFonts w:hint="default"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rPr>
              <w:t>十四五</w:t>
            </w:r>
            <w:r>
              <w:rPr>
                <w:rFonts w:hint="default"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rPr>
              <w:t>规划》符合性分析</w:t>
            </w:r>
          </w:p>
          <w:p w14:paraId="2EC19A6B">
            <w:pPr>
              <w:pStyle w:val="252"/>
              <w:autoSpaceDE w:val="0"/>
              <w:adjustRightInd w:val="0"/>
              <w:snapToGrid w:val="0"/>
              <w:spacing w:line="360" w:lineRule="auto"/>
              <w:ind w:firstLineChars="200"/>
              <w:jc w:val="left"/>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 w:val="24"/>
              </w:rPr>
              <w:t>项目与《淮北市生态环境保护</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十四五</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规划》的符合性分析见表1-</w:t>
            </w:r>
            <w:r>
              <w:rPr>
                <w:rFonts w:hint="eastAsia" w:cs="Times New Roman"/>
                <w:color w:val="auto"/>
                <w:sz w:val="24"/>
                <w:lang w:val="en-US" w:eastAsia="zh-CN"/>
              </w:rPr>
              <w:t>2</w:t>
            </w:r>
            <w:r>
              <w:rPr>
                <w:rFonts w:hint="default" w:ascii="Times New Roman" w:hAnsi="Times New Roman" w:eastAsia="宋体" w:cs="Times New Roman"/>
                <w:color w:val="auto"/>
                <w:sz w:val="24"/>
              </w:rPr>
              <w:t>。</w:t>
            </w:r>
          </w:p>
          <w:p w14:paraId="26CC32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2"/>
                <w:szCs w:val="22"/>
                <w:lang w:val="en-US" w:eastAsia="zh-CN"/>
              </w:rPr>
            </w:pPr>
          </w:p>
          <w:p w14:paraId="6D7EB8D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2"/>
                <w:szCs w:val="22"/>
                <w:lang w:val="en-US" w:eastAsia="zh-CN"/>
              </w:rPr>
            </w:pPr>
          </w:p>
          <w:p w14:paraId="7F6CC68A">
            <w:pPr>
              <w:pStyle w:val="18"/>
              <w:rPr>
                <w:rFonts w:hint="default"/>
                <w:lang w:val="en-US" w:eastAsia="zh-CN"/>
              </w:rPr>
            </w:pPr>
          </w:p>
          <w:p w14:paraId="5DA7DED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2"/>
                <w:szCs w:val="22"/>
                <w:lang w:val="en-US" w:eastAsia="zh-CN"/>
              </w:rPr>
            </w:pPr>
          </w:p>
          <w:p w14:paraId="1642471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表1-</w:t>
            </w:r>
            <w:r>
              <w:rPr>
                <w:rFonts w:hint="eastAsia" w:cs="Times New Roman"/>
                <w:b/>
                <w:bCs/>
                <w:color w:val="auto"/>
                <w:sz w:val="22"/>
                <w:szCs w:val="22"/>
                <w:lang w:val="en-US" w:eastAsia="zh-CN"/>
              </w:rPr>
              <w:t>2</w:t>
            </w:r>
            <w:r>
              <w:rPr>
                <w:rFonts w:hint="default" w:ascii="Times New Roman" w:hAnsi="Times New Roman" w:eastAsia="宋体" w:cs="Times New Roman"/>
                <w:b/>
                <w:bCs/>
                <w:color w:val="auto"/>
                <w:sz w:val="22"/>
                <w:szCs w:val="22"/>
                <w:lang w:val="en-US" w:eastAsia="zh-CN"/>
              </w:rPr>
              <w:t>与《淮北市生态环境保护“十四五”规划》符合性分析一览表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7"/>
              <w:gridCol w:w="2076"/>
              <w:gridCol w:w="945"/>
            </w:tblGrid>
            <w:tr w14:paraId="1421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761" w:type="dxa"/>
                  <w:tcBorders>
                    <w:tl2br w:val="nil"/>
                    <w:tr2bl w:val="nil"/>
                  </w:tcBorders>
                  <w:vAlign w:val="center"/>
                </w:tcPr>
                <w:p w14:paraId="13F12294">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规划目标</w:t>
                  </w:r>
                </w:p>
              </w:tc>
              <w:tc>
                <w:tcPr>
                  <w:tcW w:w="1873" w:type="dxa"/>
                  <w:tcBorders>
                    <w:tl2br w:val="nil"/>
                    <w:tr2bl w:val="nil"/>
                  </w:tcBorders>
                  <w:vAlign w:val="center"/>
                </w:tcPr>
                <w:p w14:paraId="46A12AAF">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本项目</w:t>
                  </w:r>
                </w:p>
              </w:tc>
              <w:tc>
                <w:tcPr>
                  <w:tcW w:w="852" w:type="dxa"/>
                  <w:tcBorders>
                    <w:tl2br w:val="nil"/>
                    <w:tr2bl w:val="nil"/>
                  </w:tcBorders>
                  <w:vAlign w:val="center"/>
                </w:tcPr>
                <w:p w14:paraId="69087EFE">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符合性</w:t>
                  </w:r>
                </w:p>
              </w:tc>
            </w:tr>
            <w:tr w14:paraId="3B53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tcBorders>
                    <w:tl2br w:val="nil"/>
                    <w:tr2bl w:val="nil"/>
                  </w:tcBorders>
                  <w:vAlign w:val="center"/>
                </w:tcPr>
                <w:p w14:paraId="2503DB3A">
                  <w:pPr>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持续淘汰落后产能。</w:t>
                  </w:r>
                  <w:r>
                    <w:rPr>
                      <w:rFonts w:hint="default" w:ascii="Times New Roman" w:hAnsi="Times New Roman" w:eastAsia="宋体" w:cs="Times New Roman"/>
                      <w:szCs w:val="21"/>
                    </w:rPr>
                    <w:t>严格执行国家和安徽省落后生产能力淘汰政策，加快淘汰一批不具有资源节约和环保优势、产品附加值较低、相对落后和过剩的生产能力。全面排查装备水平低、环保设施差的小型工业企业，开展对环境影响较大的</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低小散</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落后企业、加工点、作坊的专项整治。推动高污染企业逐步退出，城市建成区内污染较重的企业有序搬迁、改造或依法关闭。</w:t>
                  </w:r>
                </w:p>
              </w:tc>
              <w:tc>
                <w:tcPr>
                  <w:tcW w:w="1873" w:type="dxa"/>
                  <w:tcBorders>
                    <w:tl2br w:val="nil"/>
                    <w:tr2bl w:val="nil"/>
                  </w:tcBorders>
                  <w:vAlign w:val="center"/>
                </w:tcPr>
                <w:p w14:paraId="23A16AE3">
                  <w:pPr>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本项目为</w:t>
                  </w:r>
                  <w:r>
                    <w:rPr>
                      <w:rFonts w:hint="default" w:ascii="Times New Roman" w:hAnsi="Times New Roman" w:eastAsia="宋体" w:cs="Times New Roman"/>
                      <w:szCs w:val="21"/>
                      <w:lang w:val="en-US" w:eastAsia="zh-CN"/>
                    </w:rPr>
                    <w:t>水稳站固废利用技术改造项目</w:t>
                  </w:r>
                  <w:r>
                    <w:rPr>
                      <w:rFonts w:hint="default" w:ascii="Times New Roman" w:hAnsi="Times New Roman" w:eastAsia="宋体" w:cs="Times New Roman"/>
                      <w:szCs w:val="21"/>
                    </w:rPr>
                    <w:t>，项目建设符合国家产业政策要求，不属于对环境影响较大的</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低小散</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落后企业、加工点、作坊。</w:t>
                  </w:r>
                </w:p>
              </w:tc>
              <w:tc>
                <w:tcPr>
                  <w:tcW w:w="852" w:type="dxa"/>
                  <w:tcBorders>
                    <w:tl2br w:val="nil"/>
                    <w:tr2bl w:val="nil"/>
                  </w:tcBorders>
                  <w:vAlign w:val="center"/>
                </w:tcPr>
                <w:p w14:paraId="3B0DA87F">
                  <w:pPr>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7A4F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tcBorders>
                    <w:tl2br w:val="nil"/>
                    <w:tr2bl w:val="nil"/>
                  </w:tcBorders>
                  <w:vAlign w:val="center"/>
                </w:tcPr>
                <w:p w14:paraId="47DE8F03">
                  <w:pPr>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坚决控制煤炭消费总量。</w:t>
                  </w:r>
                  <w:r>
                    <w:rPr>
                      <w:rFonts w:hint="default" w:ascii="Times New Roman" w:hAnsi="Times New Roman" w:eastAsia="宋体" w:cs="Times New Roman"/>
                      <w:szCs w:val="21"/>
                    </w:rPr>
                    <w:t>持续强化煤炭消费总量与强度双控制度，严格控制新增煤耗项目，新、改、扩建项目实施煤炭减量或等量替代，推动煤炭消费指标向优质高效项目倾斜。完成30万千瓦及以上热电联产机组供热半径15公里范围内燃煤锅炉和低效燃煤小热电关停整合。到2025年，严格控制全市煤炭消费总量在省下达目标之内。</w:t>
                  </w:r>
                </w:p>
              </w:tc>
              <w:tc>
                <w:tcPr>
                  <w:tcW w:w="1873" w:type="dxa"/>
                  <w:tcBorders>
                    <w:tl2br w:val="nil"/>
                    <w:tr2bl w:val="nil"/>
                  </w:tcBorders>
                  <w:vAlign w:val="center"/>
                </w:tcPr>
                <w:p w14:paraId="06118D7A">
                  <w:pPr>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本项目不设锅炉。</w:t>
                  </w:r>
                </w:p>
              </w:tc>
              <w:tc>
                <w:tcPr>
                  <w:tcW w:w="852" w:type="dxa"/>
                  <w:tcBorders>
                    <w:tl2br w:val="nil"/>
                    <w:tr2bl w:val="nil"/>
                  </w:tcBorders>
                  <w:vAlign w:val="center"/>
                </w:tcPr>
                <w:p w14:paraId="1700E31F">
                  <w:pPr>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09FF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tcBorders>
                    <w:tl2br w:val="nil"/>
                    <w:tr2bl w:val="nil"/>
                  </w:tcBorders>
                  <w:vAlign w:val="center"/>
                </w:tcPr>
                <w:p w14:paraId="74296FAA">
                  <w:pPr>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其他污染治理。</w:t>
                  </w:r>
                  <w:r>
                    <w:rPr>
                      <w:rFonts w:hint="default" w:ascii="Times New Roman" w:hAnsi="Times New Roman" w:eastAsia="宋体" w:cs="Times New Roman"/>
                      <w:szCs w:val="21"/>
                    </w:rPr>
                    <w:t>积极开展消耗臭氧层物质（ODS）管理工作，落实ODS申报登记、核查和监管制度，加大执法检查力度，打击违法违规行为。全面开展臭气异味源的排查工作，组织实施工业臭气异味治理。督促涉臭气异味企业采取封闭、加盖等收集处理措施，提高臭气废气收集率和处理率，显著减少工业臭气异味的排放。加强生活垃圾臭气处理，采取有效防臭除臭措施，提升生活垃圾处理各环节恶臭治理水平。加强污水处理厂和泵站臭气异味控制。</w:t>
                  </w:r>
                </w:p>
              </w:tc>
              <w:tc>
                <w:tcPr>
                  <w:tcW w:w="1873" w:type="dxa"/>
                  <w:tcBorders>
                    <w:tl2br w:val="nil"/>
                    <w:tr2bl w:val="nil"/>
                  </w:tcBorders>
                  <w:vAlign w:val="center"/>
                </w:tcPr>
                <w:p w14:paraId="789CAFBB">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本项</w:t>
                  </w:r>
                  <w:r>
                    <w:rPr>
                      <w:rFonts w:hint="default" w:ascii="Times New Roman" w:hAnsi="Times New Roman" w:eastAsia="宋体" w:cs="Times New Roman"/>
                      <w:color w:val="auto"/>
                      <w:szCs w:val="21"/>
                    </w:rPr>
                    <w:t>目</w:t>
                  </w:r>
                  <w:r>
                    <w:rPr>
                      <w:rFonts w:hint="default" w:ascii="Times New Roman" w:hAnsi="Times New Roman" w:eastAsia="宋体" w:cs="Times New Roman"/>
                      <w:color w:val="auto"/>
                      <w:szCs w:val="21"/>
                      <w:lang w:val="en-US" w:eastAsia="zh-CN"/>
                    </w:rPr>
                    <w:t>无臭气产生。</w:t>
                  </w:r>
                </w:p>
              </w:tc>
              <w:tc>
                <w:tcPr>
                  <w:tcW w:w="852" w:type="dxa"/>
                  <w:tcBorders>
                    <w:tl2br w:val="nil"/>
                    <w:tr2bl w:val="nil"/>
                  </w:tcBorders>
                  <w:vAlign w:val="center"/>
                </w:tcPr>
                <w:p w14:paraId="67F5D109">
                  <w:pPr>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62F6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tcBorders>
                    <w:tl2br w:val="nil"/>
                    <w:tr2bl w:val="nil"/>
                  </w:tcBorders>
                  <w:vAlign w:val="center"/>
                </w:tcPr>
                <w:p w14:paraId="770BCBD9">
                  <w:pPr>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加强重点污染源监管。</w:t>
                  </w:r>
                  <w:r>
                    <w:rPr>
                      <w:rFonts w:hint="default" w:ascii="Times New Roman" w:hAnsi="Times New Roman" w:eastAsia="宋体" w:cs="Times New Roman"/>
                      <w:szCs w:val="21"/>
                    </w:rPr>
                    <w:t>动态更新土壤污染重点监管单位名录，落实新改扩项目土壤环境影响评价、污染隐患排查、自行监测、拆除活动污染防治等制度，依法在排污许可证中载明土壤污染防治要求。强化重金属污染防控，持续推进涉重行业企业污染源排查与整治，建立污染源排查整治清单。严格执行重金属污染物排放标准和总量控制要求，严控土壤和地下水新增污染。</w:t>
                  </w:r>
                </w:p>
              </w:tc>
              <w:tc>
                <w:tcPr>
                  <w:tcW w:w="1873" w:type="dxa"/>
                  <w:tcBorders>
                    <w:tl2br w:val="nil"/>
                    <w:tr2bl w:val="nil"/>
                  </w:tcBorders>
                  <w:vAlign w:val="center"/>
                </w:tcPr>
                <w:p w14:paraId="3EA3C85B">
                  <w:pPr>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本项目对可能造成土壤、地下水污染途径区域已进行分区防渗，并依法在排污许可证中</w:t>
                  </w:r>
                  <w:r>
                    <w:rPr>
                      <w:rFonts w:hint="default" w:ascii="Times New Roman" w:hAnsi="Times New Roman" w:eastAsia="宋体" w:cs="Times New Roman"/>
                      <w:color w:val="000000" w:themeColor="text1"/>
                      <w:szCs w:val="21"/>
                      <w14:textFill>
                        <w14:solidFill>
                          <w14:schemeClr w14:val="tx1"/>
                        </w14:solidFill>
                      </w14:textFill>
                    </w:rPr>
                    <w:t>载明</w:t>
                  </w:r>
                  <w:r>
                    <w:rPr>
                      <w:rFonts w:hint="default" w:ascii="Times New Roman" w:hAnsi="Times New Roman" w:eastAsia="宋体" w:cs="Times New Roman"/>
                      <w:szCs w:val="21"/>
                    </w:rPr>
                    <w:t>土壤污染防治措施。</w:t>
                  </w:r>
                </w:p>
              </w:tc>
              <w:tc>
                <w:tcPr>
                  <w:tcW w:w="852" w:type="dxa"/>
                  <w:tcBorders>
                    <w:tl2br w:val="nil"/>
                    <w:tr2bl w:val="nil"/>
                  </w:tcBorders>
                  <w:vAlign w:val="center"/>
                </w:tcPr>
                <w:p w14:paraId="5C6D678C">
                  <w:pPr>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7DFC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tcBorders>
                    <w:tl2br w:val="nil"/>
                    <w:tr2bl w:val="nil"/>
                  </w:tcBorders>
                  <w:vAlign w:val="center"/>
                </w:tcPr>
                <w:p w14:paraId="0841DB11">
                  <w:pPr>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严格落实地下水环境分区管控。</w:t>
                  </w:r>
                  <w:r>
                    <w:rPr>
                      <w:rFonts w:hint="default" w:ascii="Times New Roman" w:hAnsi="Times New Roman" w:eastAsia="宋体" w:cs="Times New Roman"/>
                      <w:szCs w:val="21"/>
                    </w:rPr>
                    <w:t>完成地下水污染防治分区划定，形成地下水污染分区、分类防控体系，提出地下水污染分区防治及污染源分类监管措施。严格执行地下水禁采区和限采区划分方案，加强地下水资源保护。建立全市地下水污染防治管理体系，全市地下水环境质量稳定向好。</w:t>
                  </w:r>
                </w:p>
              </w:tc>
              <w:tc>
                <w:tcPr>
                  <w:tcW w:w="1873" w:type="dxa"/>
                  <w:tcBorders>
                    <w:tl2br w:val="nil"/>
                    <w:tr2bl w:val="nil"/>
                  </w:tcBorders>
                  <w:vAlign w:val="center"/>
                </w:tcPr>
                <w:p w14:paraId="08CB400A">
                  <w:pPr>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本项目严格落实地下水污染分区防治措施，</w:t>
                  </w:r>
                  <w:r>
                    <w:rPr>
                      <w:rFonts w:hint="default" w:ascii="Times New Roman" w:hAnsi="Times New Roman" w:eastAsia="宋体" w:cs="Times New Roman"/>
                      <w:color w:val="auto"/>
                      <w:szCs w:val="21"/>
                    </w:rPr>
                    <w:t>项目用水来自市政供水管网。</w:t>
                  </w:r>
                </w:p>
              </w:tc>
              <w:tc>
                <w:tcPr>
                  <w:tcW w:w="852" w:type="dxa"/>
                  <w:tcBorders>
                    <w:tl2br w:val="nil"/>
                    <w:tr2bl w:val="nil"/>
                  </w:tcBorders>
                  <w:vAlign w:val="center"/>
                </w:tcPr>
                <w:p w14:paraId="4B3A943F">
                  <w:pPr>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6EB9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tcBorders>
                    <w:tl2br w:val="nil"/>
                    <w:tr2bl w:val="nil"/>
                  </w:tcBorders>
                  <w:vAlign w:val="center"/>
                </w:tcPr>
                <w:p w14:paraId="635FEA4E">
                  <w:pPr>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完善工业和社会生活噪声管理。</w:t>
                  </w:r>
                  <w:r>
                    <w:rPr>
                      <w:rFonts w:hint="default" w:ascii="Times New Roman" w:hAnsi="Times New Roman" w:eastAsia="宋体" w:cs="Times New Roman"/>
                      <w:szCs w:val="21"/>
                    </w:rPr>
                    <w:t>严格执行声环境功能区建设项目准入要求，加强工业噪声污染管控。规范客货流集中区域噪声管理，优化车流、人流通道设置，通过限制装卸货物时间和规范装卸货操作，减少对周边敏感建筑物的噪声影响。规范固定设备噪声源管理，开展全市固定噪声源控制设备自查，建立管理台账。</w:t>
                  </w:r>
                </w:p>
              </w:tc>
              <w:tc>
                <w:tcPr>
                  <w:tcW w:w="1873" w:type="dxa"/>
                  <w:tcBorders>
                    <w:tl2br w:val="nil"/>
                    <w:tr2bl w:val="nil"/>
                  </w:tcBorders>
                  <w:vAlign w:val="center"/>
                </w:tcPr>
                <w:p w14:paraId="6B2EA82E">
                  <w:pPr>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本项目满足声环境功能区要求，加强工业噪声污染防治，严格执行声环境功能区达标要求。</w:t>
                  </w:r>
                </w:p>
              </w:tc>
              <w:tc>
                <w:tcPr>
                  <w:tcW w:w="852" w:type="dxa"/>
                  <w:tcBorders>
                    <w:tl2br w:val="nil"/>
                    <w:tr2bl w:val="nil"/>
                  </w:tcBorders>
                  <w:vAlign w:val="center"/>
                </w:tcPr>
                <w:p w14:paraId="4E3D841D">
                  <w:pPr>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7E36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tcBorders>
                    <w:tl2br w:val="nil"/>
                    <w:tr2bl w:val="nil"/>
                  </w:tcBorders>
                  <w:vAlign w:val="center"/>
                </w:tcPr>
                <w:p w14:paraId="4D53EE7A">
                  <w:pPr>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优化产业空间布局。</w:t>
                  </w:r>
                  <w:r>
                    <w:rPr>
                      <w:rFonts w:hint="default" w:ascii="Times New Roman" w:hAnsi="Times New Roman" w:eastAsia="宋体" w:cs="Times New Roman"/>
                      <w:szCs w:val="21"/>
                    </w:rPr>
                    <w:t>优化总量分配和调控机制，重点污染物排放总量指标优先向重大建设项目、重点产业园区、战略性新兴产业倾斜。引导新建的大气污染物排放建设项目入园管理。对现有重污染项目实施深度治理，严格控制</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两高</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行业新增产能。落实空间开发保护原则、边界，坚持节约优先、保护优先、自然恢复为主的方针，开展资源环境承载能力和国土空间开发适宜性评价。强化</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三线一单</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在政策制定、环境准入、园区管理、执法监管等方面的应用。</w:t>
                  </w:r>
                </w:p>
              </w:tc>
              <w:tc>
                <w:tcPr>
                  <w:tcW w:w="1873" w:type="dxa"/>
                  <w:tcBorders>
                    <w:tl2br w:val="nil"/>
                    <w:tr2bl w:val="nil"/>
                  </w:tcBorders>
                  <w:vAlign w:val="center"/>
                </w:tcPr>
                <w:p w14:paraId="175908EC">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本项目所属行业为</w:t>
                  </w:r>
                  <w:r>
                    <w:rPr>
                      <w:rFonts w:hint="eastAsia" w:cs="Times New Roman"/>
                      <w:szCs w:val="21"/>
                      <w:lang w:val="en-US" w:eastAsia="zh-CN"/>
                    </w:rPr>
                    <w:t>C3029其他水泥类似制品制造</w:t>
                  </w:r>
                  <w:r>
                    <w:rPr>
                      <w:rFonts w:hint="default" w:ascii="Times New Roman" w:hAnsi="Times New Roman" w:eastAsia="宋体" w:cs="Times New Roman"/>
                      <w:szCs w:val="21"/>
                    </w:rPr>
                    <w:t>，项目建设符合</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三线一单</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等政策要求</w:t>
                  </w:r>
                  <w:r>
                    <w:rPr>
                      <w:rFonts w:hint="default" w:ascii="Times New Roman" w:hAnsi="Times New Roman" w:eastAsia="宋体" w:cs="Times New Roman"/>
                      <w:szCs w:val="21"/>
                      <w:lang w:eastAsia="zh-CN"/>
                    </w:rPr>
                    <w:t>。</w:t>
                  </w:r>
                </w:p>
              </w:tc>
              <w:tc>
                <w:tcPr>
                  <w:tcW w:w="852" w:type="dxa"/>
                  <w:tcBorders>
                    <w:tl2br w:val="nil"/>
                    <w:tr2bl w:val="nil"/>
                  </w:tcBorders>
                  <w:vAlign w:val="center"/>
                </w:tcPr>
                <w:p w14:paraId="741311FD">
                  <w:pPr>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2E0C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tcBorders>
                    <w:tl2br w:val="nil"/>
                    <w:tr2bl w:val="nil"/>
                  </w:tcBorders>
                  <w:vAlign w:val="center"/>
                </w:tcPr>
                <w:p w14:paraId="0DD729EC">
                  <w:pPr>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推进风险全过程监管。</w:t>
                  </w:r>
                  <w:r>
                    <w:rPr>
                      <w:rFonts w:hint="default" w:ascii="Times New Roman" w:hAnsi="Times New Roman" w:eastAsia="宋体" w:cs="Times New Roman"/>
                      <w:szCs w:val="21"/>
                    </w:rPr>
                    <w:t>强化企业环境风险主体责任，督促企业开展环境风险隐患排查并建立档案。抓好重点行业企业和重点区域的环境风险评估工作，实施环境风险分级管理，持续推进企业、园区、行政区域的三级防控体系。建立企业突发环境事件报告与应急处理制度、特征污染物监测报告等制度，探索建立建设项目验收与企业环境应急预案备案的联动机制，推广</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标杆式</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卡片式</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预案管理模式。严格源头防控、深化过程监管，严厉打击污染治理设施不规范、不运行、偷排、漏排等行为，强化责任追究，将环境风险防范纳入到日常环境管理。</w:t>
                  </w:r>
                </w:p>
              </w:tc>
              <w:tc>
                <w:tcPr>
                  <w:tcW w:w="1873" w:type="dxa"/>
                  <w:tcBorders>
                    <w:tl2br w:val="nil"/>
                    <w:tr2bl w:val="nil"/>
                  </w:tcBorders>
                  <w:vAlign w:val="center"/>
                </w:tcPr>
                <w:p w14:paraId="382A442C">
                  <w:pPr>
                    <w:jc w:val="center"/>
                    <w:rPr>
                      <w:rFonts w:hint="default" w:ascii="Times New Roman" w:hAnsi="Times New Roman" w:eastAsia="宋体" w:cs="Times New Roman"/>
                      <w:szCs w:val="21"/>
                    </w:rPr>
                  </w:pPr>
                  <w:r>
                    <w:rPr>
                      <w:rFonts w:hint="default" w:ascii="Times New Roman" w:hAnsi="Times New Roman" w:eastAsia="宋体" w:cs="Times New Roman"/>
                      <w:szCs w:val="21"/>
                    </w:rPr>
                    <w:t>本项目拟制定企业突发环境事件报告与应急处理制度、特征污染物监测报告等制度，加强环境风险隐患排查并建立档案。</w:t>
                  </w:r>
                </w:p>
              </w:tc>
              <w:tc>
                <w:tcPr>
                  <w:tcW w:w="852" w:type="dxa"/>
                  <w:tcBorders>
                    <w:tl2br w:val="nil"/>
                    <w:tr2bl w:val="nil"/>
                  </w:tcBorders>
                  <w:vAlign w:val="center"/>
                </w:tcPr>
                <w:p w14:paraId="140BFF90">
                  <w:pPr>
                    <w:jc w:val="center"/>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14:paraId="5F25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tcBorders>
                    <w:tl2br w:val="nil"/>
                    <w:tr2bl w:val="nil"/>
                  </w:tcBorders>
                  <w:vAlign w:val="center"/>
                </w:tcPr>
                <w:p w14:paraId="68127049">
                  <w:pPr>
                    <w:jc w:val="center"/>
                    <w:rPr>
                      <w:rFonts w:hint="default" w:ascii="Times New Roman" w:hAnsi="Times New Roman" w:eastAsia="宋体" w:cs="Times New Roman"/>
                      <w:szCs w:val="21"/>
                    </w:rPr>
                  </w:pPr>
                  <w:r>
                    <w:rPr>
                      <w:rFonts w:hint="default" w:ascii="Times New Roman" w:hAnsi="Times New Roman" w:eastAsia="宋体" w:cs="Times New Roman"/>
                      <w:b/>
                      <w:bCs/>
                      <w:szCs w:val="21"/>
                    </w:rPr>
                    <w:t>加强危险废物安全处置。</w:t>
                  </w:r>
                  <w:r>
                    <w:rPr>
                      <w:rFonts w:hint="default" w:ascii="Times New Roman" w:hAnsi="Times New Roman" w:eastAsia="宋体" w:cs="Times New Roman"/>
                      <w:szCs w:val="21"/>
                    </w:rPr>
                    <w:t>加快实施危险废物处置工程，提升危险废物安全处置能力。严格落实申报登记和经营许可管理，规范危险废物处理处置市场，严禁无证经营和超范围经营，确保各类危险废物的安全处理处置。实施危险废物转移联单管理，采取密封、防水等措施防止收集运输过程造成环境污染。继续强化医疗废物管理工作，开展危险废物和危险化学品污染事故应急能力建设，防范环境污染风险。以提高危险废物资源化利用水平为重点，完善危险废物运输、转运和处理机制，杜绝危险废物混入一般工业固体废物或生活垃圾进行处理处置的现象，培育技术先进、综合利用水平高、环境治理设施完善的危险废物持证经营单位，加强危险废物资源化利用，确保危险废物安全处置利用率达到100%。完善危险废物</w:t>
                  </w:r>
                  <w:r>
                    <w:rPr>
                      <w:rFonts w:hint="default" w:ascii="Times New Roman" w:hAnsi="Times New Roman" w:eastAsia="宋体" w:cs="Times New Roman"/>
                      <w:szCs w:val="21"/>
                      <w:lang w:eastAsia="zh-CN"/>
                    </w:rPr>
                    <w:t>管理台账</w:t>
                  </w:r>
                  <w:r>
                    <w:rPr>
                      <w:rFonts w:hint="default" w:ascii="Times New Roman" w:hAnsi="Times New Roman" w:eastAsia="宋体" w:cs="Times New Roman"/>
                      <w:szCs w:val="21"/>
                    </w:rPr>
                    <w:t>、转移联单等管理制度，提高危险废物收集、运输、处理处置的全过程信息化管理水平。</w:t>
                  </w:r>
                </w:p>
              </w:tc>
              <w:tc>
                <w:tcPr>
                  <w:tcW w:w="1873" w:type="dxa"/>
                  <w:tcBorders>
                    <w:tl2br w:val="nil"/>
                    <w:tr2bl w:val="nil"/>
                  </w:tcBorders>
                  <w:vAlign w:val="center"/>
                </w:tcPr>
                <w:p w14:paraId="4D3C997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szCs w:val="21"/>
                      <w:lang w:val="en-US" w:eastAsia="zh-CN"/>
                    </w:rPr>
                    <w:t>危险废物为设备维护产生的废机油和废机油桶，</w:t>
                  </w:r>
                  <w:r>
                    <w:rPr>
                      <w:rFonts w:hint="default" w:ascii="Times New Roman" w:hAnsi="Times New Roman" w:eastAsia="宋体" w:cs="Times New Roman"/>
                      <w:color w:val="auto"/>
                      <w:kern w:val="2"/>
                      <w:sz w:val="21"/>
                      <w:szCs w:val="21"/>
                      <w:lang w:val="en-US" w:eastAsia="zh-CN" w:bidi="ar-SA"/>
                    </w:rPr>
                    <w:t>废机油、</w:t>
                  </w:r>
                  <w:r>
                    <w:rPr>
                      <w:rFonts w:hint="default" w:ascii="Times New Roman" w:hAnsi="Times New Roman" w:eastAsia="宋体" w:cs="Times New Roman"/>
                      <w:color w:val="auto"/>
                      <w:szCs w:val="21"/>
                      <w:lang w:val="en-US" w:eastAsia="zh-CN"/>
                    </w:rPr>
                    <w:t>废机油桶</w:t>
                  </w:r>
                  <w:r>
                    <w:rPr>
                      <w:rFonts w:hint="eastAsia" w:ascii="Times New Roman" w:hAnsi="Times New Roman" w:eastAsia="宋体" w:cs="Times New Roman"/>
                      <w:color w:val="auto"/>
                      <w:kern w:val="2"/>
                      <w:sz w:val="21"/>
                      <w:szCs w:val="21"/>
                      <w:lang w:val="en-US" w:eastAsia="zh-CN" w:bidi="ar"/>
                    </w:rPr>
                    <w:t>统一收集后定期交由有资质单位处理</w:t>
                  </w:r>
                  <w:r>
                    <w:rPr>
                      <w:rFonts w:hint="default" w:ascii="Times New Roman" w:hAnsi="Times New Roman" w:eastAsia="宋体" w:cs="Times New Roman"/>
                      <w:color w:val="auto"/>
                      <w:kern w:val="2"/>
                      <w:sz w:val="21"/>
                      <w:szCs w:val="21"/>
                      <w:lang w:val="en-US" w:eastAsia="zh-CN" w:bidi="ar-SA"/>
                    </w:rPr>
                    <w:t>。</w:t>
                  </w:r>
                </w:p>
              </w:tc>
              <w:tc>
                <w:tcPr>
                  <w:tcW w:w="852" w:type="dxa"/>
                  <w:tcBorders>
                    <w:tl2br w:val="nil"/>
                    <w:tr2bl w:val="nil"/>
                  </w:tcBorders>
                  <w:vAlign w:val="center"/>
                </w:tcPr>
                <w:p w14:paraId="51ABCFC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336F7A6D">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auto"/>
                <w:kern w:val="0"/>
                <w:sz w:val="24"/>
                <w:szCs w:val="24"/>
                <w:lang w:val="en-US" w:eastAsia="zh-CN" w:bidi="ar-SA"/>
              </w:rPr>
            </w:pPr>
            <w:r>
              <w:rPr>
                <w:rFonts w:hint="default" w:ascii="Times New Roman" w:hAnsi="Times New Roman" w:eastAsia="宋体" w:cs="Times New Roman"/>
                <w:b/>
                <w:sz w:val="24"/>
                <w:lang w:val="en-US" w:eastAsia="zh-CN"/>
              </w:rPr>
              <w:t>4、</w:t>
            </w:r>
            <w:r>
              <w:rPr>
                <w:rFonts w:hint="default" w:ascii="Times New Roman" w:hAnsi="Times New Roman" w:cs="Times New Roman" w:eastAsiaTheme="minorEastAsia"/>
                <w:b/>
                <w:bCs/>
                <w:color w:val="auto"/>
                <w:kern w:val="0"/>
                <w:sz w:val="24"/>
                <w:szCs w:val="24"/>
                <w:lang w:val="en-US" w:eastAsia="zh-CN" w:bidi="ar-SA"/>
              </w:rPr>
              <w:t>本项目不属于“两高”项目的相符性分析</w:t>
            </w:r>
          </w:p>
          <w:p w14:paraId="1ABC710D">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结合安徽省“两高”项目最新管理要求及本项目实际情况，经对照核查，本项目不属于高耗能、高排放（“两高”）项目，具体分析如下：</w:t>
            </w:r>
          </w:p>
          <w:p w14:paraId="60E550BE">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eastAsia" w:cs="Times New Roman"/>
                <w:color w:val="auto"/>
                <w:spacing w:val="0"/>
                <w:position w:val="0"/>
                <w:lang w:val="en-US" w:eastAsia="zh-CN"/>
              </w:rPr>
              <w:t>一、</w:t>
            </w:r>
            <w:r>
              <w:rPr>
                <w:rFonts w:hint="default" w:ascii="Times New Roman" w:hAnsi="Times New Roman" w:eastAsia="宋体" w:cs="Times New Roman"/>
                <w:color w:val="auto"/>
                <w:spacing w:val="0"/>
                <w:position w:val="0"/>
                <w:lang w:val="en-US" w:eastAsia="zh-CN"/>
              </w:rPr>
              <w:t>安徽省“两高”项目最新管理政策依据</w:t>
            </w:r>
          </w:p>
          <w:p w14:paraId="1069EFEF">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原《安徽省“两高”项目管理目录（试行）》（皖节能〔2022〕2号）已明确废止，当前安徽省“两高”项目管理执行2025年5月省政府办公厅印发的《关于有力有效管控高耗能高排放项目的通知》要求。</w:t>
            </w:r>
          </w:p>
          <w:p w14:paraId="2E5B64E7">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安徽省最新政策以“行业+产品或装置”为核心界定“两高”项目范围，仅对明确列出的行业类别及对应产品、装置实施重点管控，未纳入目录的项目不按“两高”项目管理。</w:t>
            </w:r>
          </w:p>
          <w:p w14:paraId="19D8B203">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参照全国及安徽省“两高”项目管理共识，不新增产能的技术改造项目、环保节能改造项目，均不作为“两高”项目管理。</w:t>
            </w:r>
          </w:p>
          <w:p w14:paraId="31C27605">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二、本项目与“两高”项目范围的对照分析</w:t>
            </w:r>
          </w:p>
          <w:p w14:paraId="4C402EE4">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（一）项目行业类别未纳入安徽省“两高”管理范围</w:t>
            </w:r>
          </w:p>
          <w:p w14:paraId="472CD2CD">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本项目为</w:t>
            </w:r>
            <w:r>
              <w:rPr>
                <w:rFonts w:hint="default" w:ascii="Times New Roman" w:hAnsi="Times New Roman" w:eastAsia="宋体" w:cs="Times New Roman"/>
                <w:sz w:val="24"/>
                <w:szCs w:val="24"/>
                <w:lang w:val="en-US" w:eastAsia="zh-CN"/>
              </w:rPr>
              <w:t>水稳站固废利用技术改造项目</w:t>
            </w:r>
            <w:r>
              <w:rPr>
                <w:rFonts w:hint="default" w:ascii="Times New Roman" w:hAnsi="Times New Roman" w:eastAsia="宋体" w:cs="Times New Roman"/>
                <w:color w:val="auto"/>
                <w:spacing w:val="0"/>
                <w:position w:val="0"/>
                <w:lang w:val="en-US" w:eastAsia="zh-CN"/>
              </w:rPr>
              <w:t>，行业类别</w:t>
            </w:r>
            <w:r>
              <w:rPr>
                <w:rFonts w:hint="eastAsia" w:cs="Times New Roman"/>
                <w:sz w:val="24"/>
                <w:szCs w:val="24"/>
                <w:lang w:val="en-US" w:eastAsia="zh-CN"/>
              </w:rPr>
              <w:t>C3029其他水泥类似制品制造</w:t>
            </w:r>
            <w:r>
              <w:rPr>
                <w:rFonts w:hint="default" w:ascii="Times New Roman" w:hAnsi="Times New Roman" w:eastAsia="宋体" w:cs="Times New Roman"/>
                <w:color w:val="auto"/>
                <w:spacing w:val="0"/>
                <w:position w:val="0"/>
                <w:lang w:val="en-US" w:eastAsia="zh-CN"/>
              </w:rPr>
              <w:t>（对应《国民经济行业分类》代码</w:t>
            </w:r>
            <w:r>
              <w:rPr>
                <w:rFonts w:hint="eastAsia" w:cs="Times New Roman"/>
                <w:color w:val="auto"/>
                <w:spacing w:val="0"/>
                <w:position w:val="0"/>
                <w:lang w:val="en-US" w:eastAsia="zh-CN"/>
              </w:rPr>
              <w:t>C</w:t>
            </w:r>
            <w:r>
              <w:rPr>
                <w:rFonts w:hint="default" w:ascii="Times New Roman" w:hAnsi="Times New Roman" w:eastAsia="宋体" w:cs="Times New Roman"/>
                <w:color w:val="auto"/>
                <w:spacing w:val="0"/>
                <w:position w:val="0"/>
                <w:lang w:val="en-US" w:eastAsia="zh-CN"/>
              </w:rPr>
              <w:t>3031）。根据安徽省最新“两高”项目重点管理范围，仅石灰和石膏制造行业（行业小类代码</w:t>
            </w:r>
            <w:r>
              <w:rPr>
                <w:rFonts w:hint="eastAsia" w:cs="Times New Roman"/>
                <w:color w:val="auto"/>
                <w:spacing w:val="0"/>
                <w:position w:val="0"/>
                <w:lang w:val="en-US" w:eastAsia="zh-CN"/>
              </w:rPr>
              <w:t>C</w:t>
            </w:r>
            <w:r>
              <w:rPr>
                <w:rFonts w:hint="default" w:ascii="Times New Roman" w:hAnsi="Times New Roman" w:eastAsia="宋体" w:cs="Times New Roman"/>
                <w:color w:val="auto"/>
                <w:spacing w:val="0"/>
                <w:position w:val="0"/>
                <w:lang w:val="en-US" w:eastAsia="zh-CN"/>
              </w:rPr>
              <w:t>3012）中的石灰、石灰窑等产品及装置被纳入“两高”管控，本项目所属的砖瓦制造行业未被列入安徽省“两高”项目管理目录，行业属性不符合“两高”项目界定前提。</w:t>
            </w:r>
          </w:p>
          <w:p w14:paraId="166B904D">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（二）项目建设性质符合非“两高”项目认定要求</w:t>
            </w:r>
          </w:p>
          <w:p w14:paraId="35FF43AE">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本项目属于</w:t>
            </w:r>
            <w:r>
              <w:rPr>
                <w:rFonts w:hint="eastAsia" w:cs="Times New Roman"/>
                <w:sz w:val="24"/>
                <w:szCs w:val="24"/>
                <w:lang w:val="en-US" w:eastAsia="zh-CN"/>
              </w:rPr>
              <w:t>C3029其他水泥类似制品制造</w:t>
            </w:r>
            <w:r>
              <w:rPr>
                <w:rFonts w:hint="default" w:ascii="Times New Roman" w:hAnsi="Times New Roman" w:eastAsia="宋体" w:cs="Times New Roman"/>
                <w:color w:val="auto"/>
                <w:spacing w:val="0"/>
                <w:position w:val="0"/>
                <w:lang w:val="en-US" w:eastAsia="zh-CN"/>
              </w:rPr>
              <w:t>，核心建设内容为</w:t>
            </w:r>
            <w:r>
              <w:rPr>
                <w:rFonts w:hint="default" w:ascii="Times New Roman" w:hAnsi="Times New Roman" w:eastAsia="宋体" w:cs="Times New Roman"/>
                <w:color w:val="auto"/>
                <w:sz w:val="24"/>
                <w:szCs w:val="24"/>
                <w:lang w:val="en-US" w:eastAsia="zh-CN"/>
              </w:rPr>
              <w:t>在原有项目基础上进行技术改造，对原有产品进行再加工，使其达到年产</w:t>
            </w:r>
            <w:r>
              <w:rPr>
                <w:rFonts w:hint="eastAsia"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万吨</w:t>
            </w:r>
            <w:r>
              <w:rPr>
                <w:rFonts w:hint="eastAsia" w:cs="Times New Roman"/>
                <w:color w:val="auto"/>
                <w:sz w:val="24"/>
                <w:szCs w:val="24"/>
                <w:lang w:val="en-US" w:eastAsia="zh-CN"/>
              </w:rPr>
              <w:t>水稳</w:t>
            </w:r>
            <w:r>
              <w:rPr>
                <w:rFonts w:hint="default" w:ascii="Times New Roman" w:hAnsi="Times New Roman" w:eastAsia="宋体" w:cs="Times New Roman"/>
                <w:color w:val="auto"/>
                <w:spacing w:val="0"/>
                <w:position w:val="0"/>
                <w:lang w:val="en-US" w:eastAsia="zh-CN"/>
              </w:rPr>
              <w:t>，不涉及新增产能，不扩大生产规模。按照安徽省“两高”项目管理政策及行业通行标准，此类以设备更新、</w:t>
            </w:r>
            <w:r>
              <w:rPr>
                <w:rFonts w:hint="default" w:ascii="Times New Roman" w:hAnsi="Times New Roman" w:eastAsia="宋体" w:cs="Times New Roman"/>
                <w:color w:val="auto"/>
                <w:sz w:val="24"/>
                <w:szCs w:val="24"/>
                <w:lang w:val="en-US" w:eastAsia="zh-CN"/>
              </w:rPr>
              <w:t>技术改造</w:t>
            </w:r>
            <w:r>
              <w:rPr>
                <w:rFonts w:hint="default" w:ascii="Times New Roman" w:hAnsi="Times New Roman" w:eastAsia="宋体" w:cs="Times New Roman"/>
                <w:color w:val="auto"/>
                <w:spacing w:val="0"/>
                <w:position w:val="0"/>
                <w:lang w:val="en-US" w:eastAsia="zh-CN"/>
              </w:rPr>
              <w:t>为目的且不新增产能的技改项目，明确不属于“两高”项目管理范畴，无需执行“两高”项目相关管控要求。</w:t>
            </w:r>
          </w:p>
          <w:p w14:paraId="6A8B7D96">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（三）项目能耗与排放水平不符合“两高”项目特征</w:t>
            </w:r>
          </w:p>
          <w:p w14:paraId="74DCF9BB">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本项目</w:t>
            </w:r>
            <w:r>
              <w:rPr>
                <w:rFonts w:hint="default" w:ascii="Times New Roman" w:hAnsi="Times New Roman" w:eastAsia="宋体" w:cs="Times New Roman"/>
                <w:color w:val="auto"/>
                <w:sz w:val="24"/>
                <w:szCs w:val="24"/>
                <w:lang w:val="en-US" w:eastAsia="zh-CN"/>
              </w:rPr>
              <w:t>技术改造</w:t>
            </w:r>
            <w:r>
              <w:rPr>
                <w:rFonts w:hint="default" w:ascii="Times New Roman" w:hAnsi="Times New Roman" w:eastAsia="宋体" w:cs="Times New Roman"/>
                <w:color w:val="auto"/>
                <w:spacing w:val="0"/>
                <w:position w:val="0"/>
                <w:lang w:val="en-US" w:eastAsia="zh-CN"/>
              </w:rPr>
              <w:t>后，将采用更高效的节能型生产设备，通过优化原料处理工艺、提升粉尘收集效率等措施，降低单位产品能耗和污染物排放量，符合“节能降碳”的政策导向。</w:t>
            </w:r>
          </w:p>
          <w:p w14:paraId="276030BA">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项目不具备“高耗能、高排放”的核心特征，与“两高”项目的能耗、排放管控要求无关联性。</w:t>
            </w:r>
          </w:p>
          <w:p w14:paraId="3F075EE2">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三、结论</w:t>
            </w:r>
          </w:p>
          <w:p w14:paraId="77BE4156">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综上所述，本项目所属行业未被纳入安徽省最新“两高”项目管理范围，建设性质为技术改造，对原有产品进行再加工，能耗与排放水平均不符合“两高”项目特征，完全满足安徽省“两高”项目管控政策要求，不属于“两高”项目。</w:t>
            </w:r>
          </w:p>
          <w:p w14:paraId="11B7BE07">
            <w:pPr>
              <w:snapToGrid w:val="0"/>
              <w:spacing w:line="360" w:lineRule="auto"/>
              <w:ind w:firstLine="482" w:firstLineChars="200"/>
              <w:jc w:val="left"/>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lang w:val="en-US" w:eastAsia="zh-CN"/>
              </w:rPr>
              <w:t>、</w:t>
            </w:r>
            <w:r>
              <w:rPr>
                <w:rFonts w:hint="default" w:ascii="Times New Roman" w:hAnsi="Times New Roman" w:eastAsia="宋体" w:cs="Times New Roman"/>
                <w:b/>
                <w:sz w:val="24"/>
              </w:rPr>
              <w:t>与《关于</w:t>
            </w:r>
            <w:r>
              <w:rPr>
                <w:rFonts w:hint="default" w:ascii="Times New Roman" w:hAnsi="Times New Roman" w:eastAsia="宋体" w:cs="Times New Roman"/>
                <w:b/>
                <w:sz w:val="24"/>
                <w:lang w:eastAsia="zh-CN"/>
              </w:rPr>
              <w:t>“</w:t>
            </w:r>
            <w:r>
              <w:rPr>
                <w:rFonts w:hint="default" w:ascii="Times New Roman" w:hAnsi="Times New Roman" w:eastAsia="宋体" w:cs="Times New Roman"/>
                <w:b/>
                <w:sz w:val="24"/>
              </w:rPr>
              <w:t>十四五</w:t>
            </w:r>
            <w:r>
              <w:rPr>
                <w:rFonts w:hint="default" w:ascii="Times New Roman" w:hAnsi="Times New Roman" w:eastAsia="宋体" w:cs="Times New Roman"/>
                <w:b/>
                <w:sz w:val="24"/>
                <w:lang w:eastAsia="zh-CN"/>
              </w:rPr>
              <w:t>”</w:t>
            </w:r>
            <w:r>
              <w:rPr>
                <w:rFonts w:hint="default" w:ascii="Times New Roman" w:hAnsi="Times New Roman" w:eastAsia="宋体" w:cs="Times New Roman"/>
                <w:b/>
                <w:sz w:val="24"/>
              </w:rPr>
              <w:t>大宗固体废弃物综合利用的指导意见》（发改环资〔2021〕381号）的相符性分析</w:t>
            </w:r>
          </w:p>
          <w:p w14:paraId="4BB7638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项目与《关于</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十四五</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大宗固体废弃物综合利用的指导意见》符合性分析见表1-</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14:paraId="587A12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表1-</w:t>
            </w:r>
            <w:r>
              <w:rPr>
                <w:rFonts w:hint="eastAsia" w:cs="Times New Roman"/>
                <w:b/>
                <w:kern w:val="2"/>
                <w:sz w:val="21"/>
                <w:szCs w:val="21"/>
                <w:lang w:val="en-US" w:eastAsia="zh-CN" w:bidi="ar-SA"/>
              </w:rPr>
              <w:t>3</w:t>
            </w:r>
            <w:r>
              <w:rPr>
                <w:rFonts w:hint="default" w:ascii="Times New Roman" w:hAnsi="Times New Roman" w:eastAsia="宋体" w:cs="Times New Roman"/>
                <w:b/>
                <w:kern w:val="2"/>
                <w:sz w:val="21"/>
                <w:szCs w:val="21"/>
                <w:lang w:val="en-US" w:eastAsia="zh-CN" w:bidi="ar-SA"/>
              </w:rPr>
              <w:t>本项目与《关于“十四五”大宗固体废弃物综合利用的指导意见》相符性分析</w:t>
            </w:r>
          </w:p>
          <w:tbl>
            <w:tblPr>
              <w:tblStyle w:val="47"/>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03"/>
              <w:gridCol w:w="2760"/>
              <w:gridCol w:w="1132"/>
            </w:tblGrid>
            <w:tr w14:paraId="59C11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2654" w:type="pct"/>
                  <w:tcBorders>
                    <w:tl2br w:val="nil"/>
                    <w:tr2bl w:val="nil"/>
                  </w:tcBorders>
                  <w:vAlign w:val="center"/>
                </w:tcPr>
                <w:p w14:paraId="74ABE3E3">
                  <w:pPr>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文件内容</w:t>
                  </w:r>
                </w:p>
              </w:tc>
              <w:tc>
                <w:tcPr>
                  <w:tcW w:w="1663" w:type="pct"/>
                  <w:tcBorders>
                    <w:tl2br w:val="nil"/>
                    <w:tr2bl w:val="nil"/>
                  </w:tcBorders>
                  <w:vAlign w:val="center"/>
                </w:tcPr>
                <w:p w14:paraId="1617405A">
                  <w:pPr>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本项目情况</w:t>
                  </w:r>
                </w:p>
              </w:tc>
              <w:tc>
                <w:tcPr>
                  <w:tcW w:w="682" w:type="pct"/>
                  <w:tcBorders>
                    <w:tl2br w:val="nil"/>
                    <w:tr2bl w:val="nil"/>
                  </w:tcBorders>
                  <w:vAlign w:val="center"/>
                </w:tcPr>
                <w:p w14:paraId="37F94B73">
                  <w:pPr>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相符性</w:t>
                  </w:r>
                </w:p>
              </w:tc>
            </w:tr>
            <w:tr w14:paraId="6C639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654" w:type="pct"/>
                  <w:tcBorders>
                    <w:tl2br w:val="nil"/>
                    <w:tr2bl w:val="nil"/>
                  </w:tcBorders>
                  <w:vAlign w:val="center"/>
                </w:tcPr>
                <w:p w14:paraId="0CFF4896">
                  <w:pPr>
                    <w:snapToGrid w:val="0"/>
                    <w:jc w:val="center"/>
                    <w:rPr>
                      <w:rFonts w:hint="default" w:ascii="Times New Roman" w:hAnsi="Times New Roman" w:eastAsia="宋体" w:cs="Times New Roman"/>
                      <w:bCs/>
                      <w:color w:val="000000" w:themeColor="text1"/>
                      <w:szCs w:val="21"/>
                      <w:lang w:bidi="en-US"/>
                      <w14:textFill>
                        <w14:solidFill>
                          <w14:schemeClr w14:val="tx1"/>
                        </w14:solidFill>
                      </w14:textFill>
                    </w:rPr>
                  </w:pPr>
                  <w:r>
                    <w:rPr>
                      <w:rFonts w:hint="default" w:ascii="Times New Roman" w:hAnsi="Times New Roman" w:eastAsia="宋体" w:cs="Times New Roman"/>
                      <w:bCs/>
                      <w:color w:val="000000" w:themeColor="text1"/>
                      <w:szCs w:val="21"/>
                      <w:lang w:bidi="en-US"/>
                      <w14:textFill>
                        <w14:solidFill>
                          <w14:schemeClr w14:val="tx1"/>
                        </w14:solidFill>
                      </w14:textFill>
                    </w:rPr>
                    <w:t>推动利废行业绿色生产，强化过程控制。持续提升利废企业技术装备水平，加大小散乱污企业整治力度。强化大宗固废综合利用全流程管理，严格落实全过程环境污染防治责任。推行大宗固废绿色运输，鼓励使用专用运输设备和车辆，加强大宗固废运输过程管理。鼓励利废企业开展清洁生产审核，严格执行污染物排放标准，完善环境保护措施，防止二次污染。</w:t>
                  </w:r>
                </w:p>
              </w:tc>
              <w:tc>
                <w:tcPr>
                  <w:tcW w:w="1663" w:type="pct"/>
                  <w:tcBorders>
                    <w:tl2br w:val="nil"/>
                    <w:tr2bl w:val="nil"/>
                  </w:tcBorders>
                  <w:vAlign w:val="center"/>
                </w:tcPr>
                <w:p w14:paraId="61ADA3DF">
                  <w:pPr>
                    <w:pStyle w:val="253"/>
                    <w:ind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auto"/>
                      <w:sz w:val="21"/>
                      <w:szCs w:val="21"/>
                    </w:rPr>
                    <w:t>本项目</w:t>
                  </w:r>
                  <w:r>
                    <w:rPr>
                      <w:rFonts w:hint="default" w:ascii="Times New Roman" w:hAnsi="Times New Roman" w:eastAsia="宋体" w:cs="Times New Roman"/>
                      <w:bCs/>
                      <w:color w:val="auto"/>
                      <w:sz w:val="21"/>
                      <w:szCs w:val="21"/>
                      <w:lang w:val="en-US" w:eastAsia="zh-CN"/>
                    </w:rPr>
                    <w:t>利用建筑垃圾、煤矸石进行生产，属于资源综合利用项目，且产生的一般工业固体废物全部回用于生产线。防止二次污染。</w:t>
                  </w:r>
                </w:p>
              </w:tc>
              <w:tc>
                <w:tcPr>
                  <w:tcW w:w="682" w:type="pct"/>
                  <w:tcBorders>
                    <w:tl2br w:val="nil"/>
                    <w:tr2bl w:val="nil"/>
                  </w:tcBorders>
                  <w:vAlign w:val="center"/>
                </w:tcPr>
                <w:p w14:paraId="5B815603">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相符</w:t>
                  </w:r>
                </w:p>
              </w:tc>
            </w:tr>
            <w:tr w14:paraId="1805E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654" w:type="pct"/>
                  <w:tcBorders>
                    <w:tl2br w:val="nil"/>
                    <w:tr2bl w:val="nil"/>
                  </w:tcBorders>
                  <w:vAlign w:val="center"/>
                </w:tcPr>
                <w:p w14:paraId="29A0F031">
                  <w:pPr>
                    <w:snapToGrid w:val="0"/>
                    <w:jc w:val="center"/>
                    <w:rPr>
                      <w:rFonts w:hint="default" w:ascii="Times New Roman" w:hAnsi="Times New Roman" w:eastAsia="宋体" w:cs="Times New Roman"/>
                      <w:bCs/>
                      <w:color w:val="000000" w:themeColor="text1"/>
                      <w:szCs w:val="21"/>
                      <w:lang w:bidi="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强化大宗固废规范处置，守住环境底线。加强大宗固废贮存及处置管理，强化主体责任，推动建设符合有关国家标准的贮存设施，实现安全分类存放，杜绝混排混堆。统筹兼顾大宗固废增量消纳和存量治理，加大重点流域和重点区域大宗固废的综合整治力度，健全环保长效监督管理制度。</w:t>
                  </w:r>
                </w:p>
              </w:tc>
              <w:tc>
                <w:tcPr>
                  <w:tcW w:w="1663" w:type="pct"/>
                  <w:tcBorders>
                    <w:tl2br w:val="nil"/>
                    <w:tr2bl w:val="nil"/>
                  </w:tcBorders>
                  <w:vAlign w:val="center"/>
                </w:tcPr>
                <w:p w14:paraId="6B4A89AE">
                  <w:pPr>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本项目通过</w:t>
                  </w:r>
                  <w:r>
                    <w:rPr>
                      <w:rFonts w:hint="default" w:ascii="Times New Roman" w:hAnsi="Times New Roman" w:eastAsia="宋体" w:cs="Times New Roman"/>
                      <w:color w:val="000000" w:themeColor="text1"/>
                      <w:szCs w:val="21"/>
                      <w:lang w:val="en-US" w:eastAsia="zh-CN"/>
                      <w14:textFill>
                        <w14:solidFill>
                          <w14:schemeClr w14:val="tx1"/>
                        </w14:solidFill>
                      </w14:textFill>
                    </w:rPr>
                    <w:t>原材料采用专用</w:t>
                  </w:r>
                  <w:r>
                    <w:rPr>
                      <w:rFonts w:hint="default" w:ascii="Times New Roman" w:hAnsi="Times New Roman" w:eastAsia="宋体" w:cs="Times New Roman"/>
                      <w:color w:val="000000" w:themeColor="text1"/>
                      <w:szCs w:val="21"/>
                      <w14:textFill>
                        <w14:solidFill>
                          <w14:schemeClr w14:val="tx1"/>
                        </w14:solidFill>
                      </w14:textFill>
                    </w:rPr>
                    <w:t>运输车将原料运输至本项目生产场地内</w:t>
                  </w:r>
                  <w:r>
                    <w:rPr>
                      <w:rFonts w:hint="default" w:ascii="Times New Roman" w:hAnsi="Times New Roman" w:eastAsia="宋体" w:cs="Times New Roman"/>
                      <w:color w:val="000000" w:themeColor="text1"/>
                      <w:szCs w:val="21"/>
                      <w:lang w:val="en-US" w:eastAsia="zh-CN"/>
                      <w14:textFill>
                        <w14:solidFill>
                          <w14:schemeClr w14:val="tx1"/>
                        </w14:solidFill>
                      </w14:textFill>
                    </w:rPr>
                    <w:t>进行生产</w:t>
                  </w:r>
                  <w:r>
                    <w:rPr>
                      <w:rFonts w:hint="default" w:ascii="Times New Roman" w:hAnsi="Times New Roman" w:eastAsia="宋体" w:cs="Times New Roman"/>
                      <w:color w:val="000000" w:themeColor="text1"/>
                      <w:szCs w:val="21"/>
                      <w14:textFill>
                        <w14:solidFill>
                          <w14:schemeClr w14:val="tx1"/>
                        </w14:solidFill>
                      </w14:textFill>
                    </w:rPr>
                    <w:t>。</w:t>
                  </w:r>
                </w:p>
              </w:tc>
              <w:tc>
                <w:tcPr>
                  <w:tcW w:w="682" w:type="pct"/>
                  <w:tcBorders>
                    <w:tl2br w:val="nil"/>
                    <w:tr2bl w:val="nil"/>
                  </w:tcBorders>
                  <w:vAlign w:val="center"/>
                </w:tcPr>
                <w:p w14:paraId="114E98C8">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相符</w:t>
                  </w:r>
                </w:p>
              </w:tc>
            </w:tr>
            <w:tr w14:paraId="5EFD1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654" w:type="pct"/>
                  <w:tcBorders>
                    <w:tl2br w:val="nil"/>
                    <w:tr2bl w:val="nil"/>
                  </w:tcBorders>
                  <w:shd w:val="clear" w:color="auto" w:fill="auto"/>
                  <w:vAlign w:val="center"/>
                </w:tcPr>
                <w:p w14:paraId="65E98C60">
                  <w:pPr>
                    <w:snapToGrid w:val="0"/>
                    <w:jc w:val="center"/>
                    <w:rPr>
                      <w:rFonts w:hint="default" w:ascii="Times New Roman" w:hAnsi="Times New Roman" w:eastAsia="宋体" w:cs="Times New Roman"/>
                      <w:bCs/>
                      <w:color w:val="000000" w:themeColor="text1"/>
                      <w:szCs w:val="21"/>
                      <w:lang w:val="en-US" w:eastAsia="zh-CN" w:bidi="en-US"/>
                      <w14:textFill>
                        <w14:solidFill>
                          <w14:schemeClr w14:val="tx1"/>
                        </w14:solidFill>
                      </w14:textFill>
                    </w:rPr>
                  </w:pPr>
                  <w:r>
                    <w:rPr>
                      <w:rFonts w:hint="default" w:ascii="Times New Roman" w:hAnsi="Times New Roman" w:eastAsia="宋体" w:cs="Times New Roman"/>
                      <w:bCs/>
                      <w:color w:val="000000" w:themeColor="text1"/>
                      <w:szCs w:val="21"/>
                      <w:lang w:bidi="en-US"/>
                      <w14:textFill>
                        <w14:solidFill>
                          <w14:schemeClr w14:val="tx1"/>
                        </w14:solidFill>
                      </w14:textFill>
                    </w:rPr>
                    <w:t>加快发展壮大大宗固废综合利用产业，积极拓宽大宗固废综合利用渠道，进一步扩大利用规模；因地制宜、综合施策，有效降低大宗固废产排强度，加大综合利用力度</w:t>
                  </w:r>
                </w:p>
              </w:tc>
              <w:tc>
                <w:tcPr>
                  <w:tcW w:w="1663" w:type="pct"/>
                  <w:tcBorders>
                    <w:tl2br w:val="nil"/>
                    <w:tr2bl w:val="nil"/>
                  </w:tcBorders>
                  <w:shd w:val="clear" w:color="auto" w:fill="auto"/>
                  <w:vAlign w:val="center"/>
                </w:tcPr>
                <w:p w14:paraId="5F4BDB0F">
                  <w:pPr>
                    <w:snapToGrid w:val="0"/>
                    <w:jc w:val="center"/>
                    <w:rPr>
                      <w:rFonts w:hint="default" w:ascii="Times New Roman" w:hAnsi="Times New Roman" w:eastAsia="宋体" w:cs="Times New Roman"/>
                      <w:bCs/>
                      <w:color w:val="000000" w:themeColor="text1"/>
                      <w:szCs w:val="21"/>
                      <w:lang w:val="en-US" w:eastAsia="zh-CN" w:bidi="en-US"/>
                      <w14:textFill>
                        <w14:solidFill>
                          <w14:schemeClr w14:val="tx1"/>
                        </w14:solidFill>
                      </w14:textFill>
                    </w:rPr>
                  </w:pPr>
                  <w:r>
                    <w:rPr>
                      <w:rFonts w:hint="default" w:ascii="Times New Roman" w:hAnsi="Times New Roman" w:eastAsia="宋体" w:cs="Times New Roman"/>
                      <w:bCs/>
                      <w:color w:val="000000" w:themeColor="text1"/>
                      <w:szCs w:val="21"/>
                      <w:lang w:bidi="en-US"/>
                      <w14:textFill>
                        <w14:solidFill>
                          <w14:schemeClr w14:val="tx1"/>
                        </w14:solidFill>
                      </w14:textFill>
                    </w:rPr>
                    <w:t>本项目利用</w:t>
                  </w:r>
                  <w:r>
                    <w:rPr>
                      <w:rFonts w:hint="default" w:ascii="Times New Roman" w:hAnsi="Times New Roman" w:eastAsia="宋体" w:cs="Times New Roman"/>
                      <w:bCs/>
                      <w:color w:val="auto"/>
                      <w:sz w:val="21"/>
                      <w:szCs w:val="21"/>
                      <w:lang w:val="en-US" w:eastAsia="zh-CN"/>
                    </w:rPr>
                    <w:t>建筑垃圾、</w:t>
                  </w:r>
                  <w:r>
                    <w:rPr>
                      <w:rFonts w:hint="default" w:ascii="Times New Roman" w:hAnsi="Times New Roman" w:eastAsia="宋体" w:cs="Times New Roman"/>
                      <w:bCs/>
                      <w:color w:val="000000" w:themeColor="text1"/>
                      <w:szCs w:val="21"/>
                      <w:lang w:val="en-US" w:eastAsia="zh-CN" w:bidi="en-US"/>
                      <w14:textFill>
                        <w14:solidFill>
                          <w14:schemeClr w14:val="tx1"/>
                        </w14:solidFill>
                      </w14:textFill>
                    </w:rPr>
                    <w:t>煤矸石进行生产</w:t>
                  </w:r>
                  <w:r>
                    <w:rPr>
                      <w:rFonts w:hint="default" w:ascii="Times New Roman" w:hAnsi="Times New Roman" w:eastAsia="宋体" w:cs="Times New Roman"/>
                      <w:bCs/>
                      <w:color w:val="000000" w:themeColor="text1"/>
                      <w:szCs w:val="21"/>
                      <w:lang w:bidi="en-US"/>
                      <w14:textFill>
                        <w14:solidFill>
                          <w14:schemeClr w14:val="tx1"/>
                        </w14:solidFill>
                      </w14:textFill>
                    </w:rPr>
                    <w:t>，属于固体废物综合利用项目</w:t>
                  </w:r>
                </w:p>
              </w:tc>
              <w:tc>
                <w:tcPr>
                  <w:tcW w:w="682" w:type="pct"/>
                  <w:tcBorders>
                    <w:tl2br w:val="nil"/>
                    <w:tr2bl w:val="nil"/>
                  </w:tcBorders>
                  <w:shd w:val="clear" w:color="auto" w:fill="auto"/>
                  <w:vAlign w:val="center"/>
                </w:tcPr>
                <w:p w14:paraId="3A55E034">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相符</w:t>
                  </w:r>
                </w:p>
              </w:tc>
            </w:tr>
          </w:tbl>
          <w:p w14:paraId="4E4315C7">
            <w:pPr>
              <w:numPr>
                <w:ilvl w:val="0"/>
                <w:numId w:val="0"/>
              </w:numPr>
              <w:spacing w:line="360" w:lineRule="auto"/>
              <w:ind w:firstLine="482" w:firstLineChars="200"/>
              <w:rPr>
                <w:rFonts w:hint="default" w:ascii="Times New Roman" w:hAnsi="Times New Roman" w:eastAsia="宋体" w:cs="Times New Roman"/>
                <w:b/>
                <w:sz w:val="24"/>
                <w:lang w:val="en-US" w:eastAsia="zh-CN"/>
              </w:rPr>
            </w:pPr>
            <w:r>
              <w:rPr>
                <w:rFonts w:hint="eastAsia" w:cs="Times New Roman"/>
                <w:b/>
                <w:kern w:val="2"/>
                <w:sz w:val="24"/>
                <w:szCs w:val="24"/>
                <w:lang w:val="en-US" w:eastAsia="zh-CN" w:bidi="ar-SA"/>
              </w:rPr>
              <w:t>6</w:t>
            </w:r>
            <w:r>
              <w:rPr>
                <w:rFonts w:hint="default" w:ascii="Times New Roman" w:hAnsi="Times New Roman" w:eastAsia="宋体" w:cs="Times New Roman"/>
                <w:b/>
                <w:kern w:val="2"/>
                <w:sz w:val="24"/>
                <w:szCs w:val="24"/>
                <w:lang w:val="en-US" w:eastAsia="zh-CN" w:bidi="ar-SA"/>
              </w:rPr>
              <w:t>、</w:t>
            </w:r>
            <w:r>
              <w:rPr>
                <w:rFonts w:hint="default" w:ascii="Times New Roman" w:hAnsi="Times New Roman" w:eastAsia="宋体" w:cs="Times New Roman"/>
                <w:b/>
                <w:sz w:val="24"/>
                <w:lang w:val="en-US" w:eastAsia="zh-CN"/>
              </w:rPr>
              <w:t>与《固体废物再生利用污染防治技术导则》（HJ 1091-2020）</w:t>
            </w:r>
          </w:p>
          <w:p w14:paraId="36B7F289">
            <w:pPr>
              <w:pStyle w:val="18"/>
              <w:numPr>
                <w:ilvl w:val="0"/>
                <w:numId w:val="0"/>
              </w:numPr>
              <w:ind w:right="113" w:rightChars="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项目与</w:t>
            </w:r>
            <w:r>
              <w:rPr>
                <w:rFonts w:hint="default" w:ascii="Times New Roman" w:hAnsi="Times New Roman" w:eastAsia="宋体" w:cs="Times New Roman"/>
                <w:color w:val="000000" w:themeColor="text1"/>
                <w:sz w:val="24"/>
                <w:lang w:val="en-US" w:eastAsia="zh-CN"/>
                <w14:textFill>
                  <w14:solidFill>
                    <w14:schemeClr w14:val="tx1"/>
                  </w14:solidFill>
                </w14:textFill>
              </w:rPr>
              <w:t>《固体废物再生利用污染防治技术导则》</w:t>
            </w:r>
            <w:r>
              <w:rPr>
                <w:rFonts w:hint="default" w:ascii="Times New Roman" w:hAnsi="Times New Roman" w:eastAsia="宋体" w:cs="Times New Roman"/>
                <w:color w:val="000000" w:themeColor="text1"/>
                <w:sz w:val="24"/>
                <w14:textFill>
                  <w14:solidFill>
                    <w14:schemeClr w14:val="tx1"/>
                  </w14:solidFill>
                </w14:textFill>
              </w:rPr>
              <w:t>符合性分析见表1-</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w:t>
            </w:r>
          </w:p>
          <w:p w14:paraId="1841D231">
            <w:pPr>
              <w:pStyle w:val="18"/>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表1-</w:t>
            </w:r>
            <w:r>
              <w:rPr>
                <w:rFonts w:hint="eastAsia" w:cs="Times New Roman"/>
                <w:b/>
                <w:kern w:val="2"/>
                <w:sz w:val="21"/>
                <w:szCs w:val="21"/>
                <w:lang w:val="en-US" w:eastAsia="zh-CN" w:bidi="ar-SA"/>
              </w:rPr>
              <w:t>4</w:t>
            </w:r>
            <w:r>
              <w:rPr>
                <w:rFonts w:hint="default" w:ascii="Times New Roman" w:hAnsi="Times New Roman" w:eastAsia="宋体" w:cs="Times New Roman"/>
                <w:b/>
                <w:kern w:val="2"/>
                <w:sz w:val="21"/>
                <w:szCs w:val="21"/>
                <w:lang w:val="en-US" w:eastAsia="zh-CN" w:bidi="ar-SA"/>
              </w:rPr>
              <w:t>《固体废物再生利用污染防治技术导则》相符性一览表</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7"/>
              <w:gridCol w:w="3397"/>
              <w:gridCol w:w="1011"/>
            </w:tblGrid>
            <w:tr w14:paraId="6D29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342" w:type="pct"/>
                  <w:vAlign w:val="center"/>
                </w:tcPr>
                <w:p w14:paraId="37F43623">
                  <w:pPr>
                    <w:snapToGrid w:val="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文件要求</w:t>
                  </w:r>
                </w:p>
              </w:tc>
              <w:tc>
                <w:tcPr>
                  <w:tcW w:w="2047" w:type="pct"/>
                  <w:vAlign w:val="center"/>
                </w:tcPr>
                <w:p w14:paraId="39EB19C2">
                  <w:pPr>
                    <w:snapToGrid w:val="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本项目情况</w:t>
                  </w:r>
                </w:p>
              </w:tc>
              <w:tc>
                <w:tcPr>
                  <w:tcW w:w="609" w:type="pct"/>
                  <w:vAlign w:val="center"/>
                </w:tcPr>
                <w:p w14:paraId="095A5428">
                  <w:pPr>
                    <w:snapToGrid w:val="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相符性</w:t>
                  </w:r>
                </w:p>
              </w:tc>
            </w:tr>
            <w:tr w14:paraId="0B55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342" w:type="pct"/>
                  <w:vAlign w:val="center"/>
                </w:tcPr>
                <w:p w14:paraId="51833B2F">
                  <w:pPr>
                    <w:snapToGrid w:val="0"/>
                    <w:jc w:val="center"/>
                    <w:rPr>
                      <w:rFonts w:hint="default" w:ascii="Times New Roman" w:hAnsi="Times New Roman" w:eastAsia="宋体" w:cs="Times New Roman"/>
                      <w:bCs/>
                      <w:color w:val="000000" w:themeColor="text1"/>
                      <w:szCs w:val="21"/>
                      <w:lang w:bidi="en-US"/>
                      <w14:textFill>
                        <w14:solidFill>
                          <w14:schemeClr w14:val="tx1"/>
                        </w14:solidFill>
                      </w14:textFill>
                    </w:rPr>
                  </w:pPr>
                  <w:r>
                    <w:rPr>
                      <w:rFonts w:hint="default" w:ascii="Times New Roman" w:hAnsi="Times New Roman" w:eastAsia="宋体" w:cs="Times New Roman"/>
                      <w:bCs/>
                      <w:color w:val="000000" w:themeColor="text1"/>
                      <w:szCs w:val="21"/>
                      <w:lang w:bidi="en-US"/>
                      <w14:textFill>
                        <w14:solidFill>
                          <w14:schemeClr w14:val="tx1"/>
                        </w14:solidFill>
                      </w14:textFill>
                    </w:rPr>
                    <w:t>固体废物建材利用设施应配备必要的废气处理、防止或降低噪声与粉尘处理等污染防治装置</w:t>
                  </w:r>
                </w:p>
              </w:tc>
              <w:tc>
                <w:tcPr>
                  <w:tcW w:w="2047" w:type="pct"/>
                  <w:vAlign w:val="center"/>
                </w:tcPr>
                <w:p w14:paraId="3F15E00C">
                  <w:pPr>
                    <w:snapToGrid w:val="0"/>
                    <w:jc w:val="center"/>
                    <w:rPr>
                      <w:rFonts w:hint="default" w:ascii="Times New Roman" w:hAnsi="Times New Roman" w:eastAsia="宋体" w:cs="Times New Roman"/>
                      <w:bCs/>
                      <w:color w:val="auto"/>
                      <w:szCs w:val="21"/>
                      <w:lang w:bidi="en-US"/>
                    </w:rPr>
                  </w:pPr>
                  <w:r>
                    <w:rPr>
                      <w:rFonts w:hint="default" w:ascii="Times New Roman" w:hAnsi="Times New Roman" w:eastAsia="宋体" w:cs="Times New Roman"/>
                      <w:bCs/>
                      <w:color w:val="auto"/>
                      <w:szCs w:val="21"/>
                      <w:lang w:val="en-US" w:eastAsia="zh-CN" w:bidi="en-US"/>
                    </w:rPr>
                    <w:t>搅拌粉尘经布袋除尘器处理后</w:t>
                  </w:r>
                  <w:r>
                    <w:rPr>
                      <w:rFonts w:hint="default" w:ascii="Times New Roman" w:hAnsi="Times New Roman" w:eastAsia="宋体" w:cs="Times New Roman"/>
                      <w:bCs/>
                      <w:color w:val="auto"/>
                      <w:szCs w:val="21"/>
                      <w:lang w:bidi="en-US"/>
                    </w:rPr>
                    <w:t>15米排气筒（DA00</w:t>
                  </w:r>
                  <w:r>
                    <w:rPr>
                      <w:rFonts w:hint="default" w:ascii="Times New Roman" w:hAnsi="Times New Roman" w:eastAsia="宋体" w:cs="Times New Roman"/>
                      <w:bCs/>
                      <w:color w:val="auto"/>
                      <w:szCs w:val="21"/>
                      <w:lang w:val="en-US" w:eastAsia="zh-CN" w:bidi="en-US"/>
                    </w:rPr>
                    <w:t>2</w:t>
                  </w:r>
                  <w:r>
                    <w:rPr>
                      <w:rFonts w:hint="default" w:ascii="Times New Roman" w:hAnsi="Times New Roman" w:eastAsia="宋体" w:cs="Times New Roman"/>
                      <w:bCs/>
                      <w:color w:val="auto"/>
                      <w:szCs w:val="21"/>
                      <w:lang w:bidi="en-US"/>
                    </w:rPr>
                    <w:t>）</w:t>
                  </w:r>
                  <w:r>
                    <w:rPr>
                      <w:rFonts w:hint="default" w:ascii="Times New Roman" w:hAnsi="Times New Roman" w:eastAsia="宋体" w:cs="Times New Roman"/>
                      <w:bCs/>
                      <w:color w:val="auto"/>
                      <w:szCs w:val="21"/>
                      <w:lang w:val="en-US" w:eastAsia="zh-CN" w:bidi="en-US"/>
                    </w:rPr>
                    <w:t>排放。</w:t>
                  </w:r>
                </w:p>
              </w:tc>
              <w:tc>
                <w:tcPr>
                  <w:tcW w:w="609" w:type="pct"/>
                  <w:vAlign w:val="center"/>
                </w:tcPr>
                <w:p w14:paraId="6BF9B10C">
                  <w:pPr>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相符</w:t>
                  </w:r>
                </w:p>
              </w:tc>
            </w:tr>
            <w:tr w14:paraId="3F74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342" w:type="pct"/>
                  <w:vAlign w:val="center"/>
                </w:tcPr>
                <w:p w14:paraId="3523C557">
                  <w:pPr>
                    <w:snapToGrid w:val="0"/>
                    <w:jc w:val="center"/>
                    <w:rPr>
                      <w:rFonts w:hint="default" w:ascii="Times New Roman" w:hAnsi="Times New Roman" w:eastAsia="宋体" w:cs="Times New Roman"/>
                      <w:bCs/>
                      <w:color w:val="000000" w:themeColor="text1"/>
                      <w:szCs w:val="21"/>
                      <w:lang w:bidi="en-US"/>
                      <w14:textFill>
                        <w14:solidFill>
                          <w14:schemeClr w14:val="tx1"/>
                        </w14:solidFill>
                      </w14:textFill>
                    </w:rPr>
                  </w:pPr>
                  <w:r>
                    <w:rPr>
                      <w:rFonts w:hint="default" w:ascii="Times New Roman" w:hAnsi="Times New Roman" w:eastAsia="宋体" w:cs="Times New Roman"/>
                      <w:bCs/>
                      <w:color w:val="000000" w:themeColor="text1"/>
                      <w:szCs w:val="21"/>
                      <w:lang w:bidi="en-US"/>
                      <w14:textFill>
                        <w14:solidFill>
                          <w14:schemeClr w14:val="tx1"/>
                        </w14:solidFill>
                      </w14:textFill>
                    </w:rPr>
                    <w:t>利用固体废物生产砖瓦、轻骨料、集料、玻璃、陶瓷、陶粒、路基材料等建材过程的污染控制执行相关行业污染物排放标准</w:t>
                  </w:r>
                </w:p>
              </w:tc>
              <w:tc>
                <w:tcPr>
                  <w:tcW w:w="2047" w:type="pct"/>
                  <w:vAlign w:val="center"/>
                </w:tcPr>
                <w:p w14:paraId="2078AD2C">
                  <w:pPr>
                    <w:snapToGrid w:val="0"/>
                    <w:jc w:val="center"/>
                    <w:rPr>
                      <w:rFonts w:hint="default" w:ascii="Times New Roman" w:hAnsi="Times New Roman" w:eastAsia="宋体" w:cs="Times New Roman"/>
                      <w:bCs/>
                      <w:color w:val="auto"/>
                      <w:szCs w:val="21"/>
                      <w:lang w:bidi="en-US"/>
                    </w:rPr>
                  </w:pPr>
                  <w:r>
                    <w:rPr>
                      <w:rFonts w:hint="default" w:ascii="Times New Roman" w:hAnsi="Times New Roman" w:eastAsia="宋体" w:cs="Times New Roman"/>
                      <w:bCs/>
                      <w:color w:val="auto"/>
                      <w:szCs w:val="21"/>
                      <w:lang w:val="en-US" w:eastAsia="zh-CN" w:bidi="en-US"/>
                    </w:rPr>
                    <w:t>本项目利用</w:t>
                  </w:r>
                  <w:r>
                    <w:rPr>
                      <w:rFonts w:hint="default" w:ascii="Times New Roman" w:hAnsi="Times New Roman" w:eastAsia="宋体" w:cs="Times New Roman"/>
                      <w:bCs/>
                      <w:color w:val="auto"/>
                      <w:sz w:val="21"/>
                      <w:szCs w:val="21"/>
                      <w:lang w:val="en-US" w:eastAsia="zh-CN"/>
                    </w:rPr>
                    <w:t>建筑垃圾、</w:t>
                  </w:r>
                  <w:r>
                    <w:rPr>
                      <w:rFonts w:hint="default" w:ascii="Times New Roman" w:hAnsi="Times New Roman" w:eastAsia="宋体" w:cs="Times New Roman"/>
                      <w:bCs/>
                      <w:color w:val="auto"/>
                      <w:szCs w:val="21"/>
                      <w:lang w:val="en-US" w:eastAsia="zh-CN" w:bidi="en-US"/>
                    </w:rPr>
                    <w:t>煤矸石生产</w:t>
                  </w:r>
                  <w:r>
                    <w:rPr>
                      <w:rFonts w:hint="eastAsia" w:cs="Times New Roman"/>
                      <w:bCs/>
                      <w:color w:val="auto"/>
                      <w:szCs w:val="21"/>
                      <w:lang w:val="en-US" w:eastAsia="zh-CN" w:bidi="en-US"/>
                    </w:rPr>
                    <w:t>道路水稳</w:t>
                  </w:r>
                  <w:r>
                    <w:rPr>
                      <w:rFonts w:hint="default" w:ascii="Times New Roman" w:hAnsi="Times New Roman" w:eastAsia="宋体" w:cs="Times New Roman"/>
                      <w:bCs/>
                      <w:color w:val="auto"/>
                      <w:szCs w:val="21"/>
                      <w:lang w:val="en-US" w:eastAsia="zh-CN" w:bidi="en-US"/>
                    </w:rPr>
                    <w:t>，废气污染物执行</w:t>
                  </w:r>
                  <w:r>
                    <w:rPr>
                      <w:rFonts w:hint="eastAsia" w:cs="Times New Roman"/>
                      <w:bCs/>
                      <w:color w:val="auto"/>
                      <w:szCs w:val="21"/>
                      <w:lang w:val="en-US" w:eastAsia="zh-CN" w:bidi="en-US"/>
                    </w:rPr>
                    <w:t>《水泥工业大气污染物排放标准》（DB34/3576-2020）</w:t>
                  </w:r>
                </w:p>
              </w:tc>
              <w:tc>
                <w:tcPr>
                  <w:tcW w:w="609" w:type="pct"/>
                  <w:vAlign w:val="center"/>
                </w:tcPr>
                <w:p w14:paraId="7906DC6C">
                  <w:pPr>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相符</w:t>
                  </w:r>
                </w:p>
              </w:tc>
            </w:tr>
          </w:tbl>
          <w:p w14:paraId="67851E1E">
            <w:pPr>
              <w:pStyle w:val="61"/>
              <w:numPr>
                <w:ilvl w:val="0"/>
                <w:numId w:val="0"/>
              </w:numPr>
              <w:ind w:firstLine="482" w:firstLineChars="200"/>
              <w:rPr>
                <w:rFonts w:hint="eastAsia" w:eastAsia="宋体" w:cs="Times New Roman"/>
                <w:b/>
                <w:kern w:val="2"/>
                <w:sz w:val="24"/>
                <w:szCs w:val="24"/>
                <w:lang w:val="en-US" w:eastAsia="zh-CN" w:bidi="ar-SA"/>
              </w:rPr>
            </w:pPr>
          </w:p>
          <w:p w14:paraId="0C492914">
            <w:pPr>
              <w:pStyle w:val="61"/>
              <w:numPr>
                <w:ilvl w:val="0"/>
                <w:numId w:val="0"/>
              </w:numPr>
              <w:ind w:firstLine="482" w:firstLineChars="200"/>
              <w:rPr>
                <w:rFonts w:hint="default" w:ascii="Times New Roman" w:hAnsi="Times New Roman" w:eastAsia="宋体" w:cs="Times New Roman"/>
                <w:b/>
                <w:kern w:val="2"/>
                <w:sz w:val="24"/>
                <w:szCs w:val="24"/>
                <w:lang w:val="en-US" w:eastAsia="zh-CN" w:bidi="ar-SA"/>
              </w:rPr>
            </w:pPr>
            <w:r>
              <w:rPr>
                <w:rFonts w:hint="eastAsia" w:eastAsia="宋体" w:cs="Times New Roman"/>
                <w:b/>
                <w:kern w:val="2"/>
                <w:sz w:val="24"/>
                <w:szCs w:val="24"/>
                <w:lang w:val="en-US" w:eastAsia="zh-CN" w:bidi="ar-SA"/>
              </w:rPr>
              <w:t>7</w:t>
            </w:r>
            <w:r>
              <w:rPr>
                <w:rFonts w:hint="default" w:ascii="Times New Roman" w:hAnsi="Times New Roman" w:eastAsia="宋体" w:cs="Times New Roman"/>
                <w:b/>
                <w:kern w:val="2"/>
                <w:sz w:val="24"/>
                <w:szCs w:val="24"/>
                <w:lang w:val="en-US" w:eastAsia="zh-CN" w:bidi="ar-SA"/>
              </w:rPr>
              <w:t>、《关于印发加快推动工业资源综合利用实施方案的通知》（工信部联节〔2022〕9号）</w:t>
            </w:r>
          </w:p>
          <w:p w14:paraId="4406F967">
            <w:pPr>
              <w:pStyle w:val="18"/>
              <w:numPr>
                <w:ilvl w:val="0"/>
                <w:numId w:val="0"/>
              </w:numPr>
              <w:ind w:right="113" w:rightChars="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项目与</w:t>
            </w:r>
            <w:r>
              <w:rPr>
                <w:rFonts w:hint="default" w:ascii="Times New Roman" w:hAnsi="Times New Roman" w:eastAsia="宋体" w:cs="Times New Roman"/>
                <w:color w:val="000000" w:themeColor="text1"/>
                <w:sz w:val="24"/>
                <w:lang w:val="en-US" w:eastAsia="zh-CN"/>
                <w14:textFill>
                  <w14:solidFill>
                    <w14:schemeClr w14:val="tx1"/>
                  </w14:solidFill>
                </w14:textFill>
              </w:rPr>
              <w:t>《关于印发加快推动工业资源综合利用实施方案的通知》</w:t>
            </w:r>
            <w:r>
              <w:rPr>
                <w:rFonts w:hint="default" w:ascii="Times New Roman" w:hAnsi="Times New Roman" w:eastAsia="宋体" w:cs="Times New Roman"/>
                <w:color w:val="000000" w:themeColor="text1"/>
                <w:sz w:val="24"/>
                <w14:textFill>
                  <w14:solidFill>
                    <w14:schemeClr w14:val="tx1"/>
                  </w14:solidFill>
                </w14:textFill>
              </w:rPr>
              <w:t>符合性分析见表1-</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w:t>
            </w:r>
          </w:p>
          <w:p w14:paraId="23DA8066">
            <w:pPr>
              <w:pStyle w:val="18"/>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表1-</w:t>
            </w:r>
            <w:r>
              <w:rPr>
                <w:rFonts w:hint="eastAsia" w:cs="Times New Roman"/>
                <w:b/>
                <w:kern w:val="2"/>
                <w:sz w:val="21"/>
                <w:szCs w:val="21"/>
                <w:lang w:val="en-US" w:eastAsia="zh-CN" w:bidi="ar-SA"/>
              </w:rPr>
              <w:t>5</w:t>
            </w:r>
            <w:r>
              <w:rPr>
                <w:rFonts w:hint="default" w:ascii="Times New Roman" w:hAnsi="Times New Roman" w:eastAsia="宋体" w:cs="Times New Roman"/>
                <w:b/>
                <w:kern w:val="2"/>
                <w:sz w:val="21"/>
                <w:szCs w:val="21"/>
                <w:lang w:val="en-US" w:eastAsia="zh-CN" w:bidi="ar-SA"/>
              </w:rPr>
              <w:t>《关于印发加快推动工业资源综合利用实施方案的通知》相符性一览表</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6"/>
              <w:gridCol w:w="3493"/>
              <w:gridCol w:w="916"/>
            </w:tblGrid>
            <w:tr w14:paraId="4C00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342" w:type="pct"/>
                  <w:vAlign w:val="center"/>
                </w:tcPr>
                <w:p w14:paraId="587A2694">
                  <w:pPr>
                    <w:snapToGrid w:val="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文件要求</w:t>
                  </w:r>
                </w:p>
              </w:tc>
              <w:tc>
                <w:tcPr>
                  <w:tcW w:w="2105" w:type="pct"/>
                  <w:vAlign w:val="center"/>
                </w:tcPr>
                <w:p w14:paraId="16C2341F">
                  <w:pPr>
                    <w:snapToGrid w:val="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本项目情况</w:t>
                  </w:r>
                </w:p>
              </w:tc>
              <w:tc>
                <w:tcPr>
                  <w:tcW w:w="552" w:type="pct"/>
                  <w:vAlign w:val="center"/>
                </w:tcPr>
                <w:p w14:paraId="263F8A4B">
                  <w:pPr>
                    <w:snapToGrid w:val="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相符性</w:t>
                  </w:r>
                </w:p>
              </w:tc>
            </w:tr>
            <w:tr w14:paraId="70EF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342" w:type="pct"/>
                  <w:vAlign w:val="center"/>
                </w:tcPr>
                <w:p w14:paraId="6D9425B4">
                  <w:pPr>
                    <w:snapToGrid w:val="0"/>
                    <w:jc w:val="center"/>
                    <w:rPr>
                      <w:rFonts w:hint="default" w:ascii="Times New Roman" w:hAnsi="Times New Roman" w:eastAsia="宋体" w:cs="Times New Roman"/>
                      <w:bCs/>
                      <w:color w:val="000000" w:themeColor="text1"/>
                      <w:szCs w:val="21"/>
                      <w:lang w:bidi="en-US"/>
                      <w14:textFill>
                        <w14:solidFill>
                          <w14:schemeClr w14:val="tx1"/>
                        </w14:solidFill>
                      </w14:textFill>
                    </w:rPr>
                  </w:pPr>
                  <w:r>
                    <w:rPr>
                      <w:rFonts w:hint="default" w:ascii="Times New Roman" w:hAnsi="Times New Roman" w:eastAsia="宋体" w:cs="Times New Roman"/>
                      <w:bCs/>
                      <w:color w:val="000000" w:themeColor="text1"/>
                      <w:szCs w:val="21"/>
                      <w:lang w:bidi="en-US"/>
                      <w14:textFill>
                        <w14:solidFill>
                          <w14:schemeClr w14:val="tx1"/>
                        </w14:solidFill>
                      </w14:textFill>
                    </w:rPr>
                    <w:t>加快工业固废规模化高效利用，加快推进尾矿、粉煤灰、煤矸石、冶炼渣、工业副产石膏、赤泥、化工废渣等工业固废在有价组分提取、建材生产、市政设施建设、井下充填、生态修复、土壤治理等领域的规模化利用</w:t>
                  </w:r>
                </w:p>
              </w:tc>
              <w:tc>
                <w:tcPr>
                  <w:tcW w:w="2105" w:type="pct"/>
                  <w:vAlign w:val="center"/>
                </w:tcPr>
                <w:p w14:paraId="0B109014">
                  <w:pPr>
                    <w:snapToGrid w:val="0"/>
                    <w:jc w:val="center"/>
                    <w:rPr>
                      <w:rFonts w:hint="default" w:ascii="Times New Roman" w:hAnsi="Times New Roman" w:eastAsia="宋体" w:cs="Times New Roman"/>
                      <w:bCs/>
                      <w:color w:val="000000" w:themeColor="text1"/>
                      <w:szCs w:val="21"/>
                      <w:lang w:bidi="en-US"/>
                      <w14:textFill>
                        <w14:solidFill>
                          <w14:schemeClr w14:val="tx1"/>
                        </w14:solidFill>
                      </w14:textFill>
                    </w:rPr>
                  </w:pPr>
                  <w:r>
                    <w:rPr>
                      <w:rFonts w:hint="default" w:ascii="Times New Roman" w:hAnsi="Times New Roman" w:eastAsia="宋体" w:cs="Times New Roman"/>
                      <w:bCs/>
                      <w:color w:val="000000" w:themeColor="text1"/>
                      <w:szCs w:val="21"/>
                      <w:lang w:bidi="en-US"/>
                      <w14:textFill>
                        <w14:solidFill>
                          <w14:schemeClr w14:val="tx1"/>
                        </w14:solidFill>
                      </w14:textFill>
                    </w:rPr>
                    <w:t>本</w:t>
                  </w:r>
                  <w:r>
                    <w:rPr>
                      <w:rFonts w:hint="default" w:ascii="Times New Roman" w:hAnsi="Times New Roman" w:eastAsia="宋体" w:cs="Times New Roman"/>
                      <w:bCs/>
                      <w:color w:val="auto"/>
                      <w:szCs w:val="21"/>
                      <w:lang w:bidi="en-US"/>
                    </w:rPr>
                    <w:t>项目利用</w:t>
                  </w:r>
                  <w:r>
                    <w:rPr>
                      <w:rFonts w:hint="default" w:ascii="Times New Roman" w:hAnsi="Times New Roman" w:eastAsia="宋体" w:cs="Times New Roman"/>
                      <w:bCs/>
                      <w:color w:val="auto"/>
                      <w:sz w:val="21"/>
                      <w:szCs w:val="21"/>
                      <w:lang w:val="en-US" w:eastAsia="zh-CN"/>
                    </w:rPr>
                    <w:t>建筑垃圾、</w:t>
                  </w:r>
                  <w:r>
                    <w:rPr>
                      <w:rFonts w:hint="default" w:ascii="Times New Roman" w:hAnsi="Times New Roman" w:eastAsia="宋体" w:cs="Times New Roman"/>
                      <w:bCs/>
                      <w:color w:val="auto"/>
                      <w:szCs w:val="21"/>
                      <w:lang w:val="en-US" w:eastAsia="zh-CN" w:bidi="en-US"/>
                    </w:rPr>
                    <w:t>煤矸石进行生产</w:t>
                  </w:r>
                  <w:r>
                    <w:rPr>
                      <w:rFonts w:hint="default" w:ascii="Times New Roman" w:hAnsi="Times New Roman" w:eastAsia="宋体" w:cs="Times New Roman"/>
                      <w:bCs/>
                      <w:color w:val="auto"/>
                      <w:szCs w:val="21"/>
                      <w:lang w:bidi="en-US"/>
                    </w:rPr>
                    <w:t>，属于固体废物综合利用项目</w:t>
                  </w:r>
                </w:p>
              </w:tc>
              <w:tc>
                <w:tcPr>
                  <w:tcW w:w="552" w:type="pct"/>
                  <w:vAlign w:val="center"/>
                </w:tcPr>
                <w:p w14:paraId="782AEBA1">
                  <w:pPr>
                    <w:snapToGrid w:val="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相符</w:t>
                  </w:r>
                </w:p>
              </w:tc>
            </w:tr>
          </w:tbl>
          <w:p w14:paraId="7C73C1C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黑体" w:cs="Times New Roman"/>
                <w:b/>
                <w:bCs/>
                <w:color w:val="000000" w:themeColor="text1"/>
                <w:sz w:val="24"/>
                <w:lang w:bidi="en-US"/>
                <w14:textFill>
                  <w14:solidFill>
                    <w14:schemeClr w14:val="tx1"/>
                  </w14:solidFill>
                </w14:textFill>
              </w:rPr>
            </w:pPr>
            <w:r>
              <w:rPr>
                <w:rFonts w:hint="eastAsia" w:cs="Times New Roman"/>
                <w:b/>
                <w:color w:val="auto"/>
                <w:sz w:val="24"/>
                <w:szCs w:val="24"/>
                <w:lang w:val="en-US" w:eastAsia="zh-CN"/>
              </w:rPr>
              <w:t>8</w:t>
            </w:r>
            <w:r>
              <w:rPr>
                <w:rFonts w:hint="default" w:ascii="Times New Roman" w:hAnsi="Times New Roman" w:eastAsia="宋体" w:cs="Times New Roman"/>
                <w:b/>
                <w:color w:val="auto"/>
                <w:sz w:val="24"/>
                <w:szCs w:val="24"/>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与淮北市人民政府办公室《关于印发淮北市空气质量提升攻坚行动方案的通知》（淮政办秘〔2024〕8号，2024年2月12日）通知相符性分析</w:t>
            </w:r>
          </w:p>
          <w:p w14:paraId="4A699B79">
            <w:pPr>
              <w:autoSpaceDE w:val="0"/>
              <w:autoSpaceDN w:val="0"/>
              <w:adjustRightInd w:val="0"/>
              <w:spacing w:line="360" w:lineRule="auto"/>
              <w:ind w:firstLine="480" w:firstLineChars="200"/>
              <w:jc w:val="left"/>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eastAsia="zh-CN"/>
                <w14:textFill>
                  <w14:solidFill>
                    <w14:schemeClr w14:val="tx1"/>
                  </w14:solidFill>
                </w14:textFill>
              </w:rPr>
              <w:t>项目</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与淮北市人民政府办公室《关于印发淮北市空气质量提升攻坚行动方案的通知》（淮政办秘〔2024〕8号，2024年2月12日）通知相符性分析</w:t>
            </w:r>
            <w:r>
              <w:rPr>
                <w:rFonts w:hint="default" w:ascii="Times New Roman" w:hAnsi="Times New Roman" w:cs="Times New Roman"/>
                <w:b w:val="0"/>
                <w:bCs w:val="0"/>
                <w:color w:val="000000" w:themeColor="text1"/>
                <w:sz w:val="24"/>
                <w:szCs w:val="24"/>
                <w:lang w:eastAsia="zh-CN"/>
                <w14:textFill>
                  <w14:solidFill>
                    <w14:schemeClr w14:val="tx1"/>
                  </w14:solidFill>
                </w14:textFill>
              </w:rPr>
              <w:t>见表</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1-</w:t>
            </w:r>
            <w:r>
              <w:rPr>
                <w:rFonts w:hint="eastAsia"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p>
          <w:p w14:paraId="371F062A">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b/>
                <w:bCs/>
                <w:color w:val="000000" w:themeColor="text1"/>
                <w:szCs w:val="21"/>
                <w14:textFill>
                  <w14:solidFill>
                    <w14:schemeClr w14:val="tx1"/>
                  </w14:solidFill>
                </w14:textFill>
              </w:rPr>
              <w:t>表1-</w:t>
            </w:r>
            <w:r>
              <w:rPr>
                <w:rFonts w:hint="eastAsia" w:cs="Times New Roman"/>
                <w:b/>
                <w:bCs/>
                <w:color w:val="000000" w:themeColor="text1"/>
                <w:szCs w:val="21"/>
                <w:lang w:val="en-US" w:eastAsia="zh-CN"/>
                <w14:textFill>
                  <w14:solidFill>
                    <w14:schemeClr w14:val="tx1"/>
                  </w14:solidFill>
                </w14:textFill>
              </w:rPr>
              <w:t>6</w:t>
            </w:r>
            <w:r>
              <w:rPr>
                <w:rFonts w:hint="default" w:ascii="Times New Roman" w:hAnsi="Times New Roman" w:cs="Times New Roman"/>
                <w:b/>
                <w:bCs/>
                <w:color w:val="auto"/>
                <w:szCs w:val="21"/>
                <w:lang w:val="en-US" w:eastAsia="zh-CN"/>
              </w:rPr>
              <w:t>与淮政办秘〔2024〕8 号文件相符性</w:t>
            </w:r>
            <w:r>
              <w:rPr>
                <w:rFonts w:hint="default" w:ascii="Times New Roman" w:hAnsi="Times New Roman" w:cs="Times New Roman"/>
                <w:b/>
                <w:bCs/>
                <w:color w:val="auto"/>
                <w:szCs w:val="21"/>
              </w:rPr>
              <w:t>分析</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1"/>
              <w:gridCol w:w="2229"/>
              <w:gridCol w:w="717"/>
            </w:tblGrid>
            <w:tr w14:paraId="7D19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4" w:type="pct"/>
                  <w:noWrap w:val="0"/>
                  <w:vAlign w:val="center"/>
                </w:tcPr>
                <w:p w14:paraId="6227930E">
                  <w:pPr>
                    <w:spacing w:line="240" w:lineRule="auto"/>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文件内容</w:t>
                  </w:r>
                </w:p>
              </w:tc>
              <w:tc>
                <w:tcPr>
                  <w:tcW w:w="1343" w:type="pct"/>
                  <w:noWrap w:val="0"/>
                  <w:vAlign w:val="center"/>
                </w:tcPr>
                <w:p w14:paraId="4073539B">
                  <w:pPr>
                    <w:spacing w:line="240" w:lineRule="auto"/>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本项目建设内容</w:t>
                  </w:r>
                </w:p>
              </w:tc>
              <w:tc>
                <w:tcPr>
                  <w:tcW w:w="432" w:type="pct"/>
                  <w:noWrap w:val="0"/>
                  <w:vAlign w:val="center"/>
                </w:tcPr>
                <w:p w14:paraId="4D3D7902">
                  <w:pPr>
                    <w:spacing w:line="240" w:lineRule="auto"/>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相符性</w:t>
                  </w:r>
                </w:p>
              </w:tc>
            </w:tr>
            <w:tr w14:paraId="2D64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4" w:type="pct"/>
                  <w:noWrap w:val="0"/>
                  <w:vAlign w:val="center"/>
                </w:tcPr>
                <w:p w14:paraId="1C4E1053">
                  <w:pPr>
                    <w:widowControl/>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坚决遏制“两高”项目盲目发展。新改扩建项目严格落实国家产业规划、产业政策、产能置换、重点污染物总量控制、污染物排放区域削减、碳排放达峰目标等相关要求，采用清洁运输方式运输。严格火电、焦化行业监管，对火电、焦化、建材、水泥、化工、陶瓷等项目，实施清单管理、动态监控，严格落实省地方污染物排放标准和绩效分级差异管控，实施错峰生产和重污染天气应急管理措施；新建“两高”项目按照重污染天气A级绩效指标建设。</w:t>
                  </w:r>
                </w:p>
              </w:tc>
              <w:tc>
                <w:tcPr>
                  <w:tcW w:w="1343" w:type="pct"/>
                  <w:noWrap w:val="0"/>
                  <w:vAlign w:val="center"/>
                </w:tcPr>
                <w:p w14:paraId="4D5E4F6B">
                  <w:pPr>
                    <w:widowControl/>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szCs w:val="21"/>
                      <w:shd w:val="clear" w:color="auto" w:fill="FFFFFF"/>
                    </w:rPr>
                    <w:t>项目属于</w:t>
                  </w:r>
                  <w:r>
                    <w:rPr>
                      <w:rFonts w:hint="eastAsia" w:cs="Times New Roman"/>
                      <w:szCs w:val="21"/>
                      <w:shd w:val="clear" w:color="auto" w:fill="FFFFFF"/>
                      <w:lang w:val="en-US" w:eastAsia="zh-CN"/>
                    </w:rPr>
                    <w:t>C3029其他水泥类似制品制造</w:t>
                  </w:r>
                  <w:r>
                    <w:rPr>
                      <w:rFonts w:hint="default" w:ascii="Times New Roman" w:hAnsi="Times New Roman" w:eastAsia="宋体" w:cs="Times New Roman"/>
                      <w:szCs w:val="21"/>
                      <w:shd w:val="clear" w:color="auto" w:fill="FFFFFF"/>
                    </w:rPr>
                    <w:t>，</w:t>
                  </w:r>
                  <w:r>
                    <w:rPr>
                      <w:rFonts w:hint="default" w:ascii="Times New Roman" w:hAnsi="Times New Roman" w:eastAsia="宋体" w:cs="Times New Roman"/>
                      <w:bCs/>
                      <w:color w:val="000000" w:themeColor="text1"/>
                      <w:szCs w:val="21"/>
                      <w:lang w:bidi="en-US"/>
                      <w14:textFill>
                        <w14:solidFill>
                          <w14:schemeClr w14:val="tx1"/>
                        </w14:solidFill>
                      </w14:textFill>
                    </w:rPr>
                    <w:t>本</w:t>
                  </w:r>
                  <w:r>
                    <w:rPr>
                      <w:rFonts w:hint="default" w:ascii="Times New Roman" w:hAnsi="Times New Roman" w:eastAsia="宋体" w:cs="Times New Roman"/>
                      <w:bCs/>
                      <w:color w:val="auto"/>
                      <w:szCs w:val="21"/>
                      <w:lang w:bidi="en-US"/>
                    </w:rPr>
                    <w:t>项目利用</w:t>
                  </w:r>
                  <w:r>
                    <w:rPr>
                      <w:rFonts w:hint="default" w:ascii="Times New Roman" w:hAnsi="Times New Roman" w:eastAsia="宋体" w:cs="Times New Roman"/>
                      <w:bCs/>
                      <w:color w:val="auto"/>
                      <w:sz w:val="21"/>
                      <w:szCs w:val="21"/>
                      <w:lang w:val="en-US" w:eastAsia="zh-CN"/>
                    </w:rPr>
                    <w:t>建筑垃圾、</w:t>
                  </w:r>
                  <w:r>
                    <w:rPr>
                      <w:rFonts w:hint="default" w:ascii="Times New Roman" w:hAnsi="Times New Roman" w:eastAsia="宋体" w:cs="Times New Roman"/>
                      <w:bCs/>
                      <w:color w:val="auto"/>
                      <w:szCs w:val="21"/>
                      <w:lang w:val="en-US" w:eastAsia="zh-CN" w:bidi="en-US"/>
                    </w:rPr>
                    <w:t>煤矸石进行生产</w:t>
                  </w:r>
                  <w:r>
                    <w:rPr>
                      <w:rFonts w:hint="eastAsia" w:cs="Times New Roman"/>
                      <w:bCs/>
                      <w:color w:val="auto"/>
                      <w:szCs w:val="21"/>
                      <w:lang w:val="en-US" w:eastAsia="zh-CN" w:bidi="en-US"/>
                    </w:rPr>
                    <w:t>；</w:t>
                  </w:r>
                  <w:r>
                    <w:rPr>
                      <w:rFonts w:hint="default" w:ascii="Times New Roman" w:hAnsi="Times New Roman" w:eastAsia="宋体" w:cs="Times New Roman"/>
                      <w:szCs w:val="21"/>
                      <w:shd w:val="clear" w:color="auto" w:fill="FFFFFF"/>
                      <w:lang w:val="en-US" w:eastAsia="zh-CN"/>
                    </w:rPr>
                    <w:t>属于资源综合利用项目，</w:t>
                  </w:r>
                  <w:r>
                    <w:rPr>
                      <w:rFonts w:hint="default" w:ascii="Times New Roman" w:hAnsi="Times New Roman" w:eastAsia="宋体" w:cs="Times New Roman"/>
                      <w:szCs w:val="21"/>
                      <w:shd w:val="clear" w:color="auto" w:fill="FFFFFF"/>
                    </w:rPr>
                    <w:t>不属于所列</w:t>
                  </w:r>
                  <w:r>
                    <w:rPr>
                      <w:rFonts w:hint="default" w:ascii="Times New Roman" w:hAnsi="Times New Roman" w:eastAsia="宋体" w:cs="Times New Roman"/>
                      <w:szCs w:val="21"/>
                      <w:shd w:val="clear" w:color="auto" w:fill="FFFFFF"/>
                      <w:lang w:eastAsia="zh-CN"/>
                    </w:rPr>
                    <w:t>“</w:t>
                  </w:r>
                  <w:r>
                    <w:rPr>
                      <w:rFonts w:hint="default" w:ascii="Times New Roman" w:hAnsi="Times New Roman" w:eastAsia="宋体" w:cs="Times New Roman"/>
                      <w:szCs w:val="21"/>
                      <w:shd w:val="clear" w:color="auto" w:fill="FFFFFF"/>
                    </w:rPr>
                    <w:t>两高</w:t>
                  </w:r>
                  <w:r>
                    <w:rPr>
                      <w:rFonts w:hint="default" w:ascii="Times New Roman" w:hAnsi="Times New Roman" w:eastAsia="宋体" w:cs="Times New Roman"/>
                      <w:szCs w:val="21"/>
                      <w:shd w:val="clear" w:color="auto" w:fill="FFFFFF"/>
                      <w:lang w:eastAsia="zh-CN"/>
                    </w:rPr>
                    <w:t>”</w:t>
                  </w:r>
                  <w:r>
                    <w:rPr>
                      <w:rFonts w:hint="default" w:ascii="Times New Roman" w:hAnsi="Times New Roman" w:eastAsia="宋体" w:cs="Times New Roman"/>
                      <w:szCs w:val="21"/>
                      <w:shd w:val="clear" w:color="auto" w:fill="FFFFFF"/>
                    </w:rPr>
                    <w:t>行业。</w:t>
                  </w:r>
                </w:p>
              </w:tc>
              <w:tc>
                <w:tcPr>
                  <w:tcW w:w="432" w:type="pct"/>
                  <w:noWrap w:val="0"/>
                  <w:vAlign w:val="center"/>
                </w:tcPr>
                <w:p w14:paraId="4A3B470F">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6B03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4" w:type="pct"/>
                  <w:noWrap w:val="0"/>
                  <w:vAlign w:val="center"/>
                </w:tcPr>
                <w:p w14:paraId="4ADBB5FD">
                  <w:pPr>
                    <w:widowControl/>
                    <w:spacing w:line="240" w:lineRule="auto"/>
                    <w:rPr>
                      <w:rFonts w:hint="default" w:ascii="Times New Roman" w:hAnsi="Times New Roman" w:cs="Times New Roman"/>
                      <w:color w:val="auto"/>
                      <w:kern w:val="24"/>
                      <w:szCs w:val="21"/>
                    </w:rPr>
                  </w:pPr>
                  <w:r>
                    <w:rPr>
                      <w:rFonts w:hint="default" w:ascii="Times New Roman" w:hAnsi="Times New Roman" w:eastAsia="宋体" w:cs="Times New Roman"/>
                      <w:color w:val="auto"/>
                      <w:kern w:val="0"/>
                      <w:sz w:val="21"/>
                      <w:szCs w:val="21"/>
                      <w:highlight w:val="none"/>
                    </w:rPr>
                    <w:t>3</w:t>
                  </w:r>
                  <w:r>
                    <w:rPr>
                      <w:rFonts w:hint="eastAsia"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强化“散乱污”企业综合整治。全面排查塑料加工、人造板、木材加工、家具制造、合成革、包装印刷、石材(石料)加工、煤和矸石破碎加工(含煤球等)、粮食饲料加工、不规范搅拌站、汽车维修(抛光、打)、黑色和有色金属熔炼加工、陶瓷烧制、砖瓦窑、散状物料堆场等涉气“散乱污” 企业，实施清单管理，建立动态管理台账，明确时限、责任、措施，依法依规限期退出，推动相关产业转型升级。</w:t>
                  </w:r>
                </w:p>
              </w:tc>
              <w:tc>
                <w:tcPr>
                  <w:tcW w:w="1343" w:type="pct"/>
                  <w:noWrap w:val="0"/>
                  <w:vAlign w:val="center"/>
                </w:tcPr>
                <w:p w14:paraId="4431B552">
                  <w:pPr>
                    <w:spacing w:line="240" w:lineRule="auto"/>
                    <w:jc w:val="center"/>
                    <w:rPr>
                      <w:rFonts w:hint="default" w:ascii="Times New Roman" w:hAnsi="Times New Roman" w:eastAsia="宋体" w:cs="Times New Roman"/>
                      <w:bCs/>
                      <w:color w:val="auto"/>
                      <w:szCs w:val="21"/>
                      <w:lang w:eastAsia="zh-CN"/>
                    </w:rPr>
                  </w:pPr>
                  <w:r>
                    <w:rPr>
                      <w:rFonts w:hint="default" w:ascii="Times New Roman" w:hAnsi="Times New Roman" w:cs="Times New Roman"/>
                      <w:color w:val="auto"/>
                      <w:sz w:val="21"/>
                      <w:szCs w:val="21"/>
                    </w:rPr>
                    <w:t>项目不属于“散乱污”企业，实施清单管理，建立动态管理台账</w:t>
                  </w:r>
                </w:p>
              </w:tc>
              <w:tc>
                <w:tcPr>
                  <w:tcW w:w="432" w:type="pct"/>
                  <w:noWrap w:val="0"/>
                  <w:vAlign w:val="center"/>
                </w:tcPr>
                <w:p w14:paraId="14305175">
                  <w:pPr>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符合</w:t>
                  </w:r>
                </w:p>
              </w:tc>
            </w:tr>
            <w:tr w14:paraId="1C7F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4" w:type="pct"/>
                  <w:noWrap w:val="0"/>
                  <w:vAlign w:val="center"/>
                </w:tcPr>
                <w:p w14:paraId="54FB4625">
                  <w:pPr>
                    <w:widowControl/>
                    <w:spacing w:line="240" w:lineRule="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rPr>
                    <w:t>深入推进柴油货车专项整治。落实淮北市国三及以下排放标准营运柴油货车淘汰和奖补方案，以国三及以下排放标准的营运柴油货车为重点，通过以奖代补等方式，加快推进提前淘汰高污染老旧机动车。到2025年全面限行国三柴油货车，基本淘汰国三柴油货车、采用稀薄燃烧技术和“油改气”的老旧燃气车辆。开展国四、国五柴油车辆尾气深度治理。</w:t>
                  </w:r>
                </w:p>
              </w:tc>
              <w:tc>
                <w:tcPr>
                  <w:tcW w:w="1343" w:type="pct"/>
                  <w:noWrap w:val="0"/>
                  <w:vAlign w:val="center"/>
                </w:tcPr>
                <w:p w14:paraId="11380BB8">
                  <w:pPr>
                    <w:widowControl/>
                    <w:spacing w:line="240" w:lineRule="auto"/>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本项目运输不使用国</w:t>
                  </w:r>
                  <w:r>
                    <w:rPr>
                      <w:rFonts w:hint="eastAsia" w:ascii="Times New Roman" w:hAnsi="Times New Roman" w:eastAsia="宋体" w:cs="Times New Roman"/>
                      <w:color w:val="auto"/>
                      <w:kern w:val="0"/>
                      <w:sz w:val="21"/>
                      <w:szCs w:val="21"/>
                      <w:highlight w:val="none"/>
                      <w:lang w:eastAsia="zh-CN"/>
                    </w:rPr>
                    <w:t>五</w:t>
                  </w:r>
                  <w:r>
                    <w:rPr>
                      <w:rFonts w:hint="default" w:ascii="Times New Roman" w:hAnsi="Times New Roman" w:eastAsia="宋体" w:cs="Times New Roman"/>
                      <w:color w:val="auto"/>
                      <w:kern w:val="0"/>
                      <w:sz w:val="21"/>
                      <w:szCs w:val="21"/>
                      <w:highlight w:val="none"/>
                    </w:rPr>
                    <w:t>以下车辆运输，且厂区内使用车辆均符合《非道路移动机械管控要求》</w:t>
                  </w:r>
                </w:p>
              </w:tc>
              <w:tc>
                <w:tcPr>
                  <w:tcW w:w="432" w:type="pct"/>
                  <w:noWrap w:val="0"/>
                  <w:vAlign w:val="center"/>
                </w:tcPr>
                <w:p w14:paraId="284CE2C4">
                  <w:pPr>
                    <w:widowControl/>
                    <w:spacing w:line="240" w:lineRule="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14:paraId="20DD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4" w:type="pct"/>
                  <w:noWrap w:val="0"/>
                  <w:vAlign w:val="center"/>
                </w:tcPr>
                <w:p w14:paraId="0808B3EB">
                  <w:pPr>
                    <w:widowControl/>
                    <w:spacing w:line="240" w:lineRule="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11. </w:t>
                  </w:r>
                  <w:r>
                    <w:rPr>
                      <w:rFonts w:hint="eastAsia" w:ascii="Times New Roman" w:hAnsi="Times New Roman" w:eastAsia="宋体" w:cs="Times New Roman"/>
                      <w:color w:val="auto"/>
                      <w:kern w:val="0"/>
                      <w:sz w:val="21"/>
                      <w:szCs w:val="21"/>
                      <w:highlight w:val="none"/>
                      <w:lang w:val="en-US" w:eastAsia="zh-CN"/>
                    </w:rPr>
                    <w:t>深化扬尘污染综合治理。</w:t>
                  </w:r>
                  <w:r>
                    <w:rPr>
                      <w:rFonts w:hint="default" w:ascii="Times New Roman" w:hAnsi="Times New Roman" w:eastAsia="宋体" w:cs="Times New Roman"/>
                      <w:color w:val="auto"/>
                      <w:kern w:val="0"/>
                      <w:sz w:val="21"/>
                      <w:szCs w:val="21"/>
                      <w:highlight w:val="none"/>
                      <w:lang w:val="en-US" w:eastAsia="zh-CN"/>
                    </w:rPr>
                    <w:t>全面落实《淮北市扬尘污染防治管理办法》，加强扬尘管控的监测巡查，推进扬尘管控精细化、规范化、长效化。加大建筑施工扬尘管控力度，全面落实建成区建筑施工工地围挡及喷淋、易扬尘物料堆放覆盖、土方开挖湿法作业、施工便道硬化、出入车辆清洗、渣土车辆密闭运输“六个百分之百”，建筑面积在1万平方米以上的建筑工地应安装视频监控和空气质量在线监测设施并联网；严格落实交通、水利、露天矿山、拆除工地、混凝土（沥青）搅拌站等扬尘控制措施，加大工业扬尘污染问题排查整治，重点整治煤系固废加工利用领域扬尘污染。</w:t>
                  </w:r>
                </w:p>
              </w:tc>
              <w:tc>
                <w:tcPr>
                  <w:tcW w:w="1343" w:type="pct"/>
                  <w:noWrap w:val="0"/>
                  <w:vAlign w:val="center"/>
                </w:tcPr>
                <w:p w14:paraId="3F801801">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项目厂区内</w:t>
                  </w:r>
                  <w:r>
                    <w:rPr>
                      <w:rFonts w:hint="default" w:ascii="Times New Roman" w:hAnsi="Times New Roman" w:eastAsia="宋体" w:cs="Times New Roman"/>
                      <w:color w:val="auto"/>
                      <w:kern w:val="0"/>
                      <w:sz w:val="21"/>
                      <w:szCs w:val="21"/>
                      <w:highlight w:val="none"/>
                      <w:lang w:val="en-US" w:eastAsia="zh-CN"/>
                    </w:rPr>
                    <w:t>各工艺流程尽量减少扬尘环节；骨料库房设置封闭库房、防尘网；不定时对厂区及料棚喷雾增湿；厂内绿化外用地应全部硬化处理；设置绿化带</w:t>
                  </w:r>
                  <w:r>
                    <w:rPr>
                      <w:rFonts w:hint="eastAsia" w:ascii="Times New Roman" w:hAnsi="Times New Roman" w:eastAsia="宋体" w:cs="Times New Roman"/>
                      <w:color w:val="auto"/>
                      <w:kern w:val="0"/>
                      <w:sz w:val="21"/>
                      <w:szCs w:val="21"/>
                      <w:highlight w:val="none"/>
                      <w:lang w:val="en-US" w:eastAsia="zh-CN"/>
                    </w:rPr>
                    <w:t>；通过以上措施能有效降低扬尘排放</w:t>
                  </w:r>
                </w:p>
              </w:tc>
              <w:tc>
                <w:tcPr>
                  <w:tcW w:w="432" w:type="pct"/>
                  <w:noWrap w:val="0"/>
                  <w:vAlign w:val="center"/>
                </w:tcPr>
                <w:p w14:paraId="1033BEAD">
                  <w:pPr>
                    <w:widowControl/>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bl>
          <w:p w14:paraId="5721EB6C">
            <w:pPr>
              <w:numPr>
                <w:ilvl w:val="0"/>
                <w:numId w:val="0"/>
              </w:numPr>
              <w:autoSpaceDE w:val="0"/>
              <w:autoSpaceDN w:val="0"/>
              <w:adjustRightInd w:val="0"/>
              <w:spacing w:line="360" w:lineRule="auto"/>
              <w:ind w:firstLine="482" w:firstLineChars="200"/>
              <w:jc w:val="left"/>
              <w:rPr>
                <w:rFonts w:hint="eastAsia" w:ascii="Times New Roman" w:hAnsi="Times New Roman" w:eastAsia="宋体" w:cs="Times New Roman"/>
                <w:b/>
                <w:bCs/>
                <w:color w:val="auto"/>
                <w:sz w:val="24"/>
                <w:lang w:eastAsia="zh-CN"/>
              </w:rPr>
            </w:pPr>
            <w:r>
              <w:rPr>
                <w:rFonts w:hint="eastAsia" w:cs="Times New Roman"/>
                <w:b/>
                <w:color w:val="auto"/>
                <w:sz w:val="24"/>
                <w:szCs w:val="24"/>
                <w:lang w:val="en-US" w:eastAsia="zh-CN"/>
              </w:rPr>
              <w:t>9</w:t>
            </w:r>
            <w:r>
              <w:rPr>
                <w:rFonts w:hint="default" w:ascii="Times New Roman" w:hAnsi="Times New Roman" w:eastAsia="宋体" w:cs="Times New Roman"/>
                <w:b/>
                <w:color w:val="auto"/>
                <w:sz w:val="24"/>
                <w:szCs w:val="24"/>
              </w:rPr>
              <w:t>、</w:t>
            </w:r>
            <w:r>
              <w:rPr>
                <w:rFonts w:hint="default" w:ascii="Times New Roman" w:hAnsi="Times New Roman" w:cs="Times New Roman"/>
                <w:b/>
                <w:bCs/>
                <w:color w:val="auto"/>
                <w:sz w:val="24"/>
              </w:rPr>
              <w:t>与《环境空气细颗粒物污染综合防治技术政策》</w:t>
            </w:r>
            <w:r>
              <w:rPr>
                <w:rFonts w:hint="eastAsia" w:cs="Times New Roman"/>
                <w:b/>
                <w:bCs/>
                <w:color w:val="auto"/>
                <w:sz w:val="24"/>
                <w:lang w:eastAsia="zh-CN"/>
              </w:rPr>
              <w:t>相符性分析</w:t>
            </w:r>
          </w:p>
          <w:p w14:paraId="0E4E8395">
            <w:pPr>
              <w:numPr>
                <w:ilvl w:val="0"/>
                <w:numId w:val="0"/>
              </w:numPr>
              <w:autoSpaceDE w:val="0"/>
              <w:autoSpaceDN w:val="0"/>
              <w:adjustRightInd w:val="0"/>
              <w:spacing w:line="360" w:lineRule="auto"/>
              <w:ind w:firstLine="480" w:firstLineChars="200"/>
              <w:jc w:val="left"/>
              <w:rPr>
                <w:rFonts w:hint="default" w:ascii="Times New Roman" w:hAnsi="Times New Roman" w:eastAsia="宋体" w:cs="Times New Roman"/>
                <w:lang w:eastAsia="zh-CN"/>
              </w:rPr>
            </w:pPr>
            <w:r>
              <w:rPr>
                <w:rFonts w:hint="default" w:ascii="Times New Roman" w:hAnsi="Times New Roman" w:cs="Times New Roman"/>
                <w:b w:val="0"/>
                <w:bCs w:val="0"/>
                <w:sz w:val="24"/>
                <w:szCs w:val="24"/>
                <w:lang w:eastAsia="zh-CN"/>
              </w:rPr>
              <w:t>项目</w:t>
            </w:r>
            <w:r>
              <w:rPr>
                <w:rFonts w:hint="default" w:ascii="Times New Roman" w:hAnsi="Times New Roman" w:cs="Times New Roman"/>
                <w:b w:val="0"/>
                <w:bCs w:val="0"/>
                <w:color w:val="auto"/>
                <w:sz w:val="24"/>
                <w:szCs w:val="24"/>
              </w:rPr>
              <w:t>与《环境空气细颗粒物污染综合防治技术政策》</w:t>
            </w:r>
            <w:r>
              <w:rPr>
                <w:rFonts w:hint="eastAsia" w:cs="Times New Roman"/>
                <w:b w:val="0"/>
                <w:bCs w:val="0"/>
                <w:color w:val="auto"/>
                <w:sz w:val="24"/>
                <w:szCs w:val="24"/>
                <w:lang w:eastAsia="zh-CN"/>
              </w:rPr>
              <w:t>相符性分析</w:t>
            </w:r>
            <w:r>
              <w:rPr>
                <w:rFonts w:hint="default" w:ascii="Times New Roman" w:hAnsi="Times New Roman" w:cs="Times New Roman"/>
                <w:b w:val="0"/>
                <w:bCs w:val="0"/>
                <w:color w:val="auto"/>
                <w:sz w:val="24"/>
                <w:szCs w:val="24"/>
                <w:lang w:eastAsia="zh-CN"/>
              </w:rPr>
              <w:t>见表</w:t>
            </w:r>
            <w:r>
              <w:rPr>
                <w:rFonts w:hint="default" w:ascii="Times New Roman" w:hAnsi="Times New Roman" w:cs="Times New Roman"/>
                <w:b w:val="0"/>
                <w:bCs w:val="0"/>
                <w:color w:val="auto"/>
                <w:sz w:val="24"/>
                <w:szCs w:val="24"/>
                <w:lang w:val="en-US" w:eastAsia="zh-CN"/>
              </w:rPr>
              <w:t>1-</w:t>
            </w:r>
            <w:r>
              <w:rPr>
                <w:rFonts w:hint="eastAsia" w:cs="Times New Roman"/>
                <w:b w:val="0"/>
                <w:bCs w:val="0"/>
                <w:color w:val="auto"/>
                <w:sz w:val="24"/>
                <w:szCs w:val="24"/>
                <w:lang w:val="en-US" w:eastAsia="zh-CN"/>
              </w:rPr>
              <w:t>7</w:t>
            </w:r>
            <w:r>
              <w:rPr>
                <w:rFonts w:hint="default" w:ascii="Times New Roman" w:hAnsi="Times New Roman" w:cs="Times New Roman"/>
                <w:b w:val="0"/>
                <w:bCs w:val="0"/>
                <w:color w:val="auto"/>
                <w:sz w:val="24"/>
                <w:szCs w:val="24"/>
                <w:lang w:val="en-US" w:eastAsia="zh-CN"/>
              </w:rPr>
              <w:t>。</w:t>
            </w:r>
          </w:p>
          <w:p w14:paraId="34FF6892">
            <w:pPr>
              <w:snapToGrid w:val="0"/>
              <w:spacing w:line="240" w:lineRule="auto"/>
              <w:jc w:val="center"/>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表1-</w:t>
            </w:r>
            <w:r>
              <w:rPr>
                <w:rFonts w:hint="eastAsia" w:cs="Times New Roman"/>
                <w:b/>
                <w:bCs/>
                <w:color w:val="auto"/>
                <w:szCs w:val="21"/>
                <w:lang w:val="en-US" w:eastAsia="zh-CN"/>
              </w:rPr>
              <w:t>7</w:t>
            </w:r>
            <w:r>
              <w:rPr>
                <w:rFonts w:hint="default" w:ascii="Times New Roman" w:hAnsi="Times New Roman" w:cs="Times New Roman"/>
                <w:b/>
                <w:bCs/>
                <w:color w:val="auto"/>
                <w:szCs w:val="21"/>
              </w:rPr>
              <w:t xml:space="preserve">  与《环境空气细颗粒物污染综合防治技术政策》</w:t>
            </w:r>
            <w:r>
              <w:rPr>
                <w:rFonts w:hint="eastAsia" w:cs="Times New Roman"/>
                <w:b/>
                <w:bCs/>
                <w:color w:val="auto"/>
                <w:szCs w:val="21"/>
                <w:lang w:eastAsia="zh-CN"/>
              </w:rPr>
              <w:t>相符性分析</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7"/>
              <w:gridCol w:w="2792"/>
              <w:gridCol w:w="838"/>
            </w:tblGrid>
            <w:tr w14:paraId="4CF5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2" w:type="pct"/>
                  <w:noWrap w:val="0"/>
                  <w:vAlign w:val="center"/>
                </w:tcPr>
                <w:p w14:paraId="35A587F3">
                  <w:pPr>
                    <w:spacing w:line="240" w:lineRule="auto"/>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文件内容</w:t>
                  </w:r>
                </w:p>
              </w:tc>
              <w:tc>
                <w:tcPr>
                  <w:tcW w:w="1682" w:type="pct"/>
                  <w:noWrap w:val="0"/>
                  <w:vAlign w:val="center"/>
                </w:tcPr>
                <w:p w14:paraId="0F6A2458">
                  <w:pPr>
                    <w:spacing w:line="240" w:lineRule="auto"/>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本项目建设内容</w:t>
                  </w:r>
                </w:p>
              </w:tc>
              <w:tc>
                <w:tcPr>
                  <w:tcW w:w="505" w:type="pct"/>
                  <w:noWrap w:val="0"/>
                  <w:vAlign w:val="center"/>
                </w:tcPr>
                <w:p w14:paraId="5801CB3B">
                  <w:pPr>
                    <w:spacing w:line="240" w:lineRule="auto"/>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相符性</w:t>
                  </w:r>
                </w:p>
              </w:tc>
            </w:tr>
            <w:tr w14:paraId="4A3F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2" w:type="pct"/>
                  <w:noWrap w:val="0"/>
                  <w:vAlign w:val="center"/>
                </w:tcPr>
                <w:p w14:paraId="4AB7DFA8">
                  <w:pPr>
                    <w:spacing w:line="240" w:lineRule="auto"/>
                    <w:jc w:val="left"/>
                    <w:rPr>
                      <w:rFonts w:hint="default" w:ascii="Times New Roman" w:hAnsi="Times New Roman" w:cs="Times New Roman"/>
                      <w:bCs/>
                      <w:color w:val="auto"/>
                      <w:szCs w:val="21"/>
                    </w:rPr>
                  </w:pPr>
                  <w:r>
                    <w:rPr>
                      <w:rFonts w:hint="default" w:ascii="Times New Roman" w:hAnsi="Times New Roman" w:eastAsia="宋体" w:cs="Times New Roman"/>
                      <w:i w:val="0"/>
                      <w:iCs w:val="0"/>
                      <w:caps w:val="0"/>
                      <w:color w:val="auto"/>
                      <w:spacing w:val="0"/>
                      <w:kern w:val="2"/>
                      <w:sz w:val="21"/>
                      <w:szCs w:val="21"/>
                      <w:highlight w:val="none"/>
                      <w:shd w:val="clear" w:color="auto" w:fill="FFFFFF"/>
                      <w:lang w:val="en-US" w:eastAsia="zh-CN" w:bidi="ar-SA"/>
                    </w:rPr>
                    <w:t>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r>
                    <w:rPr>
                      <w:rFonts w:hint="default" w:ascii="Times New Roman" w:hAnsi="Times New Roman" w:cs="Times New Roman"/>
                      <w:color w:val="auto"/>
                      <w:kern w:val="24"/>
                      <w:szCs w:val="21"/>
                    </w:rPr>
                    <w:t>产生</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"https://baike.sogou.com/lemma/ShowInnerLink.htm?lemmaId=99678280&amp;ss_c=ssc.citiao.link" \t "_blank"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kern w:val="24"/>
                      <w:szCs w:val="21"/>
                    </w:rPr>
                    <w:t>大气颗粒物</w:t>
                  </w:r>
                  <w:r>
                    <w:rPr>
                      <w:rFonts w:hint="default" w:ascii="Times New Roman" w:hAnsi="Times New Roman" w:cs="Times New Roman"/>
                      <w:color w:val="auto"/>
                      <w:kern w:val="24"/>
                      <w:szCs w:val="21"/>
                    </w:rPr>
                    <w:fldChar w:fldCharType="end"/>
                  </w:r>
                  <w:r>
                    <w:rPr>
                      <w:rFonts w:hint="default" w:ascii="Times New Roman" w:hAnsi="Times New Roman" w:cs="Times New Roman"/>
                      <w:color w:val="auto"/>
                      <w:kern w:val="24"/>
                      <w:szCs w:val="21"/>
                    </w:rPr>
                    <w:t>及其前体物污染物的生产活动应尽量采用密闭装置，避免</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"https://baike.sogou.com/lemma/ShowInnerLink.htm?lemmaId=7659638&amp;ss_c=ssc.citiao.link" \t "_blank"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kern w:val="24"/>
                      <w:szCs w:val="21"/>
                    </w:rPr>
                    <w:t>无组织排放</w:t>
                  </w:r>
                  <w:r>
                    <w:rPr>
                      <w:rFonts w:hint="default" w:ascii="Times New Roman" w:hAnsi="Times New Roman" w:cs="Times New Roman"/>
                      <w:color w:val="auto"/>
                      <w:kern w:val="24"/>
                      <w:szCs w:val="21"/>
                    </w:rPr>
                    <w:fldChar w:fldCharType="end"/>
                  </w:r>
                  <w:r>
                    <w:rPr>
                      <w:rFonts w:hint="default" w:ascii="Times New Roman" w:hAnsi="Times New Roman" w:cs="Times New Roman"/>
                      <w:color w:val="auto"/>
                      <w:kern w:val="24"/>
                      <w:szCs w:val="21"/>
                    </w:rPr>
                    <w:t>；无法完全密闭的，应安装集气装置收集逸散的污染物，经净化后排放。应调整产业结构，强化</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"https://baike.sogou.com/lemma/ShowInnerLink.htm?lemmaId=68402&amp;ss_c=ssc.citiao.link" \t "_blank"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kern w:val="24"/>
                      <w:szCs w:val="21"/>
                    </w:rPr>
                    <w:t>规划环评</w:t>
                  </w:r>
                  <w:r>
                    <w:rPr>
                      <w:rFonts w:hint="default" w:ascii="Times New Roman" w:hAnsi="Times New Roman" w:cs="Times New Roman"/>
                      <w:color w:val="auto"/>
                      <w:kern w:val="24"/>
                      <w:szCs w:val="21"/>
                    </w:rPr>
                    <w:fldChar w:fldCharType="end"/>
                  </w:r>
                  <w:r>
                    <w:rPr>
                      <w:rFonts w:hint="default" w:ascii="Times New Roman" w:hAnsi="Times New Roman" w:cs="Times New Roman"/>
                      <w:color w:val="auto"/>
                      <w:kern w:val="24"/>
                      <w:szCs w:val="21"/>
                    </w:rPr>
                    <w:t>和</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"https://baike.sogou.com/lemma/ShowInnerLink.htm?lemmaId=63132681&amp;ss_c=ssc.citiao.link" \t "_blank"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kern w:val="24"/>
                      <w:szCs w:val="21"/>
                    </w:rPr>
                    <w:t>项目环评</w:t>
                  </w:r>
                  <w:r>
                    <w:rPr>
                      <w:rFonts w:hint="default" w:ascii="Times New Roman" w:hAnsi="Times New Roman" w:cs="Times New Roman"/>
                      <w:color w:val="auto"/>
                      <w:kern w:val="24"/>
                      <w:szCs w:val="21"/>
                    </w:rPr>
                    <w:fldChar w:fldCharType="end"/>
                  </w:r>
                  <w:r>
                    <w:rPr>
                      <w:rFonts w:hint="default" w:ascii="Times New Roman" w:hAnsi="Times New Roman" w:cs="Times New Roman"/>
                      <w:color w:val="auto"/>
                      <w:kern w:val="24"/>
                      <w:szCs w:val="21"/>
                    </w:rPr>
                    <w:t>，严格实施准入制度，必要时对重点区域和重点行业采取限批措施；淘汰落后产能，形成合理的产业分布空间格局。</w:t>
                  </w:r>
                </w:p>
              </w:tc>
              <w:tc>
                <w:tcPr>
                  <w:tcW w:w="1682" w:type="pct"/>
                  <w:noWrap w:val="0"/>
                  <w:vAlign w:val="center"/>
                </w:tcPr>
                <w:p w14:paraId="0A588406">
                  <w:pPr>
                    <w:spacing w:line="240" w:lineRule="auto"/>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本项目不属于落后产能，</w:t>
                  </w:r>
                  <w:r>
                    <w:rPr>
                      <w:rFonts w:hint="default" w:ascii="Times New Roman" w:hAnsi="Times New Roman" w:cs="Times New Roman"/>
                      <w:color w:val="auto"/>
                      <w:szCs w:val="21"/>
                    </w:rPr>
                    <w:t>本项目</w:t>
                  </w:r>
                  <w:r>
                    <w:rPr>
                      <w:rFonts w:hint="default" w:ascii="Times New Roman" w:hAnsi="Times New Roman" w:eastAsia="宋体" w:cs="Times New Roman"/>
                      <w:color w:val="auto"/>
                      <w:sz w:val="21"/>
                      <w:szCs w:val="21"/>
                      <w:lang w:val="en-US" w:eastAsia="zh-CN"/>
                    </w:rPr>
                    <w:t>破碎筛分废气经集气罩收集+布袋除尘器处理后经15米高排气筒</w:t>
                  </w:r>
                  <w:r>
                    <w:rPr>
                      <w:rFonts w:hint="eastAsia" w:cs="Times New Roman"/>
                      <w:color w:val="auto"/>
                      <w:sz w:val="21"/>
                      <w:szCs w:val="21"/>
                      <w:lang w:val="en-US" w:eastAsia="zh-CN"/>
                    </w:rPr>
                    <w:t>DA001</w:t>
                  </w:r>
                  <w:r>
                    <w:rPr>
                      <w:rFonts w:hint="default" w:ascii="Times New Roman" w:hAnsi="Times New Roman" w:eastAsia="宋体" w:cs="Times New Roman"/>
                      <w:color w:val="auto"/>
                      <w:sz w:val="21"/>
                      <w:szCs w:val="21"/>
                      <w:lang w:val="en-US" w:eastAsia="zh-CN"/>
                    </w:rPr>
                    <w:t>排放</w:t>
                  </w:r>
                  <w:r>
                    <w:rPr>
                      <w:rFonts w:hint="default" w:ascii="Times New Roman" w:hAnsi="Times New Roman" w:cs="Times New Roman"/>
                      <w:color w:val="auto"/>
                      <w:kern w:val="0"/>
                      <w:szCs w:val="21"/>
                      <w:lang w:eastAsia="zh-CN"/>
                    </w:rPr>
                    <w:t>。</w:t>
                  </w:r>
                </w:p>
              </w:tc>
              <w:tc>
                <w:tcPr>
                  <w:tcW w:w="505" w:type="pct"/>
                  <w:noWrap w:val="0"/>
                  <w:vAlign w:val="center"/>
                </w:tcPr>
                <w:p w14:paraId="5C0AB8DE">
                  <w:pPr>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5468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2" w:type="pct"/>
                  <w:noWrap w:val="0"/>
                  <w:vAlign w:val="center"/>
                </w:tcPr>
                <w:p w14:paraId="2C577446">
                  <w:pPr>
                    <w:adjustRightInd w:val="0"/>
                    <w:snapToGrid w:val="0"/>
                    <w:spacing w:beforeLines="50" w:line="240" w:lineRule="auto"/>
                    <w:jc w:val="center"/>
                    <w:rPr>
                      <w:rFonts w:hint="default" w:ascii="Times New Roman" w:hAnsi="Times New Roman" w:eastAsia="宋体" w:cs="Times New Roman"/>
                      <w:i w:val="0"/>
                      <w:iCs w:val="0"/>
                      <w:caps w:val="0"/>
                      <w:color w:val="auto"/>
                      <w:spacing w:val="0"/>
                      <w:kern w:val="2"/>
                      <w:sz w:val="21"/>
                      <w:szCs w:val="21"/>
                      <w:highlight w:val="none"/>
                      <w:shd w:val="clear" w:color="auto" w:fill="FFFFFF"/>
                      <w:lang w:val="en-US" w:eastAsia="zh-CN" w:bidi="ar-SA"/>
                    </w:rPr>
                  </w:pPr>
                  <w:r>
                    <w:rPr>
                      <w:rFonts w:hint="default" w:ascii="Times New Roman" w:hAnsi="Times New Roman" w:cs="Times New Roman"/>
                      <w:sz w:val="21"/>
                      <w:szCs w:val="21"/>
                    </w:rPr>
                    <w:t>应根据各地气象条件、细颗粒物与前体污染物来源、污染源分布情况，制定环境空气重污染应急预案及预警响应程序，包括紧急限产和临时停产的排污企业和设施名单、车辆限行方案、扬尘管控措施等。</w:t>
                  </w:r>
                </w:p>
              </w:tc>
              <w:tc>
                <w:tcPr>
                  <w:tcW w:w="1682" w:type="pct"/>
                  <w:noWrap w:val="0"/>
                  <w:vAlign w:val="center"/>
                </w:tcPr>
                <w:p w14:paraId="7CA6B056">
                  <w:pPr>
                    <w:widowControl w:val="0"/>
                    <w:adjustRightInd w:val="0"/>
                    <w:spacing w:line="240" w:lineRule="auto"/>
                    <w:ind w:left="0" w:leftChars="0" w:firstLine="0" w:firstLineChars="0"/>
                    <w:jc w:val="both"/>
                    <w:rPr>
                      <w:rFonts w:hint="default" w:ascii="Times New Roman" w:hAnsi="Times New Roman" w:cs="Times New Roman"/>
                      <w:bCs/>
                      <w:color w:val="auto"/>
                      <w:szCs w:val="21"/>
                    </w:rPr>
                  </w:pPr>
                  <w:r>
                    <w:rPr>
                      <w:rFonts w:hint="default" w:ascii="Times New Roman" w:hAnsi="Times New Roman" w:eastAsia="宋体" w:cs="Times New Roman"/>
                      <w:i w:val="0"/>
                      <w:iCs w:val="0"/>
                      <w:caps w:val="0"/>
                      <w:color w:val="000000" w:themeColor="text1"/>
                      <w:spacing w:val="0"/>
                      <w:kern w:val="2"/>
                      <w:sz w:val="21"/>
                      <w:szCs w:val="21"/>
                      <w:highlight w:val="none"/>
                      <w:shd w:val="clear" w:color="auto" w:fill="FFFFFF"/>
                      <w:lang w:val="en-US" w:eastAsia="zh-CN" w:bidi="ar-SA"/>
                      <w14:textFill>
                        <w14:solidFill>
                          <w14:schemeClr w14:val="tx1"/>
                        </w14:solidFill>
                      </w14:textFill>
                    </w:rPr>
                    <w:t>本项目严格按照要求制定环境空气重污染应急预案及预警响应程序</w:t>
                  </w:r>
                  <w:r>
                    <w:rPr>
                      <w:rFonts w:hint="default" w:ascii="Times New Roman" w:hAnsi="Times New Roman" w:cs="Times New Roman"/>
                      <w:i w:val="0"/>
                      <w:iCs w:val="0"/>
                      <w:caps w:val="0"/>
                      <w:color w:val="000000" w:themeColor="text1"/>
                      <w:spacing w:val="0"/>
                      <w:kern w:val="2"/>
                      <w:sz w:val="21"/>
                      <w:szCs w:val="21"/>
                      <w:highlight w:val="none"/>
                      <w:shd w:val="clear" w:color="auto" w:fill="FFFFFF"/>
                      <w:lang w:val="en-US" w:eastAsia="zh-CN" w:bidi="ar-SA"/>
                      <w14:textFill>
                        <w14:solidFill>
                          <w14:schemeClr w14:val="tx1"/>
                        </w14:solidFill>
                      </w14:textFill>
                    </w:rPr>
                    <w:t>。</w:t>
                  </w:r>
                </w:p>
              </w:tc>
              <w:tc>
                <w:tcPr>
                  <w:tcW w:w="505" w:type="pct"/>
                  <w:noWrap w:val="0"/>
                  <w:vAlign w:val="center"/>
                </w:tcPr>
                <w:p w14:paraId="67D6E2DC">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eastAsia="宋体" w:cs="Times New Roman"/>
                      <w:sz w:val="21"/>
                      <w:szCs w:val="21"/>
                      <w:lang w:val="en-US" w:eastAsia="zh-CN"/>
                    </w:rPr>
                    <w:t>符合</w:t>
                  </w:r>
                </w:p>
              </w:tc>
            </w:tr>
          </w:tbl>
          <w:p w14:paraId="3E8CC99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10</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rPr>
              <w:t>三线一单</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rPr>
              <w:t>相符性分析</w:t>
            </w:r>
          </w:p>
          <w:p w14:paraId="01E5E5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根据安徽省生态环境厅发布的《安徽省“三线一单”生态环境分区管控管理办法（暂行）》（皖环发〔2022〕5号）（以下简称《办法》），《办法》要求“在建设项目环评中，做好与“三线一单”生态环境分区管控相符性分析，充分论证是否符合生态环境准入清单要求”。本项目与“三线一单”符合性分析见下表1-</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p>
          <w:p w14:paraId="5A10266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表1-</w:t>
            </w:r>
            <w:r>
              <w:rPr>
                <w:rFonts w:hint="eastAsia" w:cs="Times New Roman"/>
                <w:b/>
                <w:bCs/>
                <w:color w:val="auto"/>
                <w:sz w:val="22"/>
                <w:szCs w:val="22"/>
                <w:lang w:val="en-US" w:eastAsia="zh-CN"/>
              </w:rPr>
              <w:t>8</w:t>
            </w:r>
            <w:r>
              <w:rPr>
                <w:rFonts w:hint="default" w:ascii="Times New Roman" w:hAnsi="Times New Roman" w:eastAsia="宋体" w:cs="Times New Roman"/>
                <w:b/>
                <w:bCs/>
                <w:color w:val="auto"/>
                <w:sz w:val="22"/>
                <w:szCs w:val="22"/>
                <w:lang w:val="en-US" w:eastAsia="zh-CN"/>
              </w:rPr>
              <w:t>项目与“三线一单”符合性分析一览表</w:t>
            </w:r>
          </w:p>
          <w:tbl>
            <w:tblPr>
              <w:tblStyle w:val="47"/>
              <w:tblW w:w="49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46"/>
              <w:gridCol w:w="4125"/>
              <w:gridCol w:w="3592"/>
            </w:tblGrid>
            <w:tr w14:paraId="3AE99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noWrap w:val="0"/>
                  <w:vAlign w:val="center"/>
                </w:tcPr>
                <w:p w14:paraId="629307B8">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tc>
              <w:tc>
                <w:tcPr>
                  <w:tcW w:w="2495" w:type="pct"/>
                  <w:tcBorders>
                    <w:tl2br w:val="nil"/>
                    <w:tr2bl w:val="nil"/>
                  </w:tcBorders>
                  <w:noWrap w:val="0"/>
                  <w:vAlign w:val="center"/>
                </w:tcPr>
                <w:p w14:paraId="1FFCFC60">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相关要求</w:t>
                  </w:r>
                </w:p>
              </w:tc>
              <w:tc>
                <w:tcPr>
                  <w:tcW w:w="2173" w:type="pct"/>
                  <w:tcBorders>
                    <w:tl2br w:val="nil"/>
                    <w:tr2bl w:val="nil"/>
                  </w:tcBorders>
                  <w:noWrap w:val="0"/>
                  <w:vAlign w:val="center"/>
                </w:tcPr>
                <w:p w14:paraId="5E8C3F0A">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符合性分析</w:t>
                  </w:r>
                </w:p>
              </w:tc>
            </w:tr>
            <w:tr w14:paraId="37186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2" w:hRule="atLeast"/>
                <w:jc w:val="center"/>
              </w:trPr>
              <w:tc>
                <w:tcPr>
                  <w:tcW w:w="330" w:type="pct"/>
                  <w:vMerge w:val="restart"/>
                  <w:tcBorders>
                    <w:tl2br w:val="nil"/>
                    <w:tr2bl w:val="nil"/>
                  </w:tcBorders>
                  <w:noWrap w:val="0"/>
                  <w:vAlign w:val="center"/>
                </w:tcPr>
                <w:p w14:paraId="064AFACF">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2495" w:type="pct"/>
                  <w:tcBorders>
                    <w:tl2br w:val="nil"/>
                    <w:tr2bl w:val="nil"/>
                  </w:tcBorders>
                  <w:noWrap w:val="0"/>
                  <w:vAlign w:val="center"/>
                </w:tcPr>
                <w:p w14:paraId="48FA7D6B">
                  <w:pPr>
                    <w:keepLines w:val="0"/>
                    <w:pageBreakBefore w:val="0"/>
                    <w:kinsoku/>
                    <w:topLinePunct w:val="0"/>
                    <w:autoSpaceDE w:val="0"/>
                    <w:autoSpaceDN w:val="0"/>
                    <w:bidi w:val="0"/>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安徽省人民政府关于发布安徽省生态保护红线的通知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皖政秘〔2018〕120号）及《安徽省生态保护红线》可知：安徽省生态保护红线基本空间格局为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两屏两轴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两屏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为皖西山地生态屏障和皖南山地丘陵生态屏障，主要生态功能为水源涵养、水土保持与生物多样性维护；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两轴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为长江干流及沿江湿地生态廊道、淮河干流及沿淮湿地生态廊道，主要生态功能为湿地生物多样性维护。</w:t>
                  </w:r>
                </w:p>
              </w:tc>
              <w:tc>
                <w:tcPr>
                  <w:tcW w:w="2173" w:type="pct"/>
                  <w:vMerge w:val="restart"/>
                  <w:tcBorders>
                    <w:tl2br w:val="nil"/>
                    <w:tr2bl w:val="nil"/>
                  </w:tcBorders>
                  <w:noWrap w:val="0"/>
                  <w:vAlign w:val="center"/>
                </w:tcPr>
                <w:p w14:paraId="5E8DE6C9">
                  <w:pPr>
                    <w:keepLines w:val="0"/>
                    <w:pageBreakBefore w:val="0"/>
                    <w:kinsoku/>
                    <w:topLinePunct w:val="0"/>
                    <w:autoSpaceDE w:val="0"/>
                    <w:autoSpaceDN w:val="0"/>
                    <w:bidi w:val="0"/>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lang w:val="en-US" w:eastAsia="zh-CN"/>
                    </w:rPr>
                    <w:t>安徽省淮北市濉溪县双堆集镇陈桥村</w:t>
                  </w:r>
                  <w:r>
                    <w:rPr>
                      <w:rFonts w:hint="default" w:ascii="Times New Roman" w:hAnsi="Times New Roman" w:eastAsia="宋体" w:cs="Times New Roman"/>
                      <w:color w:val="auto"/>
                      <w:sz w:val="21"/>
                      <w:szCs w:val="21"/>
                      <w:highlight w:val="none"/>
                    </w:rPr>
                    <w:t>，根据安徽省生态保护红线-淮北市生态保护红线示意图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见附图</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，生态保护红线主要集中在安徽相山国家森林自然公园、萧县永堌省级森林自然公园、萧县防风固沙生态保护区、杜集区生物多样性维护保护区</w:t>
                  </w:r>
                  <w:r>
                    <w:rPr>
                      <w:rFonts w:hint="default" w:ascii="Times New Roman" w:hAnsi="Times New Roman" w:eastAsia="宋体" w:cs="Times New Roman"/>
                      <w:color w:val="auto"/>
                      <w:sz w:val="21"/>
                      <w:szCs w:val="21"/>
                      <w:highlight w:val="none"/>
                      <w:lang w:val="en-US" w:eastAsia="zh-CN"/>
                    </w:rPr>
                    <w:t>及南湖、绿金湖和凤栖湖</w:t>
                  </w:r>
                  <w:r>
                    <w:rPr>
                      <w:rFonts w:hint="default" w:ascii="Times New Roman" w:hAnsi="Times New Roman" w:eastAsia="宋体" w:cs="Times New Roman"/>
                      <w:color w:val="auto"/>
                      <w:sz w:val="21"/>
                      <w:szCs w:val="21"/>
                      <w:highlight w:val="none"/>
                    </w:rPr>
                    <w:t>湿地。其中，</w:t>
                  </w:r>
                  <w:r>
                    <w:rPr>
                      <w:rFonts w:hint="default" w:ascii="Times New Roman" w:hAnsi="Times New Roman" w:eastAsia="宋体" w:cs="Times New Roman"/>
                      <w:color w:val="auto"/>
                      <w:sz w:val="21"/>
                      <w:szCs w:val="21"/>
                      <w:highlight w:val="none"/>
                      <w:lang w:val="en-US" w:eastAsia="zh-CN"/>
                    </w:rPr>
                    <w:t>濉溪县</w:t>
                  </w:r>
                  <w:r>
                    <w:rPr>
                      <w:rFonts w:hint="default" w:ascii="Times New Roman" w:hAnsi="Times New Roman" w:eastAsia="宋体" w:cs="Times New Roman"/>
                      <w:color w:val="auto"/>
                      <w:sz w:val="21"/>
                      <w:szCs w:val="21"/>
                      <w:highlight w:val="none"/>
                    </w:rPr>
                    <w:t>划定生态保护红线约3.83</w:t>
                  </w:r>
                  <w:r>
                    <w:rPr>
                      <w:rFonts w:hint="default" w:ascii="Times New Roman" w:hAnsi="Times New Roman" w:eastAsia="宋体" w:cs="Times New Roman"/>
                      <w:color w:val="auto"/>
                      <w:sz w:val="21"/>
                      <w:szCs w:val="21"/>
                      <w:highlight w:val="none"/>
                      <w:lang w:val="en-US" w:eastAsia="zh-CN"/>
                    </w:rPr>
                    <w:t>平方公里</w:t>
                  </w:r>
                  <w:r>
                    <w:rPr>
                      <w:rFonts w:hint="default" w:ascii="Times New Roman" w:hAnsi="Times New Roman" w:eastAsia="宋体" w:cs="Times New Roman"/>
                      <w:color w:val="auto"/>
                      <w:sz w:val="21"/>
                      <w:szCs w:val="21"/>
                      <w:highlight w:val="none"/>
                    </w:rPr>
                    <w:t>。本项目影响范围内无自然保护区、风景名胜区、森林公园、地质公园、重要湿地等特殊生态敏感区以及重要生态敏感区，不在划定的生态保护红线范围之内。</w:t>
                  </w:r>
                </w:p>
              </w:tc>
            </w:tr>
            <w:tr w14:paraId="45A1A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2" w:hRule="atLeast"/>
                <w:jc w:val="center"/>
              </w:trPr>
              <w:tc>
                <w:tcPr>
                  <w:tcW w:w="330" w:type="pct"/>
                  <w:vMerge w:val="continue"/>
                  <w:tcBorders>
                    <w:tl2br w:val="nil"/>
                    <w:tr2bl w:val="nil"/>
                  </w:tcBorders>
                  <w:noWrap w:val="0"/>
                  <w:vAlign w:val="center"/>
                </w:tcPr>
                <w:p w14:paraId="15B9F4B7">
                  <w:pPr>
                    <w:keepLines w:val="0"/>
                    <w:pageBreakBefore w:val="0"/>
                    <w:kinsoku/>
                    <w:topLinePunct w:val="0"/>
                    <w:autoSpaceDE w:val="0"/>
                    <w:autoSpaceDN w:val="0"/>
                    <w:bidi w:val="0"/>
                    <w:adjustRightInd w:val="0"/>
                    <w:snapToGrid w:val="0"/>
                    <w:rPr>
                      <w:rFonts w:hint="default" w:ascii="Times New Roman" w:hAnsi="Times New Roman" w:eastAsia="宋体" w:cs="Times New Roman"/>
                      <w:color w:val="auto"/>
                      <w:sz w:val="21"/>
                      <w:szCs w:val="21"/>
                      <w:highlight w:val="none"/>
                    </w:rPr>
                  </w:pPr>
                </w:p>
              </w:tc>
              <w:tc>
                <w:tcPr>
                  <w:tcW w:w="2495" w:type="pct"/>
                  <w:tcBorders>
                    <w:tl2br w:val="nil"/>
                    <w:tr2bl w:val="nil"/>
                  </w:tcBorders>
                  <w:noWrap w:val="0"/>
                  <w:vAlign w:val="center"/>
                </w:tcPr>
                <w:p w14:paraId="42DB6261">
                  <w:pPr>
                    <w:keepLines w:val="0"/>
                    <w:pageBreakBefore w:val="0"/>
                    <w:kinsoku/>
                    <w:topLinePunct w:val="0"/>
                    <w:autoSpaceDE w:val="0"/>
                    <w:autoSpaceDN w:val="0"/>
                    <w:bidi w:val="0"/>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根据202</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月淮北市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三线一单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文件内容，淮北市内涉及的生态保护红线区规定内容有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安徽大方寺省级自然保护区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五柳风景名胜区）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相山区安徽相山国家森林公园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南湖、绿金湖和凤栖湖</w:t>
                  </w:r>
                  <w:r>
                    <w:rPr>
                      <w:rFonts w:hint="default" w:ascii="Times New Roman" w:hAnsi="Times New Roman" w:eastAsia="宋体" w:cs="Times New Roman"/>
                      <w:color w:val="auto"/>
                      <w:sz w:val="21"/>
                      <w:szCs w:val="21"/>
                      <w:highlight w:val="none"/>
                    </w:rPr>
                    <w:t>湿地，是淮北市生态红线及一般生态空间，是需要优先保护的区域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p>
              </w:tc>
              <w:tc>
                <w:tcPr>
                  <w:tcW w:w="2173" w:type="pct"/>
                  <w:vMerge w:val="continue"/>
                  <w:tcBorders>
                    <w:tl2br w:val="nil"/>
                    <w:tr2bl w:val="nil"/>
                  </w:tcBorders>
                  <w:noWrap w:val="0"/>
                  <w:vAlign w:val="center"/>
                </w:tcPr>
                <w:p w14:paraId="12538F92">
                  <w:pPr>
                    <w:keepLines w:val="0"/>
                    <w:pageBreakBefore w:val="0"/>
                    <w:kinsoku/>
                    <w:topLinePunct w:val="0"/>
                    <w:autoSpaceDE w:val="0"/>
                    <w:autoSpaceDN w:val="0"/>
                    <w:bidi w:val="0"/>
                    <w:adjustRightInd w:val="0"/>
                    <w:snapToGrid w:val="0"/>
                    <w:rPr>
                      <w:rFonts w:hint="default" w:ascii="Times New Roman" w:hAnsi="Times New Roman" w:eastAsia="宋体" w:cs="Times New Roman"/>
                      <w:color w:val="auto"/>
                      <w:sz w:val="21"/>
                      <w:szCs w:val="21"/>
                      <w:highlight w:val="none"/>
                    </w:rPr>
                  </w:pPr>
                </w:p>
              </w:tc>
            </w:tr>
            <w:tr w14:paraId="2B69A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noWrap w:val="0"/>
                  <w:vAlign w:val="center"/>
                </w:tcPr>
                <w:p w14:paraId="6EABA945">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w:t>
                  </w:r>
                </w:p>
              </w:tc>
              <w:tc>
                <w:tcPr>
                  <w:tcW w:w="2495" w:type="pct"/>
                  <w:tcBorders>
                    <w:tl2br w:val="nil"/>
                    <w:tr2bl w:val="nil"/>
                  </w:tcBorders>
                  <w:noWrap w:val="0"/>
                  <w:vAlign w:val="center"/>
                </w:tcPr>
                <w:p w14:paraId="26CAC1AC">
                  <w:pPr>
                    <w:keepLines w:val="0"/>
                    <w:pageBreakBefore w:val="0"/>
                    <w:kinsoku/>
                    <w:topLinePunct w:val="0"/>
                    <w:autoSpaceDE w:val="0"/>
                    <w:autoSpaceDN w:val="0"/>
                    <w:bidi w:val="0"/>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资源是环境的载体，资源利用上线是各地区能源、水、土地等资源消耗不得突破的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天花板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173" w:type="pct"/>
                  <w:tcBorders>
                    <w:tl2br w:val="nil"/>
                    <w:tr2bl w:val="nil"/>
                  </w:tcBorders>
                  <w:noWrap w:val="0"/>
                  <w:vAlign w:val="center"/>
                </w:tcPr>
                <w:p w14:paraId="47CAE9D5">
                  <w:pPr>
                    <w:keepLines w:val="0"/>
                    <w:pageBreakBefore w:val="0"/>
                    <w:kinsoku/>
                    <w:topLinePunct w:val="0"/>
                    <w:autoSpaceDE w:val="0"/>
                    <w:autoSpaceDN w:val="0"/>
                    <w:bidi w:val="0"/>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lang w:val="en-US" w:eastAsia="zh-CN"/>
                    </w:rPr>
                    <w:t>安徽省淮北市濉溪县双堆集镇陈桥村</w:t>
                  </w:r>
                  <w:r>
                    <w:rPr>
                      <w:rFonts w:hint="default" w:ascii="Times New Roman" w:hAnsi="Times New Roman" w:eastAsia="宋体" w:cs="Times New Roman"/>
                      <w:color w:val="auto"/>
                      <w:sz w:val="21"/>
                      <w:szCs w:val="21"/>
                      <w:highlight w:val="none"/>
                    </w:rPr>
                    <w:t>，运营过程中主要资源为水和电，水由</w:t>
                  </w:r>
                  <w:r>
                    <w:rPr>
                      <w:rFonts w:hint="default" w:ascii="Times New Roman" w:hAnsi="Times New Roman" w:eastAsia="宋体" w:cs="Times New Roman"/>
                      <w:color w:val="auto"/>
                      <w:sz w:val="21"/>
                      <w:szCs w:val="21"/>
                      <w:highlight w:val="none"/>
                      <w:lang w:val="en-US" w:eastAsia="zh-CN"/>
                    </w:rPr>
                    <w:t>市政</w:t>
                  </w:r>
                  <w:r>
                    <w:rPr>
                      <w:rFonts w:hint="default" w:ascii="Times New Roman" w:hAnsi="Times New Roman" w:eastAsia="宋体" w:cs="Times New Roman"/>
                      <w:color w:val="auto"/>
                      <w:sz w:val="21"/>
                      <w:szCs w:val="21"/>
                      <w:highlight w:val="none"/>
                    </w:rPr>
                    <w:t>供水管网统一供水，电力由</w:t>
                  </w:r>
                  <w:r>
                    <w:rPr>
                      <w:rFonts w:hint="default" w:ascii="Times New Roman" w:hAnsi="Times New Roman" w:eastAsia="宋体" w:cs="Times New Roman"/>
                      <w:color w:val="auto"/>
                      <w:sz w:val="21"/>
                      <w:szCs w:val="21"/>
                      <w:highlight w:val="none"/>
                      <w:lang w:val="en-US" w:eastAsia="zh-CN"/>
                    </w:rPr>
                    <w:t>市政</w:t>
                  </w:r>
                  <w:r>
                    <w:rPr>
                      <w:rFonts w:hint="default" w:ascii="Times New Roman" w:hAnsi="Times New Roman" w:eastAsia="宋体" w:cs="Times New Roman"/>
                      <w:color w:val="auto"/>
                      <w:sz w:val="21"/>
                      <w:szCs w:val="21"/>
                      <w:highlight w:val="none"/>
                    </w:rPr>
                    <w:t>电网供应，项目用地为</w:t>
                  </w:r>
                  <w:r>
                    <w:rPr>
                      <w:rFonts w:hint="default" w:ascii="Times New Roman" w:hAnsi="Times New Roman" w:eastAsia="宋体" w:cs="Times New Roman"/>
                      <w:color w:val="auto"/>
                      <w:sz w:val="21"/>
                      <w:szCs w:val="21"/>
                      <w:highlight w:val="none"/>
                      <w:lang w:val="en-US" w:eastAsia="zh-CN"/>
                    </w:rPr>
                    <w:t>建筑用地</w:t>
                  </w:r>
                  <w:r>
                    <w:rPr>
                      <w:rFonts w:hint="default" w:ascii="Times New Roman" w:hAnsi="Times New Roman" w:eastAsia="宋体" w:cs="Times New Roman"/>
                      <w:color w:val="auto"/>
                      <w:sz w:val="21"/>
                      <w:szCs w:val="21"/>
                      <w:highlight w:val="none"/>
                    </w:rPr>
                    <w:t>，本项目不会突破当地资源利用上线。</w:t>
                  </w:r>
                </w:p>
              </w:tc>
            </w:tr>
            <w:tr w14:paraId="7F05E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noWrap w:val="0"/>
                  <w:vAlign w:val="center"/>
                </w:tcPr>
                <w:p w14:paraId="3A9DDEEC">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2495" w:type="pct"/>
                  <w:tcBorders>
                    <w:tl2br w:val="nil"/>
                    <w:tr2bl w:val="nil"/>
                  </w:tcBorders>
                  <w:noWrap w:val="0"/>
                  <w:vAlign w:val="center"/>
                </w:tcPr>
                <w:p w14:paraId="246C80D5">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173" w:type="pct"/>
                  <w:tcBorders>
                    <w:tl2br w:val="nil"/>
                    <w:tr2bl w:val="nil"/>
                  </w:tcBorders>
                  <w:noWrap w:val="0"/>
                  <w:vAlign w:val="center"/>
                </w:tcPr>
                <w:p w14:paraId="0478AFE0">
                  <w:pPr>
                    <w:keepLines w:val="0"/>
                    <w:pageBreakBefore w:val="0"/>
                    <w:kinsoku/>
                    <w:topLinePunct w:val="0"/>
                    <w:autoSpaceDE w:val="0"/>
                    <w:autoSpaceDN w:val="0"/>
                    <w:bidi w:val="0"/>
                    <w:adjustRightInd w:val="0"/>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依据《202</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年度淮北市生态环境状况公报》可知项目区域内大气环境、地表水环境和声环境质量状况如下：项目评价区域的</w:t>
                  </w:r>
                  <w:r>
                    <w:rPr>
                      <w:rFonts w:hint="default" w:ascii="Times New Roman" w:hAnsi="Times New Roman" w:eastAsia="宋体" w:cs="Times New Roman"/>
                      <w:color w:val="auto"/>
                      <w:sz w:val="21"/>
                      <w:szCs w:val="21"/>
                      <w:highlight w:val="none"/>
                      <w:lang w:val="en-US" w:eastAsia="zh-CN"/>
                    </w:rPr>
                    <w:t>PM2.5年平均浓度、O3最大8h平均浓度</w:t>
                  </w:r>
                  <w:r>
                    <w:rPr>
                      <w:rFonts w:hint="default" w:ascii="Times New Roman" w:hAnsi="Times New Roman" w:eastAsia="宋体" w:cs="Times New Roman"/>
                      <w:color w:val="auto"/>
                      <w:sz w:val="21"/>
                      <w:szCs w:val="21"/>
                      <w:highlight w:val="none"/>
                    </w:rPr>
                    <w:t>均不满足《环境空气质量标准》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GB309</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-2012）</w:t>
                  </w:r>
                  <w:r>
                    <w:rPr>
                      <w:rFonts w:hint="default" w:ascii="Times New Roman" w:hAnsi="Times New Roman"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rPr>
                    <w:t>二级标准</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修改单要求；项目</w:t>
                  </w:r>
                  <w:r>
                    <w:rPr>
                      <w:rFonts w:hint="default" w:ascii="Times New Roman" w:hAnsi="Times New Roman" w:eastAsia="宋体" w:cs="Times New Roman"/>
                      <w:color w:val="auto"/>
                      <w:sz w:val="21"/>
                      <w:szCs w:val="21"/>
                      <w:highlight w:val="none"/>
                      <w:lang w:val="en-US" w:eastAsia="zh-CN"/>
                    </w:rPr>
                    <w:t>区域地表水澥河</w:t>
                  </w:r>
                  <w:r>
                    <w:rPr>
                      <w:rFonts w:hint="default" w:ascii="Times New Roman" w:hAnsi="Times New Roman" w:eastAsia="宋体" w:cs="Times New Roman"/>
                      <w:color w:val="auto"/>
                      <w:sz w:val="21"/>
                      <w:szCs w:val="21"/>
                      <w:highlight w:val="none"/>
                    </w:rPr>
                    <w:t>水质满足《地表水环境质量标准》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GB3838-2002）</w:t>
                  </w:r>
                  <w:r>
                    <w:rPr>
                      <w:rFonts w:hint="default" w:ascii="Times New Roman" w:hAnsi="Times New Roman" w:eastAsia="宋体" w:cs="Times New Roman"/>
                      <w:color w:val="auto"/>
                      <w:sz w:val="21"/>
                      <w:szCs w:val="21"/>
                      <w:highlight w:val="none"/>
                      <w:lang w:val="en-US" w:eastAsia="zh-CN"/>
                    </w:rPr>
                    <w:t>III</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rPr>
                    <w:t>经过环保设施处理后能够稳定达标排放，对周围空气质量影响较小；</w:t>
                  </w:r>
                  <w:r>
                    <w:rPr>
                      <w:rFonts w:hint="default" w:ascii="Times New Roman" w:hAnsi="Times New Roman" w:eastAsia="宋体" w:cs="Times New Roman"/>
                      <w:color w:val="auto"/>
                      <w:sz w:val="21"/>
                      <w:szCs w:val="21"/>
                      <w:highlight w:val="none"/>
                      <w:lang w:val="en-US" w:eastAsia="zh-CN"/>
                    </w:rPr>
                    <w:t>生活用水经化粪池处理后定期清掏，不外排；</w:t>
                  </w:r>
                  <w:r>
                    <w:rPr>
                      <w:rFonts w:hint="default" w:ascii="Times New Roman" w:hAnsi="Times New Roman" w:eastAsia="宋体" w:cs="Times New Roman"/>
                      <w:color w:val="auto"/>
                      <w:sz w:val="21"/>
                      <w:szCs w:val="21"/>
                      <w:highlight w:val="none"/>
                    </w:rPr>
                    <w:t>项目的实施不会降低现有环境功能等级；建设单位对高噪声设备采取一定的措施，</w:t>
                  </w:r>
                  <w:r>
                    <w:rPr>
                      <w:rFonts w:hint="default" w:ascii="Times New Roman" w:hAnsi="Times New Roman" w:eastAsia="宋体" w:cs="Times New Roman"/>
                      <w:color w:val="auto"/>
                      <w:sz w:val="21"/>
                      <w:szCs w:val="21"/>
                      <w:highlight w:val="none"/>
                      <w:lang w:val="en-US" w:eastAsia="zh-CN"/>
                    </w:rPr>
                    <w:t>本评价项目所在区域为《声环境质量标准》（GB3096-2008）中的2类区。</w:t>
                  </w:r>
                  <w:r>
                    <w:rPr>
                      <w:rFonts w:hint="default" w:ascii="Times New Roman" w:hAnsi="Times New Roman" w:eastAsia="宋体" w:cs="Times New Roman"/>
                      <w:color w:val="auto"/>
                      <w:sz w:val="21"/>
                      <w:szCs w:val="21"/>
                      <w:highlight w:val="none"/>
                    </w:rPr>
                    <w:t>投产后厂界噪声能够达到</w:t>
                  </w:r>
                  <w:r>
                    <w:rPr>
                      <w:rFonts w:hint="default" w:ascii="Times New Roman" w:hAnsi="Times New Roman" w:eastAsia="宋体" w:cs="Times New Roman"/>
                      <w:color w:val="auto"/>
                      <w:sz w:val="21"/>
                      <w:szCs w:val="21"/>
                      <w:highlight w:val="none"/>
                      <w:lang w:val="en-US" w:eastAsia="zh-CN"/>
                    </w:rPr>
                    <w:t>《声环境质量标准》（GB3096-2008）</w:t>
                  </w:r>
                  <w:r>
                    <w:rPr>
                      <w:rFonts w:hint="default" w:ascii="Times New Roman" w:hAnsi="Times New Roman" w:eastAsia="宋体" w:cs="Times New Roman"/>
                      <w:color w:val="auto"/>
                      <w:sz w:val="21"/>
                      <w:szCs w:val="21"/>
                      <w:highlight w:val="none"/>
                    </w:rPr>
                    <w:t>中的</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w:t>
                  </w:r>
                  <w:r>
                    <w:rPr>
                      <w:rFonts w:hint="default" w:ascii="Times New Roman" w:hAnsi="Times New Roman" w:eastAsia="宋体" w:cs="Times New Roman"/>
                      <w:color w:val="auto"/>
                      <w:sz w:val="21"/>
                      <w:szCs w:val="21"/>
                      <w:highlight w:val="none"/>
                      <w:lang w:eastAsia="zh-CN"/>
                    </w:rPr>
                    <w:t>标准限值</w:t>
                  </w:r>
                  <w:r>
                    <w:rPr>
                      <w:rFonts w:hint="default" w:ascii="Times New Roman" w:hAnsi="Times New Roman" w:eastAsia="宋体" w:cs="Times New Roman"/>
                      <w:color w:val="auto"/>
                      <w:sz w:val="21"/>
                      <w:szCs w:val="21"/>
                      <w:highlight w:val="none"/>
                    </w:rPr>
                    <w:t>要求；项目产生的固体废物均能够得到合理处置。因此，本项目的建设运营不会突破区域环境质量底线。</w:t>
                  </w:r>
                </w:p>
              </w:tc>
            </w:tr>
            <w:tr w14:paraId="70141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noWrap w:val="0"/>
                  <w:vAlign w:val="center"/>
                </w:tcPr>
                <w:p w14:paraId="1A0A5AB8">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生态环境准入清单</w:t>
                  </w:r>
                </w:p>
              </w:tc>
              <w:tc>
                <w:tcPr>
                  <w:tcW w:w="2495" w:type="pct"/>
                  <w:tcBorders>
                    <w:tl2br w:val="nil"/>
                    <w:tr2bl w:val="nil"/>
                  </w:tcBorders>
                  <w:noWrap w:val="0"/>
                  <w:vAlign w:val="center"/>
                </w:tcPr>
                <w:p w14:paraId="66607FCB">
                  <w:pPr>
                    <w:keepLines w:val="0"/>
                    <w:pageBreakBefore w:val="0"/>
                    <w:kinsoku/>
                    <w:topLinePunct w:val="0"/>
                    <w:autoSpaceDE w:val="0"/>
                    <w:autoSpaceDN w:val="0"/>
                    <w:bidi w:val="0"/>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准入清单是在梳理现行适用法律法规、政策文件，衔接相关规划计划、管理要求的基础上，结合自然资源禀赋、环境承载能力、现有环境问题、环境质量改善目标等，编制的以清单方式突出区域差别环境准入。安徽省将全省划分为1002个环境管控单元，建立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1+5+16+N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的四级生态环境准入清单。针对细化后的环境管控单元，从空间布局约束、污染物排放管控、环境风险防控和资源利用效率要求等方面，制定差异化的生态环境准入清单。</w:t>
                  </w:r>
                </w:p>
              </w:tc>
              <w:tc>
                <w:tcPr>
                  <w:tcW w:w="2173" w:type="pct"/>
                  <w:tcBorders>
                    <w:tl2br w:val="nil"/>
                    <w:tr2bl w:val="nil"/>
                  </w:tcBorders>
                  <w:noWrap w:val="0"/>
                  <w:vAlign w:val="center"/>
                </w:tcPr>
                <w:p w14:paraId="206352BF">
                  <w:pPr>
                    <w:keepLines w:val="0"/>
                    <w:pageBreakBefore w:val="0"/>
                    <w:kinsoku/>
                    <w:topLinePunct w:val="0"/>
                    <w:autoSpaceDE w:val="0"/>
                    <w:autoSpaceDN w:val="0"/>
                    <w:bidi w:val="0"/>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拟建项目位于安徽省淮北市濉溪县双堆集镇陈桥村，选址属于</w:t>
                  </w:r>
                  <w:r>
                    <w:rPr>
                      <w:rFonts w:hint="eastAsia" w:cs="Times New Roman"/>
                      <w:color w:val="auto"/>
                      <w:sz w:val="21"/>
                      <w:szCs w:val="21"/>
                      <w:highlight w:val="none"/>
                      <w:lang w:val="en-US" w:eastAsia="zh-CN"/>
                    </w:rPr>
                    <w:t>建设</w:t>
                  </w:r>
                  <w:r>
                    <w:rPr>
                      <w:rFonts w:hint="default" w:ascii="Times New Roman" w:hAnsi="Times New Roman" w:eastAsia="宋体" w:cs="Times New Roman"/>
                      <w:color w:val="auto"/>
                      <w:sz w:val="21"/>
                      <w:szCs w:val="21"/>
                      <w:highlight w:val="none"/>
                      <w:lang w:val="en-US" w:eastAsia="zh-CN"/>
                    </w:rPr>
                    <w:t>用地。对照《国民经济行业分类》（GB/T4754-2017），本项目属于C3031粘土砖瓦及建筑砌块制造，根据《产业结构调整指导目录（2024年本）》（中华人民共和国国家发展和改革委员会令第29号）中规定，本项目为十二、建材中第9项，不低于20万块/日（含）新型烧结砖瓦生产线协同处置大宗废弃物工艺技术及产品的研发与应用，为鼓励类项目。根据《市场准入负面清单（2022年版）》规定，不属于负面清单之列。本项目符合国家产业政策、技术政策。</w:t>
                  </w:r>
                </w:p>
              </w:tc>
            </w:tr>
          </w:tbl>
          <w:p w14:paraId="29683B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（2）环境分区管控相符性</w:t>
            </w:r>
          </w:p>
          <w:p w14:paraId="7DBEB9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①水环境分区管控相符性分析</w:t>
            </w:r>
          </w:p>
          <w:p w14:paraId="1F5639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对照淮北市水环境分区管控图（见附图</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），本项目位于城镇生活污染重点管控区。</w:t>
            </w:r>
            <w:r>
              <w:rPr>
                <w:rFonts w:hint="default" w:ascii="Times New Roman" w:hAnsi="Times New Roman" w:eastAsia="宋体" w:cs="Times New Roman"/>
                <w:b w:val="0"/>
                <w:bCs w:val="0"/>
                <w:color w:val="auto"/>
                <w:kern w:val="0"/>
                <w:sz w:val="24"/>
              </w:rPr>
              <w:t>重点管控区要求：依据《中华人民共和国水污染防治法》《水污染防治行动计划》《安徽省水污染防治工作方案》及淮北市水污染防治工作方案对重点管控区实施管控；依据淮北市相关开发区规划、规划环评及审查意见相关要求对开发区实施管控；落实《安徽省</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十四五</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生态环境保护规划》《安徽省</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十四五</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节能减排实施方案》《淮北市</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十四五</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生态环境保护规划》《淮北市</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十四五</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水生态环境保护专项规划》《淮北市</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十四五</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节能减排方案》《淮北市水污染防治工作方案》等要求；新建、改建和扩建项目水污染物实施</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等量替代</w:t>
            </w:r>
            <w:r>
              <w:rPr>
                <w:rFonts w:hint="default" w:ascii="Times New Roman" w:hAnsi="Times New Roman" w:eastAsia="宋体" w:cs="Times New Roman"/>
                <w:b w:val="0"/>
                <w:bCs w:val="0"/>
                <w:color w:val="auto"/>
                <w:kern w:val="0"/>
                <w:sz w:val="24"/>
                <w:lang w:eastAsia="zh-CN"/>
              </w:rPr>
              <w:t>”</w:t>
            </w:r>
            <w:r>
              <w:rPr>
                <w:rFonts w:hint="default" w:ascii="Times New Roman" w:hAnsi="Times New Roman" w:eastAsia="宋体" w:cs="Times New Roman"/>
                <w:b w:val="0"/>
                <w:bCs w:val="0"/>
                <w:color w:val="auto"/>
                <w:kern w:val="0"/>
                <w:sz w:val="24"/>
              </w:rPr>
              <w:t>。</w:t>
            </w:r>
          </w:p>
          <w:p w14:paraId="7E5DCE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项目所在区域地表水澥河环境水质满足《地表水环境质量标准》（GB3838-2002）中的</w:t>
            </w:r>
            <w:r>
              <w:rPr>
                <w:rFonts w:hint="default" w:ascii="Times New Roman" w:hAnsi="Times New Roman" w:eastAsia="宋体" w:cs="Times New Roman"/>
                <w:color w:val="auto"/>
                <w:sz w:val="21"/>
                <w:szCs w:val="21"/>
                <w:highlight w:val="none"/>
                <w:lang w:val="en-US" w:eastAsia="zh-CN"/>
              </w:rPr>
              <w:t>III</w:t>
            </w:r>
            <w:r>
              <w:rPr>
                <w:rFonts w:hint="default" w:ascii="Times New Roman" w:hAnsi="Times New Roman" w:eastAsia="宋体" w:cs="Times New Roman"/>
                <w:color w:val="auto"/>
                <w:sz w:val="24"/>
                <w:szCs w:val="24"/>
                <w:lang w:val="en-US" w:eastAsia="zh-CN"/>
              </w:rPr>
              <w:t>类标准。</w:t>
            </w:r>
          </w:p>
          <w:p w14:paraId="6DD49B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本次技改无新增生产废水和生活污水。综上，该项目符合水环境质量底线及环境分区管控要求。</w:t>
            </w:r>
          </w:p>
          <w:p w14:paraId="220AD8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②大气环境分区管控相符性分析</w:t>
            </w:r>
          </w:p>
          <w:p w14:paraId="4B8309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对照淮北市大气环境分区管控图（见附图</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本项目位于大气环境一般管控区。一般管控区要求：依据《中华人民共和国大气污染防治法》《安徽省大气污染防治条例》《安徽省碳达峰实施方案的通知》《安徽省工业领域碳达峰实施方案》《安徽省城乡建设领域碳达峰实施方案》等法律法规和规章对一般管控区实施管控。新建、改建和扩建项目大气污染物实施“倍量替代”，执行特别排放标准的行业实施提标升级改造。</w:t>
            </w:r>
          </w:p>
          <w:p w14:paraId="3278D0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根据《淮北市202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年度生态环境状况公报》，该项目区六项污染中PM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和O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不达标，则该项目区为城市环境质量不达标区。</w:t>
            </w:r>
          </w:p>
          <w:p w14:paraId="474E2C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搅拌粉尘经布袋除尘器处理后15米排气筒（DA002）排放。治理措施处理后满足排放标准限值要求，废气污染物能够实现达标排放，不会对区域大气环境质量产生明显影响，项目的建设不会降低区域大气环境质量功能，因此项目的建设能够满足区域大气环境质量底线要求。</w:t>
            </w:r>
          </w:p>
          <w:p w14:paraId="6366B6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③土壤环境风险防控分区管控相符性分析</w:t>
            </w:r>
          </w:p>
          <w:p w14:paraId="4A23CE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对照淮北市土壤环境风险分区防控图（见附图</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项目位于一般管控区。土壤环境风险一般管控区要求：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淮北市“十四五”土壤（地下水）和农村生态环境保护规划》等要求对一般管控区实施管控。</w:t>
            </w:r>
          </w:p>
          <w:p w14:paraId="2FBD68A9">
            <w:pPr>
              <w:keepLines w:val="0"/>
              <w:pageBreakBefore w:val="0"/>
              <w:widowControl w:val="0"/>
              <w:kinsoku/>
              <w:topLinePunct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本项目建设用地为</w:t>
            </w:r>
            <w:r>
              <w:rPr>
                <w:rFonts w:hint="eastAsia" w:cs="Times New Roman"/>
                <w:color w:val="auto"/>
                <w:kern w:val="0"/>
                <w:sz w:val="24"/>
                <w:szCs w:val="24"/>
                <w:highlight w:val="none"/>
                <w:lang w:val="en-US" w:eastAsia="zh-CN" w:bidi="ar-SA"/>
              </w:rPr>
              <w:t>建设</w:t>
            </w:r>
            <w:r>
              <w:rPr>
                <w:rFonts w:hint="default" w:ascii="Times New Roman" w:hAnsi="Times New Roman" w:eastAsia="宋体" w:cs="Times New Roman"/>
                <w:color w:val="auto"/>
                <w:sz w:val="24"/>
                <w:szCs w:val="24"/>
                <w:lang w:val="en-US" w:eastAsia="zh-CN"/>
              </w:rPr>
              <w:t>用地</w:t>
            </w:r>
            <w:r>
              <w:rPr>
                <w:rFonts w:hint="default" w:ascii="Times New Roman" w:hAnsi="Times New Roman" w:eastAsia="宋体" w:cs="Times New Roman"/>
                <w:color w:val="auto"/>
                <w:kern w:val="0"/>
                <w:sz w:val="24"/>
                <w:szCs w:val="24"/>
                <w:highlight w:val="none"/>
                <w:lang w:val="en-US" w:eastAsia="zh-CN" w:bidi="ar-SA"/>
              </w:rPr>
              <w:t>；项目对可能产生地下水、土壤影响的各项途径均进行有效预防，在确保各项防渗措施得以落实，并加强维护和厂区环境管理的前提下，可有效控制厂区内的废水污染物下渗现象，避免污染土壤，因此本项目不会对区域土壤环境产生明显影响。符合土壤环境质量底线及环境分区管控要求。</w:t>
            </w:r>
          </w:p>
          <w:p w14:paraId="7AB9FE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④生态环境分区管控相符性分析</w:t>
            </w:r>
          </w:p>
          <w:p w14:paraId="7AA649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安徽省人民政府关于加快实施“三线一单”生态环境分区管控的通知》，安徽省生态环境厅皖环发〔2022〕5号发布了《安徽省生态环境厅关于印发安徽省“三线一单”生态环境分区管控管理办法（暂行）的通知》、淮北市“三线一单”生态环境分区管控图（附图</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），本项目位于安徽省淮北市濉溪县双堆集镇陈桥村，属于</w:t>
            </w:r>
            <w:r>
              <w:rPr>
                <w:rFonts w:hint="default" w:ascii="Times New Roman" w:hAnsi="Times New Roman" w:eastAsia="宋体" w:cs="Times New Roman"/>
                <w:b w:val="0"/>
                <w:bCs w:val="0"/>
                <w:color w:val="auto"/>
                <w:kern w:val="0"/>
                <w:sz w:val="24"/>
                <w:lang w:val="en-US" w:eastAsia="zh-CN"/>
              </w:rPr>
              <w:t>重点管控单元</w:t>
            </w:r>
            <w:r>
              <w:rPr>
                <w:rFonts w:hint="default" w:ascii="Times New Roman" w:hAnsi="Times New Roman" w:eastAsia="宋体" w:cs="Times New Roman"/>
                <w:color w:val="auto"/>
                <w:sz w:val="24"/>
                <w:szCs w:val="24"/>
                <w:lang w:val="en-US" w:eastAsia="zh-CN"/>
              </w:rPr>
              <w:t>。本次技改无新增生产废水和生活污水；搅拌粉尘经布袋除尘器处理后15米排气筒（DA002）排放，对大气环境影响较小；固体废物均得到合理处置。工程建设对生态环境无影响，不会损害生态系统水源涵养功能，综上所述本项目不违背一般生态空间管控要求，符合《安徽省人民政府关于加快实施“三线一单”生态环境分区管控的通知》要求。符合“三线一单”及分区管控的相关要求。</w:t>
            </w:r>
          </w:p>
          <w:p w14:paraId="0497909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sz w:val="24"/>
              </w:rPr>
              <mc:AlternateContent>
                <mc:Choice Requires="wps">
                  <w:drawing>
                    <wp:anchor distT="0" distB="0" distL="114300" distR="114300" simplePos="0" relativeHeight="251680768" behindDoc="0" locked="0" layoutInCell="1" allowOverlap="1">
                      <wp:simplePos x="0" y="0"/>
                      <wp:positionH relativeFrom="column">
                        <wp:posOffset>1558925</wp:posOffset>
                      </wp:positionH>
                      <wp:positionV relativeFrom="paragraph">
                        <wp:posOffset>789940</wp:posOffset>
                      </wp:positionV>
                      <wp:extent cx="1143000" cy="345440"/>
                      <wp:effectExtent l="508000" t="12700" r="25400" b="403860"/>
                      <wp:wrapNone/>
                      <wp:docPr id="51" name="矩形标注 51"/>
                      <wp:cNvGraphicFramePr/>
                      <a:graphic xmlns:a="http://schemas.openxmlformats.org/drawingml/2006/main">
                        <a:graphicData uri="http://schemas.microsoft.com/office/word/2010/wordprocessingShape">
                          <wps:wsp>
                            <wps:cNvSpPr/>
                            <wps:spPr>
                              <a:xfrm>
                                <a:off x="0" y="0"/>
                                <a:ext cx="1143000" cy="345440"/>
                              </a:xfrm>
                              <a:prstGeom prst="wedgeRectCallout">
                                <a:avLst>
                                  <a:gd name="adj1" fmla="val -93333"/>
                                  <a:gd name="adj2" fmla="val 158272"/>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25F4BB1">
                                  <w:pPr>
                                    <w:jc w:val="center"/>
                                    <w:rPr>
                                      <w:rFonts w:hint="eastAsia" w:eastAsia="宋体"/>
                                      <w:color w:val="10253F" w:themeColor="text2" w:themeShade="80"/>
                                      <w:lang w:eastAsia="zh-CN"/>
                                    </w:rPr>
                                  </w:pPr>
                                  <w:r>
                                    <w:rPr>
                                      <w:rFonts w:hint="eastAsia"/>
                                      <w:color w:val="10253F" w:themeColor="text2" w:themeShade="80"/>
                                      <w:lang w:eastAsia="zh-CN"/>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2.75pt;margin-top:62.2pt;height:27.2pt;width:90pt;z-index:251680768;v-text-anchor:middle;mso-width-relative:page;mso-height-relative:page;" fillcolor="#FFFFFF [3212]" filled="t" stroked="t" coordsize="21600,21600" o:gfxdata="UEsDBAoAAAAAAIdO4kAAAAAAAAAAAAAAAAAEAAAAZHJzL1BLAwQUAAAACACHTuJAhFSR59gAAAAL&#10;AQAADwAAAGRycy9kb3ducmV2LnhtbE2PzU7DMBCE70i8g7VIXBB1GrkQhTgVRHDhghqQuDqxiaPa&#10;6xC7f2/P9kSPO/NpdqZaH71jezPHMaCE5SIDZrAPesRBwtfn230BLCaFWrmARsLJRFjX11eVKnU4&#10;4Mbs2zQwCsFYKgk2pankPPbWeBUXYTJI3k+YvUp0zgPXszpQuHc8z7IH7tWI9MGqyTTW9Nt25yU0&#10;rvnY3uWbE38VnX1+Ee9t9/0r5e3NMnsClswx/cNwrk/VoaZOXdihjsxJyMVqRSgZuRDAiBD5WelI&#10;eSwK4HXFLzfUf1BLAwQUAAAACACHTuJABfVbDKMCAABPBQAADgAAAGRycy9lMm9Eb2MueG1srVTN&#10;bhMxEL4j8Q6W7+0maULbqJsqShSEVNGKgjg7Xm92kf+wnWzKC/AYRZzgzJnHobwGn73bNi0cemAP&#10;3hnPeGa+bzw+Od0qSTbC+dronPb3e5QIzU1R61VO371d7B1R4gPTBZNGi5xeCU9PJ8+fnTR2LAam&#10;MrIQjiCI9uPG5rQKwY6zzPNKKOb3jRUaxtI4xQJUt8oKxxpEVzIb9Hovssa4wjrDhffYnbdG2kV0&#10;TwloyrLmYm74Wgkd2qhOSBYAyVe19XSSqi1LwcN5WXoRiMwpkIa0IgnkZVyzyQkbrxyzVc27EthT&#10;SniESbFaI+ldqDkLjKxd/VcoVXNnvCnDPjcqa4EkRoCi33vEzWXFrEhYQLW3d6T7/xeWv95cOFIX&#10;OR31KdFMoeO/r7//+vn15svnmx/fCLbBUWP9GK6X9sJ1mocYAW9Lp+IfUMg28Xp1x6vYBsKx2e8P&#10;D3o9UM5hOxiOhsNEfHZ/2jofXgqjSBRy2ohiJd6geTMmpVmHRC3bnPmQOC66QlnxAUWXSqJlGybJ&#10;3vEBvq6nO06DXaf+6GhwOIhOyN/FhHRbQUzgjayLRS1lUtxqOZOOIEFOF+nrDj9wk5o0OR2Mhgkn&#10;w2CUuJCArCzI9XpFCZMrTBwPLsF5cNrvJgFVka22wgduscg581VbTDJ1blIDT+xS25cohe1y2zVr&#10;aYortNmZ9v57yxc1Qp0xHy6YA3voDZ6EcI6llAZATCdRUhn36V/70R/3EFZKGgwQQH5cMycoka80&#10;buhxP7aZhKQMR4cDKG7Xsty16LWaGRCMfqK6JEb/IG/F0hn1Hi/HNGaFiWmO3C2dnTIL7WDj7eFi&#10;Ok1umDLLwpm+tDwGjw3VZroOpqxDJDgS1bLTKZizdDO6NyEO8q6evO7fwc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hFSR59gAAAALAQAADwAAAAAAAAABACAAAAAiAAAAZHJzL2Rvd25yZXYueG1s&#10;UEsBAhQAFAAAAAgAh07iQAX1WwyjAgAATwUAAA4AAAAAAAAAAQAgAAAAJwEAAGRycy9lMm9Eb2Mu&#10;eG1sUEsFBgAAAAAGAAYAWQEAADwGAAAAAA==&#10;" adj="-9360,44987">
                      <v:fill on="t" focussize="0,0"/>
                      <v:stroke weight="2pt" color="#000000 [3213]" joinstyle="round"/>
                      <v:imagedata o:title=""/>
                      <o:lock v:ext="edit" aspectratio="f"/>
                      <v:textbox>
                        <w:txbxContent>
                          <w:p w14:paraId="125F4BB1">
                            <w:pPr>
                              <w:jc w:val="center"/>
                              <w:rPr>
                                <w:rFonts w:hint="eastAsia" w:eastAsia="宋体"/>
                                <w:color w:val="10253F" w:themeColor="text2" w:themeShade="80"/>
                                <w:lang w:eastAsia="zh-CN"/>
                              </w:rPr>
                            </w:pPr>
                            <w:r>
                              <w:rPr>
                                <w:rFonts w:hint="eastAsia"/>
                                <w:color w:val="10253F" w:themeColor="text2" w:themeShade="80"/>
                                <w:lang w:eastAsia="zh-CN"/>
                              </w:rPr>
                              <w:t>本项目所在位置</w:t>
                            </w:r>
                          </w:p>
                        </w:txbxContent>
                      </v:textbox>
                    </v:shape>
                  </w:pict>
                </mc:Fallback>
              </mc:AlternateContent>
            </w:r>
            <w:r>
              <w:drawing>
                <wp:inline distT="0" distB="0" distL="114300" distR="114300">
                  <wp:extent cx="5273675" cy="3091815"/>
                  <wp:effectExtent l="0" t="0" r="3175"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0"/>
                          <a:stretch>
                            <a:fillRect/>
                          </a:stretch>
                        </pic:blipFill>
                        <pic:spPr>
                          <a:xfrm>
                            <a:off x="0" y="0"/>
                            <a:ext cx="5273675" cy="3091815"/>
                          </a:xfrm>
                          <a:prstGeom prst="rect">
                            <a:avLst/>
                          </a:prstGeom>
                          <a:noFill/>
                          <a:ln>
                            <a:noFill/>
                          </a:ln>
                        </pic:spPr>
                      </pic:pic>
                    </a:graphicData>
                  </a:graphic>
                </wp:inline>
              </w:drawing>
            </w:r>
          </w:p>
          <w:p w14:paraId="79768DF8">
            <w:pPr>
              <w:pStyle w:val="27"/>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 1.1 本项目与“三线一单”位置关系图</w:t>
            </w:r>
          </w:p>
          <w:p w14:paraId="0BAE55D0">
            <w:pPr>
              <w:pStyle w:val="18"/>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综上，本项目建设符合“三线一单”及分区管控的相关要求。</w:t>
            </w:r>
          </w:p>
        </w:tc>
      </w:tr>
    </w:tbl>
    <w:p w14:paraId="31A65C56">
      <w:pPr>
        <w:keepLines w:val="0"/>
        <w:pageBreakBefore w:val="0"/>
        <w:kinsoku/>
        <w:topLinePunct w:val="0"/>
        <w:bidi w:val="0"/>
        <w:adjustRightInd w:val="0"/>
        <w:snapToGrid w:val="0"/>
        <w:spacing w:line="360" w:lineRule="auto"/>
        <w:outlineLvl w:val="0"/>
        <w:rPr>
          <w:rFonts w:hint="default" w:ascii="Times New Roman" w:hAnsi="Times New Roman" w:eastAsia="宋体" w:cs="Times New Roman"/>
          <w:sz w:val="30"/>
        </w:rPr>
        <w:sectPr>
          <w:footerReference r:id="rId6" w:type="default"/>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0F3D1364">
      <w:pPr>
        <w:pStyle w:val="43"/>
        <w:keepLines w:val="0"/>
        <w:pageBreakBefore w:val="0"/>
        <w:kinsoku/>
        <w:topLinePunct w:val="0"/>
        <w:bidi w:val="0"/>
        <w:adjustRightInd w:val="0"/>
        <w:snapToGrid w:val="0"/>
        <w:spacing w:before="0" w:beforeAutospacing="0" w:after="0" w:afterAutospacing="0"/>
        <w:jc w:val="center"/>
        <w:outlineLvl w:val="0"/>
        <w:rPr>
          <w:rFonts w:hint="default" w:ascii="Times New Roman" w:hAnsi="Times New Roman" w:eastAsia="宋体" w:cs="Times New Roman"/>
          <w:snapToGrid w:val="0"/>
          <w:sz w:val="30"/>
          <w:szCs w:val="30"/>
        </w:rPr>
      </w:pPr>
      <w:r>
        <w:rPr>
          <w:rFonts w:hint="default" w:ascii="Times New Roman" w:hAnsi="Times New Roman" w:eastAsia="宋体" w:cs="Times New Roman"/>
          <w:snapToGrid w:val="0"/>
          <w:sz w:val="30"/>
          <w:szCs w:val="30"/>
        </w:rPr>
        <w:t>二、建设项目工程分析</w:t>
      </w:r>
    </w:p>
    <w:tbl>
      <w:tblPr>
        <w:tblStyle w:val="47"/>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977"/>
      </w:tblGrid>
      <w:tr w14:paraId="603F4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823" w:type="dxa"/>
            <w:noWrap w:val="0"/>
            <w:vAlign w:val="center"/>
          </w:tcPr>
          <w:p w14:paraId="364413FE">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建设内容</w:t>
            </w:r>
          </w:p>
        </w:tc>
        <w:tc>
          <w:tcPr>
            <w:tcW w:w="8161" w:type="dxa"/>
            <w:noWrap w:val="0"/>
            <w:vAlign w:val="top"/>
          </w:tcPr>
          <w:p w14:paraId="012E4CD8">
            <w:pPr>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1、项目由来</w:t>
            </w:r>
          </w:p>
          <w:p w14:paraId="0A0845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0"/>
                <w:lang w:val="en-US" w:eastAsia="zh-CN"/>
              </w:rPr>
              <w:t>濉溪县恒鑫再生资源有限公司</w:t>
            </w:r>
            <w:r>
              <w:rPr>
                <w:rFonts w:hint="default" w:ascii="Times New Roman" w:hAnsi="Times New Roman" w:eastAsia="宋体" w:cs="Times New Roman"/>
                <w:color w:val="auto"/>
                <w:kern w:val="2"/>
                <w:sz w:val="24"/>
                <w:szCs w:val="20"/>
                <w:lang w:val="en-US" w:eastAsia="zh-CN" w:bidi="ar-SA"/>
              </w:rPr>
              <w:t>原有项目为</w:t>
            </w:r>
            <w:r>
              <w:rPr>
                <w:rFonts w:hint="eastAsia" w:cs="Times New Roman"/>
                <w:color w:val="auto"/>
                <w:kern w:val="2"/>
                <w:sz w:val="24"/>
                <w:szCs w:val="20"/>
                <w:lang w:val="en-US" w:eastAsia="zh-CN" w:bidi="ar-SA"/>
              </w:rPr>
              <w:t>“</w:t>
            </w:r>
            <w:r>
              <w:rPr>
                <w:rFonts w:hint="default" w:ascii="Times New Roman" w:hAnsi="Times New Roman" w:eastAsia="宋体" w:cs="Times New Roman"/>
                <w:color w:val="auto"/>
                <w:sz w:val="24"/>
                <w:szCs w:val="24"/>
                <w:lang w:val="en-US" w:eastAsia="zh-CN"/>
              </w:rPr>
              <w:t>年加工30万吨煤矸石、建筑垃圾建设项目</w:t>
            </w:r>
            <w:r>
              <w:rPr>
                <w:rFonts w:hint="eastAsia"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w:t>
            </w:r>
            <w:r>
              <w:rPr>
                <w:rFonts w:hint="eastAsia" w:cs="Times New Roman"/>
                <w:color w:val="auto"/>
                <w:sz w:val="24"/>
                <w:szCs w:val="24"/>
                <w:lang w:val="en-US" w:eastAsia="zh-CN"/>
              </w:rPr>
              <w:t>该项目</w:t>
            </w:r>
            <w:r>
              <w:rPr>
                <w:rFonts w:hint="default" w:ascii="Times New Roman" w:hAnsi="Times New Roman" w:eastAsia="宋体" w:cs="Times New Roman"/>
                <w:color w:val="auto"/>
                <w:sz w:val="24"/>
                <w:szCs w:val="24"/>
                <w:lang w:val="en-US" w:eastAsia="zh-CN"/>
              </w:rPr>
              <w:t>于2019年1月24日取得濉溪县发展和改革委员会备案文件，备案编号为2019-340621-42-03-001918。</w:t>
            </w:r>
            <w:r>
              <w:rPr>
                <w:rFonts w:hint="eastAsia" w:cs="Times New Roman"/>
                <w:color w:val="auto"/>
                <w:sz w:val="24"/>
                <w:szCs w:val="24"/>
                <w:lang w:val="en-US" w:eastAsia="zh-CN"/>
              </w:rPr>
              <w:t>于</w:t>
            </w:r>
            <w:r>
              <w:rPr>
                <w:rFonts w:hint="default" w:ascii="Times New Roman" w:hAnsi="Times New Roman" w:eastAsia="宋体" w:cs="Times New Roman"/>
                <w:color w:val="auto"/>
                <w:sz w:val="24"/>
                <w:szCs w:val="24"/>
                <w:lang w:val="en-US" w:eastAsia="zh-CN"/>
              </w:rPr>
              <w:t>2019年5月7日取得</w:t>
            </w:r>
            <w:r>
              <w:rPr>
                <w:rFonts w:hint="eastAsia" w:cs="Times New Roman"/>
                <w:color w:val="auto"/>
                <w:sz w:val="24"/>
                <w:szCs w:val="24"/>
                <w:lang w:val="en-US" w:eastAsia="zh-CN"/>
              </w:rPr>
              <w:t>濉溪县生态环境分局关于</w:t>
            </w:r>
            <w:r>
              <w:rPr>
                <w:rFonts w:hint="default" w:ascii="Times New Roman" w:hAnsi="Times New Roman" w:eastAsia="宋体" w:cs="Times New Roman"/>
                <w:color w:val="auto"/>
                <w:sz w:val="24"/>
                <w:szCs w:val="24"/>
                <w:lang w:val="en-US" w:eastAsia="zh-CN"/>
              </w:rPr>
              <w:t>《濉溪县恒鑫再生资源有限公司年加工30万吨煤矸石、建筑垃圾建设项目环境影响报告表》审批意见（濉环行审〔2019〕33号）。2021年5月16日进行</w:t>
            </w:r>
            <w:r>
              <w:rPr>
                <w:rFonts w:hint="eastAsia" w:cs="Times New Roman"/>
                <w:color w:val="auto"/>
                <w:sz w:val="24"/>
                <w:szCs w:val="24"/>
                <w:lang w:val="en-US" w:eastAsia="zh-CN"/>
              </w:rPr>
              <w:t>了</w:t>
            </w:r>
            <w:r>
              <w:rPr>
                <w:rFonts w:hint="default" w:ascii="Times New Roman" w:hAnsi="Times New Roman" w:eastAsia="宋体" w:cs="Times New Roman"/>
                <w:color w:val="auto"/>
                <w:sz w:val="24"/>
                <w:szCs w:val="24"/>
                <w:lang w:val="en-US" w:eastAsia="zh-CN"/>
              </w:rPr>
              <w:t>濉溪县恒鑫再生资源有限公司年加工30万吨煤矸石、建筑垃圾建设项目（阶段性）竣工环境保护验收工作</w:t>
            </w:r>
            <w:r>
              <w:rPr>
                <w:rFonts w:hint="eastAsia" w:cs="Times New Roman"/>
                <w:color w:val="auto"/>
                <w:sz w:val="24"/>
                <w:szCs w:val="24"/>
                <w:lang w:val="en-US" w:eastAsia="zh-CN"/>
              </w:rPr>
              <w:t>，</w:t>
            </w:r>
            <w:r>
              <w:rPr>
                <w:rFonts w:hint="eastAsia" w:ascii="Times New Roman" w:hAnsi="Times New Roman" w:eastAsia="宋体" w:cs="Times New Roman"/>
                <w:color w:val="auto"/>
                <w:kern w:val="2"/>
                <w:sz w:val="24"/>
                <w:szCs w:val="20"/>
                <w:lang w:val="en-US" w:eastAsia="zh-CN" w:bidi="ar-SA"/>
              </w:rPr>
              <w:t>验收产能为</w:t>
            </w:r>
            <w:r>
              <w:rPr>
                <w:rFonts w:hint="default" w:ascii="Times New Roman" w:hAnsi="Times New Roman" w:eastAsia="宋体" w:cs="Times New Roman"/>
                <w:color w:val="auto"/>
                <w:sz w:val="24"/>
                <w:szCs w:val="24"/>
                <w:lang w:val="en-US" w:eastAsia="zh-CN"/>
              </w:rPr>
              <w:t>年加工</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万吨煤矸石、建筑垃圾</w:t>
            </w:r>
            <w:r>
              <w:rPr>
                <w:rFonts w:hint="eastAsia" w:eastAsia="宋体" w:cs="Times New Roman"/>
                <w:color w:val="auto"/>
                <w:sz w:val="24"/>
                <w:szCs w:val="24"/>
                <w:lang w:val="en-US" w:eastAsia="zh-CN"/>
              </w:rPr>
              <w:t>。</w:t>
            </w:r>
            <w:r>
              <w:rPr>
                <w:rFonts w:hint="eastAsia" w:cs="Times New Roman"/>
                <w:color w:val="auto"/>
                <w:sz w:val="24"/>
                <w:szCs w:val="24"/>
                <w:lang w:val="en-US" w:eastAsia="zh-CN"/>
              </w:rPr>
              <w:t>在建产能为</w:t>
            </w:r>
            <w:r>
              <w:rPr>
                <w:rFonts w:hint="default" w:ascii="Times New Roman" w:hAnsi="Times New Roman" w:eastAsia="宋体" w:cs="Times New Roman"/>
                <w:color w:val="auto"/>
                <w:sz w:val="24"/>
                <w:szCs w:val="24"/>
                <w:lang w:val="en-US" w:eastAsia="zh-CN"/>
              </w:rPr>
              <w:t>年加工</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万吨煤矸石、建筑垃圾</w:t>
            </w:r>
            <w:r>
              <w:rPr>
                <w:rFonts w:hint="eastAsia" w:cs="Times New Roman"/>
                <w:color w:val="auto"/>
                <w:sz w:val="24"/>
                <w:szCs w:val="24"/>
                <w:lang w:val="en-US" w:eastAsia="zh-CN"/>
              </w:rPr>
              <w:t>。</w:t>
            </w:r>
          </w:p>
          <w:p w14:paraId="6F2AA470">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本项目在原有项目基础上进行技术改造，对原有产品进行再加工，使其达到年产</w:t>
            </w:r>
            <w:r>
              <w:rPr>
                <w:rFonts w:hint="eastAsia"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万吨</w:t>
            </w:r>
            <w:r>
              <w:rPr>
                <w:rFonts w:hint="eastAsia" w:cs="Times New Roman"/>
                <w:color w:val="auto"/>
                <w:sz w:val="24"/>
                <w:szCs w:val="24"/>
                <w:lang w:val="en-US" w:eastAsia="zh-CN"/>
              </w:rPr>
              <w:t>水稳</w:t>
            </w:r>
            <w:r>
              <w:rPr>
                <w:rFonts w:hint="default" w:ascii="Times New Roman" w:hAnsi="Times New Roman" w:eastAsia="宋体" w:cs="Times New Roman"/>
                <w:color w:val="auto"/>
                <w:sz w:val="24"/>
                <w:szCs w:val="24"/>
                <w:lang w:val="en-US" w:eastAsia="zh-CN"/>
              </w:rPr>
              <w:t>。本次技改增加相应的生产设备和环保设备。建设地点为</w:t>
            </w:r>
            <w:r>
              <w:rPr>
                <w:rFonts w:hint="default" w:ascii="Times New Roman" w:hAnsi="Times New Roman" w:eastAsia="宋体" w:cs="Times New Roman"/>
                <w:color w:val="auto"/>
                <w:sz w:val="24"/>
                <w:szCs w:val="20"/>
                <w:lang w:val="en-US" w:eastAsia="zh-CN"/>
              </w:rPr>
              <w:t>濉溪县恒鑫再生资源有限公司原厂址。</w:t>
            </w:r>
          </w:p>
          <w:p w14:paraId="6D9C93B5">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pPr>
            <w:r>
              <w:rPr>
                <w:rFonts w:hint="default" w:ascii="Times New Roman" w:hAnsi="Times New Roman" w:eastAsia="宋体" w:cs="Times New Roman"/>
                <w:color w:val="auto"/>
                <w:sz w:val="24"/>
                <w:szCs w:val="24"/>
                <w:lang w:val="en-US" w:eastAsia="zh-CN"/>
              </w:rPr>
              <w:t>2023年7月6日取得关于濉溪县恒鑫再生资源有限公司水稳站固废利用技术改造项目备案表，备案编号濉节能备字〔2023〕3号。</w:t>
            </w:r>
          </w:p>
          <w:p w14:paraId="2A535EA4">
            <w:pPr>
              <w:pageBreakBefore w:val="0"/>
              <w:kinsoku/>
              <w:topLinePunct w:val="0"/>
              <w:autoSpaceDE w:val="0"/>
              <w:autoSpaceDN w:val="0"/>
              <w:bidi w:val="0"/>
              <w:adjustRightInd w:val="0"/>
              <w:snapToGrid w:val="0"/>
              <w:spacing w:line="360" w:lineRule="auto"/>
              <w:ind w:firstLine="480" w:firstLineChars="200"/>
              <w:jc w:val="both"/>
              <w:rPr>
                <w:rFonts w:hint="default" w:ascii="Times New Roman" w:hAnsi="Times New Roman" w:cs="Times New Roman" w:eastAsiaTheme="minorEastAsia"/>
                <w:b w:val="0"/>
                <w:bCs w:val="0"/>
                <w:color w:val="auto"/>
                <w:kern w:val="0"/>
                <w:sz w:val="24"/>
                <w:lang w:val="zh-CN" w:eastAsia="zh-CN"/>
              </w:rPr>
            </w:pPr>
            <w:r>
              <w:rPr>
                <w:rFonts w:hint="default" w:ascii="Times New Roman" w:hAnsi="Times New Roman" w:cs="Times New Roman" w:eastAsiaTheme="minorEastAsia"/>
                <w:b w:val="0"/>
                <w:bCs w:val="0"/>
                <w:color w:val="auto"/>
                <w:kern w:val="0"/>
                <w:sz w:val="24"/>
                <w:lang w:val="zh-CN" w:eastAsia="zh-CN"/>
              </w:rPr>
              <w:t>项目环评管理类别判定：根据项目备案文件，本项目备案文件国标行业为</w:t>
            </w:r>
            <w:r>
              <w:rPr>
                <w:rFonts w:hint="eastAsia" w:cs="Times New Roman"/>
                <w:sz w:val="24"/>
                <w:szCs w:val="24"/>
                <w:lang w:val="en-US" w:eastAsia="zh-CN"/>
              </w:rPr>
              <w:t>C3029其他水泥类似制品制造</w:t>
            </w:r>
            <w:r>
              <w:rPr>
                <w:rFonts w:hint="default" w:ascii="Times New Roman" w:hAnsi="Times New Roman" w:cs="Times New Roman" w:eastAsiaTheme="minorEastAsia"/>
                <w:b w:val="0"/>
                <w:bCs w:val="0"/>
                <w:color w:val="auto"/>
                <w:kern w:val="0"/>
                <w:sz w:val="24"/>
                <w:lang w:val="zh-CN" w:eastAsia="zh-CN"/>
              </w:rPr>
              <w:t>。根据《建设项目环境影响评价分类管理名录（2021年版）》可知，</w:t>
            </w:r>
            <w:r>
              <w:rPr>
                <w:rFonts w:hint="eastAsia" w:cs="Times New Roman"/>
                <w:sz w:val="24"/>
                <w:szCs w:val="24"/>
                <w:lang w:val="en-US" w:eastAsia="zh-CN"/>
              </w:rPr>
              <w:t>C3029其他水泥类似制品制造</w:t>
            </w:r>
            <w:r>
              <w:rPr>
                <w:rFonts w:hint="default" w:ascii="Times New Roman" w:hAnsi="Times New Roman" w:cs="Times New Roman" w:eastAsiaTheme="minorEastAsia"/>
                <w:b w:val="0"/>
                <w:bCs w:val="0"/>
                <w:color w:val="auto"/>
                <w:kern w:val="0"/>
                <w:sz w:val="24"/>
                <w:lang w:val="zh-CN" w:eastAsia="zh-CN"/>
              </w:rPr>
              <w:t>属于名录表中的</w:t>
            </w:r>
            <w:r>
              <w:rPr>
                <w:rFonts w:hint="eastAsia" w:ascii="Times New Roman" w:hAnsi="Times New Roman" w:cs="Times New Roman" w:eastAsiaTheme="minorEastAsia"/>
                <w:b w:val="0"/>
                <w:bCs w:val="0"/>
                <w:color w:val="auto"/>
                <w:kern w:val="0"/>
                <w:sz w:val="24"/>
                <w:lang w:val="zh-CN" w:eastAsia="zh-CN"/>
              </w:rPr>
              <w:t>“</w:t>
            </w:r>
            <w:r>
              <w:rPr>
                <w:rFonts w:hint="eastAsia" w:cs="Times New Roman"/>
                <w:sz w:val="24"/>
                <w:szCs w:val="24"/>
                <w:lang w:val="en-US" w:eastAsia="zh-CN"/>
              </w:rPr>
              <w:t xml:space="preserve"> 二十七、非金属矿物制品业30 55石膏、水泥制品及类似制品制造302</w:t>
            </w:r>
            <w:r>
              <w:rPr>
                <w:rFonts w:hint="eastAsia" w:ascii="Times New Roman" w:hAnsi="Times New Roman" w:cs="Times New Roman" w:eastAsiaTheme="minorEastAsia"/>
                <w:b w:val="0"/>
                <w:bCs w:val="0"/>
                <w:color w:val="auto"/>
                <w:kern w:val="0"/>
                <w:sz w:val="24"/>
                <w:lang w:val="en-US" w:eastAsia="zh-CN"/>
              </w:rPr>
              <w:t>”</w:t>
            </w:r>
            <w:r>
              <w:rPr>
                <w:rFonts w:hint="default" w:ascii="Times New Roman" w:hAnsi="Times New Roman" w:cs="Times New Roman" w:eastAsiaTheme="minorEastAsia"/>
                <w:b w:val="0"/>
                <w:bCs w:val="0"/>
                <w:color w:val="auto"/>
                <w:kern w:val="0"/>
                <w:sz w:val="24"/>
                <w:lang w:val="zh-CN" w:eastAsia="zh-CN"/>
              </w:rPr>
              <w:t>，故项目需编制环境影响报告表。</w:t>
            </w:r>
          </w:p>
          <w:p w14:paraId="43EE7C6E">
            <w:pPr>
              <w:keepNext w:val="0"/>
              <w:keepLines w:val="0"/>
              <w:pageBreakBefore w:val="0"/>
              <w:widowControl w:val="0"/>
              <w:kinsoku/>
              <w:wordWrap w:val="0"/>
              <w:overflowPunct w:val="0"/>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表2-1建设项目环境影响评价分类管理名录（2021年版，摘录）</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3285"/>
              <w:gridCol w:w="1244"/>
              <w:gridCol w:w="3426"/>
              <w:gridCol w:w="1042"/>
            </w:tblGrid>
            <w:tr w14:paraId="5179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749" w:type="dxa"/>
                  <w:gridSpan w:val="2"/>
                  <w:tcBorders>
                    <w:tl2br w:val="single" w:color="auto" w:sz="4" w:space="0"/>
                  </w:tcBorders>
                  <w:noWrap w:val="0"/>
                  <w:vAlign w:val="top"/>
                </w:tcPr>
                <w:p w14:paraId="03DB9E5D">
                  <w:pPr>
                    <w:pStyle w:val="26"/>
                    <w:keepNext w:val="0"/>
                    <w:keepLines w:val="0"/>
                    <w:pageBreakBefore w:val="0"/>
                    <w:kinsoku/>
                    <w:wordWrap w:val="0"/>
                    <w:overflowPunct w:val="0"/>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环评类别</w:t>
                  </w:r>
                </w:p>
                <w:p w14:paraId="0478A6BD">
                  <w:pPr>
                    <w:pStyle w:val="26"/>
                    <w:keepNext w:val="0"/>
                    <w:keepLines w:val="0"/>
                    <w:pageBreakBefore w:val="0"/>
                    <w:kinsoku/>
                    <w:wordWrap w:val="0"/>
                    <w:overflowPunct w:val="0"/>
                    <w:topLinePunct w:val="0"/>
                    <w:autoSpaceDE/>
                    <w:autoSpaceDN/>
                    <w:bidi w:val="0"/>
                    <w:adjustRightInd w:val="0"/>
                    <w:snapToGrid w:val="0"/>
                    <w:spacing w:after="0" w:line="240" w:lineRule="auto"/>
                    <w:ind w:left="0" w:leftChars="0" w:firstLine="0" w:firstLineChars="0"/>
                    <w:jc w:val="both"/>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项目类别</w:t>
                  </w:r>
                </w:p>
              </w:tc>
              <w:tc>
                <w:tcPr>
                  <w:tcW w:w="1155" w:type="dxa"/>
                  <w:noWrap w:val="0"/>
                  <w:vAlign w:val="center"/>
                </w:tcPr>
                <w:p w14:paraId="518108B3">
                  <w:pPr>
                    <w:pStyle w:val="26"/>
                    <w:keepNext w:val="0"/>
                    <w:keepLines w:val="0"/>
                    <w:pageBreakBefore w:val="0"/>
                    <w:kinsoku/>
                    <w:wordWrap w:val="0"/>
                    <w:overflowPunct w:val="0"/>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报告书</w:t>
                  </w:r>
                </w:p>
              </w:tc>
              <w:tc>
                <w:tcPr>
                  <w:tcW w:w="3180" w:type="dxa"/>
                  <w:noWrap w:val="0"/>
                  <w:vAlign w:val="center"/>
                </w:tcPr>
                <w:p w14:paraId="39C76E6C">
                  <w:pPr>
                    <w:pStyle w:val="26"/>
                    <w:keepNext w:val="0"/>
                    <w:keepLines w:val="0"/>
                    <w:pageBreakBefore w:val="0"/>
                    <w:kinsoku/>
                    <w:wordWrap w:val="0"/>
                    <w:overflowPunct w:val="0"/>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报告表</w:t>
                  </w:r>
                </w:p>
              </w:tc>
              <w:tc>
                <w:tcPr>
                  <w:tcW w:w="966" w:type="dxa"/>
                  <w:noWrap w:val="0"/>
                  <w:vAlign w:val="center"/>
                </w:tcPr>
                <w:p w14:paraId="0B6D4D47">
                  <w:pPr>
                    <w:pStyle w:val="26"/>
                    <w:keepNext w:val="0"/>
                    <w:keepLines w:val="0"/>
                    <w:pageBreakBefore w:val="0"/>
                    <w:kinsoku/>
                    <w:wordWrap w:val="0"/>
                    <w:overflowPunct w:val="0"/>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登记表</w:t>
                  </w:r>
                </w:p>
              </w:tc>
            </w:tr>
            <w:tr w14:paraId="1C4A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0" w:type="dxa"/>
                  <w:gridSpan w:val="5"/>
                  <w:noWrap w:val="0"/>
                  <w:vAlign w:val="center"/>
                </w:tcPr>
                <w:p w14:paraId="5BC3D94E">
                  <w:pPr>
                    <w:pStyle w:val="26"/>
                    <w:keepNext w:val="0"/>
                    <w:keepLines w:val="0"/>
                    <w:pageBreakBefore w:val="0"/>
                    <w:kinsoku/>
                    <w:wordWrap w:val="0"/>
                    <w:overflowPunct w:val="0"/>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b/>
                      <w:color w:val="auto"/>
                      <w:sz w:val="21"/>
                      <w:szCs w:val="21"/>
                    </w:rPr>
                  </w:pPr>
                  <w:r>
                    <w:rPr>
                      <w:rFonts w:ascii="Helvetica" w:hAnsi="Helvetica" w:eastAsia="Helvetica" w:cs="Helvetica"/>
                      <w:i w:val="0"/>
                      <w:iCs w:val="0"/>
                      <w:caps w:val="0"/>
                      <w:color w:val="333333"/>
                      <w:spacing w:val="0"/>
                      <w:sz w:val="21"/>
                      <w:szCs w:val="21"/>
                      <w:shd w:val="clear" w:fill="FFFFFF"/>
                    </w:rPr>
                    <w:t>二</w:t>
                  </w:r>
                  <w:r>
                    <w:rPr>
                      <w:rFonts w:hint="default" w:ascii="Helvetica" w:hAnsi="Helvetica" w:eastAsia="Helvetica" w:cs="Helvetica"/>
                      <w:i w:val="0"/>
                      <w:iCs w:val="0"/>
                      <w:caps w:val="0"/>
                      <w:color w:val="333333"/>
                      <w:spacing w:val="0"/>
                      <w:sz w:val="21"/>
                      <w:szCs w:val="21"/>
                      <w:shd w:val="clear" w:fill="FFFFFF"/>
                    </w:rPr>
                    <w:t>十七、非金属矿物制品业30</w:t>
                  </w:r>
                </w:p>
              </w:tc>
            </w:tr>
            <w:tr w14:paraId="01A8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700" w:type="dxa"/>
                  <w:noWrap w:val="0"/>
                  <w:vAlign w:val="center"/>
                </w:tcPr>
                <w:p w14:paraId="56BF1D6D">
                  <w:pPr>
                    <w:keepNext w:val="0"/>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rPr>
                      <w:rFonts w:hint="default" w:ascii="Helvetica" w:hAnsi="Helvetica" w:eastAsia="Helvetica" w:cs="Helvetica"/>
                      <w:i w:val="0"/>
                      <w:iCs w:val="0"/>
                      <w:caps w:val="0"/>
                      <w:color w:val="333333"/>
                      <w:spacing w:val="0"/>
                      <w:sz w:val="21"/>
                      <w:szCs w:val="21"/>
                      <w:shd w:val="clear" w:fill="FFFFFF"/>
                      <w:lang w:val="en-US" w:eastAsia="zh-CN"/>
                    </w:rPr>
                  </w:pPr>
                  <w:r>
                    <w:rPr>
                      <w:rFonts w:hint="eastAsia" w:ascii="Helvetica" w:hAnsi="Helvetica" w:eastAsia="Helvetica" w:cs="Helvetica"/>
                      <w:i w:val="0"/>
                      <w:iCs w:val="0"/>
                      <w:caps w:val="0"/>
                      <w:color w:val="333333"/>
                      <w:spacing w:val="0"/>
                      <w:sz w:val="21"/>
                      <w:szCs w:val="21"/>
                      <w:shd w:val="clear" w:fill="FFFFFF"/>
                      <w:lang w:val="en-US" w:eastAsia="zh-CN"/>
                    </w:rPr>
                    <w:t>55</w:t>
                  </w:r>
                </w:p>
              </w:tc>
              <w:tc>
                <w:tcPr>
                  <w:tcW w:w="3049" w:type="dxa"/>
                  <w:noWrap w:val="0"/>
                  <w:vAlign w:val="center"/>
                </w:tcPr>
                <w:p w14:paraId="4C403811">
                  <w:pPr>
                    <w:keepNext w:val="0"/>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rPr>
                      <w:rFonts w:hint="default" w:ascii="Helvetica" w:hAnsi="Helvetica" w:eastAsia="Helvetica" w:cs="Helvetica"/>
                      <w:i w:val="0"/>
                      <w:iCs w:val="0"/>
                      <w:caps w:val="0"/>
                      <w:color w:val="333333"/>
                      <w:spacing w:val="0"/>
                      <w:sz w:val="21"/>
                      <w:szCs w:val="21"/>
                      <w:shd w:val="clear" w:fill="FFFFFF"/>
                    </w:rPr>
                  </w:pPr>
                  <w:r>
                    <w:rPr>
                      <w:rFonts w:ascii="Helvetica" w:hAnsi="Helvetica" w:eastAsia="Helvetica" w:cs="Helvetica"/>
                      <w:i w:val="0"/>
                      <w:iCs w:val="0"/>
                      <w:caps w:val="0"/>
                      <w:color w:val="333333"/>
                      <w:spacing w:val="0"/>
                      <w:sz w:val="21"/>
                      <w:szCs w:val="21"/>
                      <w:shd w:val="clear" w:fill="FFFFFF"/>
                    </w:rPr>
                    <w:t>石</w:t>
                  </w:r>
                  <w:r>
                    <w:rPr>
                      <w:rFonts w:hint="default" w:ascii="Helvetica" w:hAnsi="Helvetica" w:eastAsia="Helvetica" w:cs="Helvetica"/>
                      <w:i w:val="0"/>
                      <w:iCs w:val="0"/>
                      <w:caps w:val="0"/>
                      <w:color w:val="333333"/>
                      <w:spacing w:val="0"/>
                      <w:sz w:val="21"/>
                      <w:szCs w:val="21"/>
                      <w:shd w:val="clear" w:fill="FFFFFF"/>
                    </w:rPr>
                    <w:t>膏、水泥制品及类似制品制造302</w:t>
                  </w:r>
                </w:p>
              </w:tc>
              <w:tc>
                <w:tcPr>
                  <w:tcW w:w="1155" w:type="dxa"/>
                  <w:noWrap w:val="0"/>
                  <w:vAlign w:val="center"/>
                </w:tcPr>
                <w:p w14:paraId="3E1663F1">
                  <w:pPr>
                    <w:keepNext w:val="0"/>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rPr>
                      <w:rFonts w:hint="eastAsia" w:ascii="Helvetica" w:hAnsi="Helvetica" w:eastAsia="Helvetica" w:cs="Helvetica"/>
                      <w:i w:val="0"/>
                      <w:iCs w:val="0"/>
                      <w:caps w:val="0"/>
                      <w:color w:val="333333"/>
                      <w:spacing w:val="0"/>
                      <w:sz w:val="21"/>
                      <w:szCs w:val="21"/>
                      <w:shd w:val="clear" w:fill="FFFFFF"/>
                      <w:lang w:eastAsia="zh-CN"/>
                    </w:rPr>
                  </w:pPr>
                  <w:r>
                    <w:rPr>
                      <w:rFonts w:hint="eastAsia" w:ascii="Helvetica" w:hAnsi="Helvetica" w:eastAsia="Helvetica" w:cs="Helvetica"/>
                      <w:i w:val="0"/>
                      <w:iCs w:val="0"/>
                      <w:caps w:val="0"/>
                      <w:color w:val="333333"/>
                      <w:spacing w:val="0"/>
                      <w:sz w:val="21"/>
                      <w:szCs w:val="21"/>
                      <w:shd w:val="clear" w:fill="FFFFFF"/>
                      <w:lang w:val="en-US" w:eastAsia="zh-CN"/>
                    </w:rPr>
                    <w:t>/</w:t>
                  </w:r>
                </w:p>
              </w:tc>
              <w:tc>
                <w:tcPr>
                  <w:tcW w:w="3180" w:type="dxa"/>
                  <w:noWrap w:val="0"/>
                  <w:vAlign w:val="center"/>
                </w:tcPr>
                <w:p w14:paraId="11939EBB">
                  <w:pPr>
                    <w:keepNext w:val="0"/>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z w:val="21"/>
                      <w:szCs w:val="21"/>
                    </w:rPr>
                  </w:pPr>
                  <w:r>
                    <w:rPr>
                      <w:rFonts w:ascii="Helvetica" w:hAnsi="Helvetica" w:eastAsia="Helvetica" w:cs="Helvetica"/>
                      <w:i w:val="0"/>
                      <w:iCs w:val="0"/>
                      <w:caps w:val="0"/>
                      <w:color w:val="333333"/>
                      <w:spacing w:val="0"/>
                      <w:sz w:val="21"/>
                      <w:szCs w:val="21"/>
                      <w:shd w:val="clear" w:fill="FFFFFF"/>
                    </w:rPr>
                    <w:t>商</w:t>
                  </w:r>
                  <w:r>
                    <w:rPr>
                      <w:rFonts w:hint="default" w:ascii="Helvetica" w:hAnsi="Helvetica" w:eastAsia="Helvetica" w:cs="Helvetica"/>
                      <w:i w:val="0"/>
                      <w:iCs w:val="0"/>
                      <w:caps w:val="0"/>
                      <w:color w:val="333333"/>
                      <w:spacing w:val="0"/>
                      <w:sz w:val="21"/>
                      <w:szCs w:val="21"/>
                      <w:shd w:val="clear" w:fill="FFFFFF"/>
                    </w:rPr>
                    <w:t>品混凝土；砼结构构件制造；水泥制品制造</w:t>
                  </w:r>
                </w:p>
              </w:tc>
              <w:tc>
                <w:tcPr>
                  <w:tcW w:w="966" w:type="dxa"/>
                  <w:noWrap w:val="0"/>
                  <w:vAlign w:val="center"/>
                </w:tcPr>
                <w:p w14:paraId="6AC47599">
                  <w:pPr>
                    <w:keepNext w:val="0"/>
                    <w:keepLines w:val="0"/>
                    <w:pageBreakBefore w:val="0"/>
                    <w:widowControl/>
                    <w:kinsoku/>
                    <w:wordWrap w:val="0"/>
                    <w:overflowPunct w:val="0"/>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sz w:val="21"/>
                      <w:szCs w:val="21"/>
                    </w:rPr>
                  </w:pPr>
                  <w:r>
                    <w:rPr>
                      <w:rFonts w:hint="default" w:ascii="宋体" w:hAnsi="宋体" w:eastAsia="宋体" w:cs="宋体"/>
                      <w:sz w:val="21"/>
                      <w:szCs w:val="21"/>
                    </w:rPr>
                    <w:t>/</w:t>
                  </w:r>
                </w:p>
              </w:tc>
            </w:tr>
          </w:tbl>
          <w:p w14:paraId="24227713">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根据《固定污染源排污许可分类管理名录》，本项目所属行业类别为</w:t>
            </w:r>
            <w:r>
              <w:rPr>
                <w:rFonts w:hint="eastAsia" w:cs="Times New Roman"/>
                <w:color w:val="auto"/>
                <w:sz w:val="24"/>
                <w:szCs w:val="24"/>
                <w:lang w:val="en-US" w:eastAsia="zh-CN"/>
              </w:rPr>
              <w:t>二十五、非金属矿物制品业 30</w:t>
            </w:r>
            <w:r>
              <w:rPr>
                <w:rFonts w:hint="default" w:ascii="Times New Roman" w:hAnsi="Times New Roman" w:eastAsia="宋体" w:cs="Times New Roman"/>
                <w:color w:val="auto"/>
                <w:sz w:val="24"/>
                <w:szCs w:val="24"/>
                <w:lang w:val="en-US" w:eastAsia="zh-CN"/>
              </w:rPr>
              <w:t xml:space="preserve"> 93、</w:t>
            </w:r>
            <w:r>
              <w:rPr>
                <w:rFonts w:hint="eastAsia" w:cs="Times New Roman"/>
                <w:color w:val="auto"/>
                <w:sz w:val="24"/>
                <w:szCs w:val="24"/>
                <w:lang w:val="en-US" w:eastAsia="zh-CN"/>
              </w:rPr>
              <w:t>63.水泥、石灰和石膏制造301，石膏、水泥制品及类似制品制造302</w:t>
            </w:r>
            <w:r>
              <w:rPr>
                <w:rFonts w:hint="default" w:ascii="Times New Roman" w:hAnsi="Times New Roman" w:eastAsia="宋体" w:cs="Times New Roman"/>
                <w:color w:val="auto"/>
                <w:sz w:val="24"/>
                <w:szCs w:val="24"/>
                <w:lang w:val="en-US" w:eastAsia="zh-CN"/>
              </w:rPr>
              <w:t>中水泥制品制造3021，属于登记管理，原项目已于2020年11月24日进行排污登记。根据《排污许可管理条例》第十五条，本项目应当重新进行排污登记。</w:t>
            </w:r>
          </w:p>
          <w:p w14:paraId="54AEA62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lang w:eastAsia="zh-CN"/>
              </w:rPr>
              <w:t>、项目工程建设内容</w:t>
            </w:r>
          </w:p>
          <w:p w14:paraId="03C318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color w:val="auto"/>
                <w:sz w:val="24"/>
                <w:szCs w:val="24"/>
                <w:lang w:val="en-US" w:eastAsia="zh-CN"/>
              </w:rPr>
              <w:t>本项目位于安徽省淮北市濉溪县双堆集镇陈桥村，本公司用地面积为8亩，技改内容</w:t>
            </w:r>
            <w:r>
              <w:rPr>
                <w:rFonts w:hint="eastAsia" w:cs="Times New Roman"/>
                <w:color w:val="auto"/>
                <w:sz w:val="24"/>
                <w:szCs w:val="24"/>
                <w:lang w:val="en-US" w:eastAsia="zh-CN"/>
              </w:rPr>
              <w:t>利用现有厂房</w:t>
            </w:r>
            <w:r>
              <w:rPr>
                <w:rFonts w:hint="default" w:ascii="Times New Roman" w:hAnsi="Times New Roman" w:eastAsia="宋体" w:cs="Times New Roman"/>
                <w:color w:val="auto"/>
                <w:sz w:val="24"/>
                <w:szCs w:val="24"/>
                <w:lang w:val="en-US" w:eastAsia="zh-CN"/>
              </w:rPr>
              <w:t>，不新增用地。本项目工程内容为搅拌工序及环保设施，通过加工原项目产品，达到年产3</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万吨</w:t>
            </w:r>
            <w:r>
              <w:rPr>
                <w:rFonts w:hint="eastAsia" w:cs="Times New Roman"/>
                <w:color w:val="auto"/>
                <w:sz w:val="24"/>
                <w:szCs w:val="24"/>
                <w:lang w:val="en-US" w:eastAsia="zh-CN"/>
              </w:rPr>
              <w:t>水稳</w:t>
            </w:r>
            <w:r>
              <w:rPr>
                <w:rFonts w:hint="default" w:ascii="Times New Roman" w:hAnsi="Times New Roman" w:eastAsia="宋体" w:cs="Times New Roman"/>
                <w:color w:val="auto"/>
                <w:sz w:val="24"/>
                <w:szCs w:val="24"/>
                <w:lang w:val="en-US" w:eastAsia="zh-CN"/>
              </w:rPr>
              <w:t>，具体内容见表2-1。</w:t>
            </w:r>
          </w:p>
          <w:p w14:paraId="2D0F9D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表2-</w:t>
            </w:r>
            <w:r>
              <w:rPr>
                <w:rFonts w:hint="default" w:ascii="Times New Roman" w:hAnsi="Times New Roman" w:eastAsia="宋体" w:cs="Times New Roman"/>
                <w:b/>
                <w:bCs/>
                <w:color w:val="auto"/>
                <w:sz w:val="22"/>
                <w:szCs w:val="22"/>
                <w:lang w:val="en-US" w:eastAsia="zh-CN"/>
              </w:rPr>
              <w:t>1</w:t>
            </w:r>
            <w:r>
              <w:rPr>
                <w:rFonts w:hint="default" w:ascii="Times New Roman" w:hAnsi="Times New Roman" w:eastAsia="宋体" w:cs="Times New Roman"/>
                <w:b/>
                <w:bCs/>
                <w:color w:val="auto"/>
                <w:sz w:val="22"/>
                <w:szCs w:val="22"/>
                <w:lang w:val="zh-CN" w:eastAsia="zh-CN"/>
              </w:rPr>
              <w:t>工程建设内容一览表</w:t>
            </w:r>
          </w:p>
          <w:tbl>
            <w:tblPr>
              <w:tblStyle w:val="47"/>
              <w:tblW w:w="97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6"/>
              <w:gridCol w:w="484"/>
              <w:gridCol w:w="908"/>
              <w:gridCol w:w="2713"/>
              <w:gridCol w:w="2713"/>
              <w:gridCol w:w="2467"/>
            </w:tblGrid>
            <w:tr w14:paraId="42A13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jc w:val="center"/>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BAFD3">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工程名称</w:t>
                  </w: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A33C1B">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工程名称</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5CA15">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原有建设内容</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0D5E">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本次技改</w:t>
                  </w:r>
                  <w:r>
                    <w:rPr>
                      <w:rFonts w:hint="default" w:ascii="Times New Roman" w:hAnsi="Times New Roman" w:eastAsia="宋体" w:cs="Times New Roman"/>
                      <w:color w:val="auto"/>
                      <w:sz w:val="21"/>
                      <w:szCs w:val="21"/>
                      <w:lang w:val="en-US" w:eastAsia="zh-CN"/>
                    </w:rPr>
                    <w:t>设内容</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B6311">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技改后全厂内容</w:t>
                  </w:r>
                </w:p>
              </w:tc>
            </w:tr>
            <w:tr w14:paraId="6044D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244" w:type="pct"/>
                  <w:vMerge w:val="restart"/>
                  <w:tcBorders>
                    <w:top w:val="single" w:color="000000" w:sz="4" w:space="0"/>
                    <w:left w:val="single" w:color="000000" w:sz="4" w:space="0"/>
                    <w:right w:val="single" w:color="000000" w:sz="4" w:space="0"/>
                  </w:tcBorders>
                  <w:shd w:val="clear" w:color="auto" w:fill="auto"/>
                  <w:vAlign w:val="center"/>
                </w:tcPr>
                <w:p w14:paraId="0C918682">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主体工程</w:t>
                  </w: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3BD3FF">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破碎车间</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2AC59">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1F钢结构，建筑面积为2500m²</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rPr>
                    <w:t>内置破碎机、筛分机等生产设备。</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8843C">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auto"/>
                      <w:sz w:val="21"/>
                      <w:szCs w:val="21"/>
                      <w:lang w:val="en-US" w:eastAsia="zh-CN"/>
                    </w:rPr>
                    <w:t>依托现有</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FA3B">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rPr>
                    <w:t>1F钢结构，建筑面积为2500m²</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rPr>
                    <w:t>内置破碎机、筛分机等生产设备。</w:t>
                  </w:r>
                </w:p>
              </w:tc>
            </w:tr>
            <w:tr w14:paraId="2E7A6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jc w:val="center"/>
              </w:trPr>
              <w:tc>
                <w:tcPr>
                  <w:tcW w:w="244" w:type="pct"/>
                  <w:vMerge w:val="continue"/>
                  <w:tcBorders>
                    <w:left w:val="single" w:color="000000" w:sz="4" w:space="0"/>
                    <w:right w:val="single" w:color="000000" w:sz="4" w:space="0"/>
                  </w:tcBorders>
                  <w:shd w:val="clear" w:color="auto" w:fill="auto"/>
                  <w:vAlign w:val="center"/>
                </w:tcPr>
                <w:p w14:paraId="39E97D25">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BD1146">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搅拌车间</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4F5DC">
                  <w:pPr>
                    <w:keepLines w:val="0"/>
                    <w:pageBreakBefore w:val="0"/>
                    <w:kinsoku/>
                    <w:topLinePunct w:val="0"/>
                    <w:bidi w:val="0"/>
                    <w:adjustRightInd w:val="0"/>
                    <w:snapToGrid w:val="0"/>
                    <w:ind w:left="-107" w:leftChars="-51" w:right="-107" w:rightChars="-51"/>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4A8CD">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r>
                    <w:rPr>
                      <w:rFonts w:hint="eastAsia" w:cs="Times New Roman"/>
                      <w:color w:val="auto"/>
                      <w:sz w:val="21"/>
                      <w:szCs w:val="21"/>
                      <w:lang w:val="en-US" w:eastAsia="zh-CN"/>
                    </w:rPr>
                    <w:t>依托现有厂房进行改造，</w:t>
                  </w:r>
                  <w:r>
                    <w:rPr>
                      <w:rFonts w:hint="default" w:ascii="Times New Roman" w:hAnsi="Times New Roman" w:eastAsia="宋体" w:cs="Times New Roman"/>
                      <w:color w:val="auto"/>
                      <w:sz w:val="21"/>
                      <w:szCs w:val="21"/>
                      <w:lang w:val="en-US"/>
                    </w:rPr>
                    <w:t>1F钢结构，建筑面积为500m²</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新增搅拌</w:t>
                  </w:r>
                  <w:r>
                    <w:rPr>
                      <w:rFonts w:hint="default" w:ascii="Times New Roman" w:hAnsi="Times New Roman" w:eastAsia="宋体" w:cs="Times New Roman"/>
                      <w:color w:val="auto"/>
                      <w:sz w:val="21"/>
                      <w:szCs w:val="21"/>
                    </w:rPr>
                    <w:t>机等生产设备。</w:t>
                  </w:r>
                  <w:r>
                    <w:rPr>
                      <w:rFonts w:hint="eastAsia" w:cs="Times New Roman"/>
                      <w:color w:val="auto"/>
                      <w:sz w:val="21"/>
                      <w:szCs w:val="21"/>
                      <w:lang w:val="en-US" w:eastAsia="zh-CN"/>
                    </w:rPr>
                    <w:t>建成后达</w:t>
                  </w:r>
                  <w:r>
                    <w:rPr>
                      <w:rFonts w:hint="default" w:ascii="Times New Roman" w:hAnsi="Times New Roman" w:eastAsia="宋体" w:cs="Times New Roman"/>
                      <w:color w:val="auto"/>
                      <w:sz w:val="21"/>
                      <w:szCs w:val="21"/>
                    </w:rPr>
                    <w:t>年加工</w:t>
                  </w: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rPr>
                    <w:t>万吨</w:t>
                  </w:r>
                  <w:r>
                    <w:rPr>
                      <w:rFonts w:hint="eastAsia" w:cs="Times New Roman"/>
                      <w:color w:val="auto"/>
                      <w:sz w:val="21"/>
                      <w:szCs w:val="21"/>
                      <w:lang w:val="en-US" w:eastAsia="zh-CN"/>
                    </w:rPr>
                    <w:t>水稳</w:t>
                  </w:r>
                  <w:r>
                    <w:rPr>
                      <w:rFonts w:hint="default" w:ascii="Times New Roman" w:hAnsi="Times New Roman" w:eastAsia="宋体" w:cs="Times New Roman"/>
                      <w:color w:val="auto"/>
                      <w:sz w:val="21"/>
                      <w:szCs w:val="21"/>
                    </w:rPr>
                    <w:t>的生产能力</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7D039">
                  <w:pPr>
                    <w:keepLines w:val="0"/>
                    <w:pageBreakBefore w:val="0"/>
                    <w:kinsoku/>
                    <w:topLinePunct w:val="0"/>
                    <w:bidi w:val="0"/>
                    <w:adjustRightInd w:val="0"/>
                    <w:snapToGrid w:val="0"/>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依托现有厂房进行改造，</w:t>
                  </w:r>
                  <w:r>
                    <w:rPr>
                      <w:rFonts w:hint="default" w:ascii="Times New Roman" w:hAnsi="Times New Roman" w:eastAsia="宋体" w:cs="Times New Roman"/>
                      <w:color w:val="auto"/>
                      <w:sz w:val="21"/>
                      <w:szCs w:val="21"/>
                      <w:lang w:val="en-US"/>
                    </w:rPr>
                    <w:t>1F钢结构，建筑面积为500m²</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新增搅拌</w:t>
                  </w:r>
                  <w:r>
                    <w:rPr>
                      <w:rFonts w:hint="default" w:ascii="Times New Roman" w:hAnsi="Times New Roman" w:eastAsia="宋体" w:cs="Times New Roman"/>
                      <w:color w:val="auto"/>
                      <w:sz w:val="21"/>
                      <w:szCs w:val="21"/>
                    </w:rPr>
                    <w:t>机等生产设备。</w:t>
                  </w:r>
                  <w:r>
                    <w:rPr>
                      <w:rFonts w:hint="eastAsia" w:cs="Times New Roman"/>
                      <w:color w:val="auto"/>
                      <w:sz w:val="21"/>
                      <w:szCs w:val="21"/>
                      <w:lang w:val="en-US" w:eastAsia="zh-CN"/>
                    </w:rPr>
                    <w:t>建成后达</w:t>
                  </w:r>
                  <w:r>
                    <w:rPr>
                      <w:rFonts w:hint="default" w:ascii="Times New Roman" w:hAnsi="Times New Roman" w:eastAsia="宋体" w:cs="Times New Roman"/>
                      <w:color w:val="auto"/>
                      <w:sz w:val="21"/>
                      <w:szCs w:val="21"/>
                    </w:rPr>
                    <w:t>年加工</w:t>
                  </w: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rPr>
                    <w:t>万吨</w:t>
                  </w:r>
                  <w:r>
                    <w:rPr>
                      <w:rFonts w:hint="eastAsia" w:cs="Times New Roman"/>
                      <w:color w:val="auto"/>
                      <w:sz w:val="21"/>
                      <w:szCs w:val="21"/>
                      <w:lang w:val="en-US" w:eastAsia="zh-CN"/>
                    </w:rPr>
                    <w:t>水稳</w:t>
                  </w:r>
                  <w:r>
                    <w:rPr>
                      <w:rFonts w:hint="default" w:ascii="Times New Roman" w:hAnsi="Times New Roman" w:eastAsia="宋体" w:cs="Times New Roman"/>
                      <w:color w:val="auto"/>
                      <w:sz w:val="21"/>
                      <w:szCs w:val="21"/>
                    </w:rPr>
                    <w:t>的生产能力</w:t>
                  </w:r>
                </w:p>
              </w:tc>
            </w:tr>
            <w:tr w14:paraId="11055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244" w:type="pct"/>
                  <w:vMerge w:val="restart"/>
                  <w:tcBorders>
                    <w:top w:val="single" w:color="000000" w:sz="4" w:space="0"/>
                    <w:left w:val="single" w:color="000000" w:sz="4" w:space="0"/>
                    <w:right w:val="single" w:color="000000" w:sz="4" w:space="0"/>
                  </w:tcBorders>
                  <w:shd w:val="clear" w:color="auto" w:fill="auto"/>
                  <w:vAlign w:val="center"/>
                </w:tcPr>
                <w:p w14:paraId="10CABBAD">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辅助工程</w:t>
                  </w: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76D59">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原材料仓库</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4154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IF钢结构，建筑面积为1600m²</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用于存放原辅材料。</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8BB24">
                  <w:pPr>
                    <w:keepNext w:val="0"/>
                    <w:keepLines w:val="0"/>
                    <w:widowControl/>
                    <w:suppressLineNumbers w:val="0"/>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依托现有</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D802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IF钢结构，建筑面积为1600m²</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用于存放原辅材料。</w:t>
                  </w:r>
                </w:p>
              </w:tc>
            </w:tr>
            <w:tr w14:paraId="509C3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244" w:type="pct"/>
                  <w:vMerge w:val="continue"/>
                  <w:tcBorders>
                    <w:left w:val="single" w:color="000000" w:sz="4" w:space="0"/>
                    <w:right w:val="single" w:color="000000" w:sz="4" w:space="0"/>
                  </w:tcBorders>
                  <w:shd w:val="clear" w:color="auto" w:fill="auto"/>
                  <w:vAlign w:val="center"/>
                </w:tcPr>
                <w:p w14:paraId="4B49F416">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5F26D4">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成品仓库</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7B7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1F钢结构，建筑面积为</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00m²</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用于存放</w:t>
                  </w:r>
                  <w:r>
                    <w:rPr>
                      <w:rFonts w:hint="eastAsia" w:cs="Times New Roman"/>
                      <w:color w:val="auto"/>
                      <w:sz w:val="21"/>
                      <w:szCs w:val="21"/>
                      <w:lang w:val="en-US" w:eastAsia="zh-CN"/>
                    </w:rPr>
                    <w:t>煤矸石、建筑垃圾建材颗粒</w:t>
                  </w:r>
                  <w:r>
                    <w:rPr>
                      <w:rFonts w:hint="default" w:ascii="Times New Roman" w:hAnsi="Times New Roman" w:eastAsia="宋体" w:cs="Times New Roman"/>
                      <w:i w:val="0"/>
                      <w:iCs w:val="0"/>
                      <w:color w:val="000000"/>
                      <w:kern w:val="0"/>
                      <w:sz w:val="21"/>
                      <w:szCs w:val="21"/>
                      <w:u w:val="none"/>
                      <w:lang w:val="en-US" w:eastAsia="zh-CN" w:bidi="ar"/>
                    </w:rPr>
                    <w:t>。</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F27BF">
                  <w:pPr>
                    <w:keepNext w:val="0"/>
                    <w:keepLines w:val="0"/>
                    <w:widowControl/>
                    <w:suppressLineNumbers w:val="0"/>
                    <w:jc w:val="center"/>
                    <w:textAlignment w:val="center"/>
                    <w:rPr>
                      <w:rFonts w:hint="default" w:ascii="Times New Roman" w:hAnsi="Times New Roman" w:eastAsia="宋体" w:cs="Times New Roman"/>
                      <w:color w:val="FF0000"/>
                      <w:kern w:val="2"/>
                      <w:sz w:val="21"/>
                      <w:szCs w:val="21"/>
                      <w:lang w:val="en-US" w:eastAsia="zh-CN" w:bidi="ar-SA"/>
                    </w:rPr>
                  </w:pPr>
                  <w:r>
                    <w:rPr>
                      <w:rFonts w:hint="eastAsia" w:cs="Times New Roman"/>
                      <w:color w:val="auto"/>
                      <w:sz w:val="21"/>
                      <w:szCs w:val="21"/>
                      <w:lang w:val="en-US" w:eastAsia="zh-CN"/>
                    </w:rPr>
                    <w:t>原有项目成品仓库作为本项目原料仓库，原料为煤矸石、建筑垃圾建材颗粒</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D353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1F钢结构，建筑面积为</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00m²</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用于存放</w:t>
                  </w:r>
                  <w:r>
                    <w:rPr>
                      <w:rFonts w:hint="eastAsia" w:cs="Times New Roman"/>
                      <w:color w:val="auto"/>
                      <w:sz w:val="21"/>
                      <w:szCs w:val="21"/>
                      <w:lang w:val="en-US" w:eastAsia="zh-CN"/>
                    </w:rPr>
                    <w:t>煤矸石、建筑垃圾建材颗粒</w:t>
                  </w:r>
                  <w:r>
                    <w:rPr>
                      <w:rFonts w:hint="default" w:ascii="Times New Roman" w:hAnsi="Times New Roman" w:eastAsia="宋体" w:cs="Times New Roman"/>
                      <w:i w:val="0"/>
                      <w:iCs w:val="0"/>
                      <w:color w:val="000000"/>
                      <w:kern w:val="0"/>
                      <w:sz w:val="21"/>
                      <w:szCs w:val="21"/>
                      <w:u w:val="none"/>
                      <w:lang w:val="en-US" w:eastAsia="zh-CN" w:bidi="ar"/>
                    </w:rPr>
                    <w:t>。</w:t>
                  </w:r>
                </w:p>
              </w:tc>
            </w:tr>
            <w:tr w14:paraId="5780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244" w:type="pct"/>
                  <w:vMerge w:val="continue"/>
                  <w:tcBorders>
                    <w:left w:val="single" w:color="000000" w:sz="4" w:space="0"/>
                    <w:right w:val="single" w:color="000000" w:sz="4" w:space="0"/>
                  </w:tcBorders>
                  <w:shd w:val="clear" w:color="auto" w:fill="auto"/>
                  <w:vAlign w:val="center"/>
                </w:tcPr>
                <w:p w14:paraId="639B0EB4">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07BDF">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办公室</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1F4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IF,砖混结构，建筑面积80m²</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用于厂区职工办公。</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2376D">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依托现有</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4D0C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IF,砖混结构，建筑面积80m²</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用于厂区职工办公。</w:t>
                  </w:r>
                </w:p>
              </w:tc>
            </w:tr>
            <w:tr w14:paraId="7A439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244" w:type="pct"/>
                  <w:vMerge w:val="continue"/>
                  <w:tcBorders>
                    <w:left w:val="single" w:color="000000" w:sz="4" w:space="0"/>
                    <w:bottom w:val="single" w:color="000000" w:sz="4" w:space="0"/>
                    <w:right w:val="single" w:color="000000" w:sz="4" w:space="0"/>
                  </w:tcBorders>
                  <w:shd w:val="clear" w:color="auto" w:fill="auto"/>
                  <w:vAlign w:val="center"/>
                </w:tcPr>
                <w:p w14:paraId="2D213A07">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2015E">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门卫室</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AB5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IF,砖混结构，建筑面积20m²</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用于厂区进出人员登记等。</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06B92">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依托现有</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E35B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IF,砖混结构，建筑面积20m²</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用于厂区进出人员登记等。</w:t>
                  </w:r>
                </w:p>
              </w:tc>
            </w:tr>
            <w:tr w14:paraId="04761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F029EF">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公用工程</w:t>
                  </w: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7EB2BE">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供水</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B6AEA">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由市政管网供应</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4538C">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由市政管网供应</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F72B5">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由市政管网供应</w:t>
                  </w:r>
                </w:p>
              </w:tc>
            </w:tr>
            <w:tr w14:paraId="0C633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55036">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BC6DC9">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供电</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FF285">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由当地电网供电</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9EE32">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由当地电网供电</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7BE6A">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由当地电网供电</w:t>
                  </w:r>
                </w:p>
              </w:tc>
            </w:tr>
            <w:tr w14:paraId="65C7D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7D393">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2FDA25">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排水</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775C0">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厂区雨污分流制，雨水汇入附近沟渠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污水经项目</w:t>
                  </w:r>
                  <w:r>
                    <w:rPr>
                      <w:rFonts w:hint="eastAsia" w:cs="Times New Roman"/>
                      <w:color w:val="auto"/>
                      <w:sz w:val="21"/>
                      <w:szCs w:val="21"/>
                      <w:lang w:val="en-US" w:eastAsia="zh-CN"/>
                    </w:rPr>
                    <w:t>化粪池收集</w:t>
                  </w:r>
                  <w:r>
                    <w:rPr>
                      <w:rFonts w:hint="default" w:ascii="Times New Roman" w:hAnsi="Times New Roman" w:eastAsia="宋体" w:cs="Times New Roman"/>
                      <w:color w:val="auto"/>
                      <w:sz w:val="21"/>
                      <w:szCs w:val="21"/>
                      <w:lang w:val="en-US" w:eastAsia="zh-CN"/>
                    </w:rPr>
                    <w:t>后</w:t>
                  </w:r>
                  <w:r>
                    <w:rPr>
                      <w:rFonts w:hint="default" w:ascii="Times New Roman" w:hAnsi="Times New Roman" w:eastAsia="宋体" w:cs="Times New Roman"/>
                      <w:b w:val="0"/>
                      <w:bCs/>
                      <w:color w:val="auto"/>
                      <w:sz w:val="21"/>
                      <w:szCs w:val="21"/>
                      <w:lang w:val="en-US" w:eastAsia="zh-CN"/>
                    </w:rPr>
                    <w:t>定期清掏，不外排</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5C00B">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依托现有</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E2919">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厂区雨污分流制，雨水汇入附近沟渠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污水经项目</w:t>
                  </w:r>
                  <w:r>
                    <w:rPr>
                      <w:rFonts w:hint="eastAsia" w:cs="Times New Roman"/>
                      <w:color w:val="auto"/>
                      <w:sz w:val="21"/>
                      <w:szCs w:val="21"/>
                      <w:lang w:val="en-US" w:eastAsia="zh-CN"/>
                    </w:rPr>
                    <w:t>化粪池收集</w:t>
                  </w:r>
                  <w:r>
                    <w:rPr>
                      <w:rFonts w:hint="default" w:ascii="Times New Roman" w:hAnsi="Times New Roman" w:eastAsia="宋体" w:cs="Times New Roman"/>
                      <w:color w:val="auto"/>
                      <w:sz w:val="21"/>
                      <w:szCs w:val="21"/>
                      <w:lang w:val="en-US" w:eastAsia="zh-CN"/>
                    </w:rPr>
                    <w:t>后</w:t>
                  </w:r>
                  <w:r>
                    <w:rPr>
                      <w:rFonts w:hint="default" w:ascii="Times New Roman" w:hAnsi="Times New Roman" w:eastAsia="宋体" w:cs="Times New Roman"/>
                      <w:b w:val="0"/>
                      <w:bCs/>
                      <w:color w:val="auto"/>
                      <w:sz w:val="21"/>
                      <w:szCs w:val="21"/>
                      <w:lang w:val="en-US" w:eastAsia="zh-CN"/>
                    </w:rPr>
                    <w:t>定期清掏，不外排</w:t>
                  </w:r>
                </w:p>
              </w:tc>
            </w:tr>
            <w:tr w14:paraId="4E0ED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244" w:type="pct"/>
                  <w:vMerge w:val="restart"/>
                  <w:tcBorders>
                    <w:top w:val="single" w:color="000000" w:sz="4" w:space="0"/>
                    <w:left w:val="single" w:color="000000" w:sz="4" w:space="0"/>
                    <w:right w:val="single" w:color="000000" w:sz="4" w:space="0"/>
                  </w:tcBorders>
                  <w:shd w:val="clear" w:color="auto" w:fill="auto"/>
                  <w:vAlign w:val="center"/>
                </w:tcPr>
                <w:p w14:paraId="77B232F6">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环保工程</w:t>
                  </w:r>
                </w:p>
              </w:tc>
              <w:tc>
                <w:tcPr>
                  <w:tcW w:w="248" w:type="pct"/>
                  <w:vMerge w:val="restart"/>
                  <w:tcBorders>
                    <w:top w:val="single" w:color="000000" w:sz="4" w:space="0"/>
                    <w:left w:val="single" w:color="000000" w:sz="4" w:space="0"/>
                    <w:right w:val="single" w:color="000000" w:sz="4" w:space="0"/>
                  </w:tcBorders>
                  <w:shd w:val="clear" w:color="auto" w:fill="auto"/>
                  <w:vAlign w:val="center"/>
                </w:tcPr>
                <w:p w14:paraId="308B7D83">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464" w:type="pct"/>
                  <w:vMerge w:val="restart"/>
                  <w:tcBorders>
                    <w:top w:val="single" w:color="000000" w:sz="4" w:space="0"/>
                    <w:left w:val="single" w:color="000000" w:sz="4" w:space="0"/>
                    <w:right w:val="single" w:color="000000" w:sz="4" w:space="0"/>
                  </w:tcBorders>
                  <w:shd w:val="clear" w:color="auto" w:fill="auto"/>
                  <w:vAlign w:val="center"/>
                </w:tcPr>
                <w:p w14:paraId="3DFC6D5D">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有组织废气</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6ADF8">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破碎筛分废气经集气罩收集+布袋除尘器处理后经15米高排气筒</w:t>
                  </w:r>
                  <w:r>
                    <w:rPr>
                      <w:rFonts w:hint="eastAsia" w:cs="Times New Roman"/>
                      <w:color w:val="auto"/>
                      <w:sz w:val="21"/>
                      <w:szCs w:val="21"/>
                      <w:lang w:val="en-US" w:eastAsia="zh-CN"/>
                    </w:rPr>
                    <w:t>DA001</w:t>
                  </w:r>
                  <w:r>
                    <w:rPr>
                      <w:rFonts w:hint="default" w:ascii="Times New Roman" w:hAnsi="Times New Roman" w:eastAsia="宋体" w:cs="Times New Roman"/>
                      <w:color w:val="auto"/>
                      <w:sz w:val="21"/>
                      <w:szCs w:val="21"/>
                      <w:lang w:val="en-US" w:eastAsia="zh-CN"/>
                    </w:rPr>
                    <w:t>排放</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B3987">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依托现有</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BFB2C">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破碎筛分废气经集气罩收集+布袋除尘器处理后经15米高排气筒</w:t>
                  </w:r>
                  <w:r>
                    <w:rPr>
                      <w:rFonts w:hint="eastAsia" w:cs="Times New Roman"/>
                      <w:color w:val="auto"/>
                      <w:sz w:val="21"/>
                      <w:szCs w:val="21"/>
                      <w:lang w:val="en-US" w:eastAsia="zh-CN"/>
                    </w:rPr>
                    <w:t>DA001</w:t>
                  </w:r>
                  <w:r>
                    <w:rPr>
                      <w:rFonts w:hint="default" w:ascii="Times New Roman" w:hAnsi="Times New Roman" w:eastAsia="宋体" w:cs="Times New Roman"/>
                      <w:color w:val="auto"/>
                      <w:sz w:val="21"/>
                      <w:szCs w:val="21"/>
                      <w:lang w:val="en-US" w:eastAsia="zh-CN"/>
                    </w:rPr>
                    <w:t>排放</w:t>
                  </w:r>
                </w:p>
              </w:tc>
            </w:tr>
            <w:tr w14:paraId="6AFA0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244" w:type="pct"/>
                  <w:vMerge w:val="continue"/>
                  <w:tcBorders>
                    <w:left w:val="single" w:color="000000" w:sz="4" w:space="0"/>
                    <w:right w:val="single" w:color="000000" w:sz="4" w:space="0"/>
                  </w:tcBorders>
                  <w:shd w:val="clear" w:color="auto" w:fill="auto"/>
                  <w:vAlign w:val="center"/>
                </w:tcPr>
                <w:p w14:paraId="39799C7E">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p>
              </w:tc>
              <w:tc>
                <w:tcPr>
                  <w:tcW w:w="248" w:type="pct"/>
                  <w:vMerge w:val="continue"/>
                  <w:tcBorders>
                    <w:left w:val="single" w:color="000000" w:sz="4" w:space="0"/>
                    <w:right w:val="single" w:color="000000" w:sz="4" w:space="0"/>
                  </w:tcBorders>
                  <w:shd w:val="clear" w:color="auto" w:fill="auto"/>
                  <w:vAlign w:val="center"/>
                </w:tcPr>
                <w:p w14:paraId="629DC7CB">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p>
              </w:tc>
              <w:tc>
                <w:tcPr>
                  <w:tcW w:w="464" w:type="pct"/>
                  <w:vMerge w:val="continue"/>
                  <w:tcBorders>
                    <w:left w:val="single" w:color="000000" w:sz="4" w:space="0"/>
                    <w:bottom w:val="single" w:color="000000" w:sz="4" w:space="0"/>
                    <w:right w:val="single" w:color="000000" w:sz="4" w:space="0"/>
                  </w:tcBorders>
                  <w:shd w:val="clear" w:color="auto" w:fill="auto"/>
                  <w:vAlign w:val="center"/>
                </w:tcPr>
                <w:p w14:paraId="0B18E558">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DE45B">
                  <w:pPr>
                    <w:keepLines w:val="0"/>
                    <w:pageBreakBefore w:val="0"/>
                    <w:kinsoku/>
                    <w:topLinePunct w:val="0"/>
                    <w:bidi w:val="0"/>
                    <w:adjustRightInd w:val="0"/>
                    <w:snapToGrid w:val="0"/>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9D574">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搅拌废气经</w:t>
                  </w:r>
                  <w:r>
                    <w:rPr>
                      <w:rFonts w:hint="default" w:ascii="Times New Roman" w:hAnsi="Times New Roman" w:eastAsia="宋体" w:cs="Times New Roman"/>
                      <w:color w:val="auto"/>
                      <w:sz w:val="21"/>
                      <w:szCs w:val="21"/>
                      <w:lang w:val="en-US" w:eastAsia="zh-CN"/>
                    </w:rPr>
                    <w:t>布袋除尘器处理后经15米高排气筒</w:t>
                  </w:r>
                  <w:r>
                    <w:rPr>
                      <w:rFonts w:hint="eastAsia" w:cs="Times New Roman"/>
                      <w:color w:val="auto"/>
                      <w:sz w:val="21"/>
                      <w:szCs w:val="21"/>
                      <w:lang w:val="en-US" w:eastAsia="zh-CN"/>
                    </w:rPr>
                    <w:t>DA002</w:t>
                  </w:r>
                  <w:r>
                    <w:rPr>
                      <w:rFonts w:hint="default" w:ascii="Times New Roman" w:hAnsi="Times New Roman" w:eastAsia="宋体" w:cs="Times New Roman"/>
                      <w:color w:val="auto"/>
                      <w:sz w:val="21"/>
                      <w:szCs w:val="21"/>
                      <w:lang w:val="en-US" w:eastAsia="zh-CN"/>
                    </w:rPr>
                    <w:t>排放</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83A7A">
                  <w:pPr>
                    <w:keepLines w:val="0"/>
                    <w:pageBreakBefore w:val="0"/>
                    <w:kinsoku/>
                    <w:topLinePunct w:val="0"/>
                    <w:bidi w:val="0"/>
                    <w:adjustRightInd w:val="0"/>
                    <w:snapToGrid w:val="0"/>
                    <w:ind w:left="-107" w:leftChars="-51" w:right="-107" w:rightChars="-51"/>
                    <w:jc w:val="center"/>
                    <w:rPr>
                      <w:rFonts w:hint="eastAsia" w:cs="Times New Roman"/>
                      <w:color w:val="auto"/>
                      <w:sz w:val="21"/>
                      <w:szCs w:val="21"/>
                      <w:lang w:val="en-US" w:eastAsia="zh-CN"/>
                    </w:rPr>
                  </w:pPr>
                  <w:r>
                    <w:rPr>
                      <w:rFonts w:hint="eastAsia" w:cs="Times New Roman"/>
                      <w:color w:val="auto"/>
                      <w:sz w:val="21"/>
                      <w:szCs w:val="21"/>
                      <w:lang w:val="en-US" w:eastAsia="zh-CN"/>
                    </w:rPr>
                    <w:t>搅拌废气经</w:t>
                  </w:r>
                  <w:r>
                    <w:rPr>
                      <w:rFonts w:hint="default" w:ascii="Times New Roman" w:hAnsi="Times New Roman" w:eastAsia="宋体" w:cs="Times New Roman"/>
                      <w:color w:val="auto"/>
                      <w:sz w:val="21"/>
                      <w:szCs w:val="21"/>
                      <w:lang w:val="en-US" w:eastAsia="zh-CN"/>
                    </w:rPr>
                    <w:t>布袋除尘器处理后经15米高排气筒</w:t>
                  </w:r>
                  <w:r>
                    <w:rPr>
                      <w:rFonts w:hint="eastAsia" w:cs="Times New Roman"/>
                      <w:color w:val="auto"/>
                      <w:sz w:val="21"/>
                      <w:szCs w:val="21"/>
                      <w:lang w:val="en-US" w:eastAsia="zh-CN"/>
                    </w:rPr>
                    <w:t>DA002</w:t>
                  </w:r>
                  <w:r>
                    <w:rPr>
                      <w:rFonts w:hint="default" w:ascii="Times New Roman" w:hAnsi="Times New Roman" w:eastAsia="宋体" w:cs="Times New Roman"/>
                      <w:color w:val="auto"/>
                      <w:sz w:val="21"/>
                      <w:szCs w:val="21"/>
                      <w:lang w:val="en-US" w:eastAsia="zh-CN"/>
                    </w:rPr>
                    <w:t>排放</w:t>
                  </w:r>
                </w:p>
              </w:tc>
            </w:tr>
            <w:tr w14:paraId="626BC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4" w:type="pct"/>
                  <w:vMerge w:val="continue"/>
                  <w:tcBorders>
                    <w:left w:val="single" w:color="000000" w:sz="4" w:space="0"/>
                    <w:right w:val="single" w:color="000000" w:sz="4" w:space="0"/>
                  </w:tcBorders>
                  <w:shd w:val="clear" w:color="auto" w:fill="auto"/>
                  <w:vAlign w:val="center"/>
                </w:tcPr>
                <w:p w14:paraId="3A109B79">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248" w:type="pct"/>
                  <w:vMerge w:val="continue"/>
                  <w:tcBorders>
                    <w:left w:val="single" w:color="000000" w:sz="4" w:space="0"/>
                    <w:bottom w:val="single" w:color="000000" w:sz="4" w:space="0"/>
                    <w:right w:val="single" w:color="000000" w:sz="4" w:space="0"/>
                  </w:tcBorders>
                  <w:shd w:val="clear" w:color="auto" w:fill="auto"/>
                  <w:vAlign w:val="center"/>
                </w:tcPr>
                <w:p w14:paraId="03EEC520">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27BE6">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原料区扬尘</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8BC13">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包括水泵、水管、喷枪设施，密闭大棚</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36DAA">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依托现有</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C01FB">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包括水泵、水管、喷枪设施，密闭大棚</w:t>
                  </w:r>
                </w:p>
              </w:tc>
            </w:tr>
            <w:tr w14:paraId="7281B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44" w:type="pct"/>
                  <w:vMerge w:val="continue"/>
                  <w:tcBorders>
                    <w:left w:val="single" w:color="000000" w:sz="4" w:space="0"/>
                    <w:right w:val="single" w:color="000000" w:sz="4" w:space="0"/>
                  </w:tcBorders>
                  <w:shd w:val="clear" w:color="auto" w:fill="auto"/>
                  <w:vAlign w:val="center"/>
                </w:tcPr>
                <w:p w14:paraId="4631244D">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3900D4">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1AE47">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污水经项目</w:t>
                  </w:r>
                  <w:r>
                    <w:rPr>
                      <w:rFonts w:hint="eastAsia" w:cs="Times New Roman"/>
                      <w:color w:val="auto"/>
                      <w:sz w:val="21"/>
                      <w:szCs w:val="21"/>
                      <w:lang w:val="en-US" w:eastAsia="zh-CN"/>
                    </w:rPr>
                    <w:t>化粪池收集</w:t>
                  </w:r>
                  <w:r>
                    <w:rPr>
                      <w:rFonts w:hint="default" w:ascii="Times New Roman" w:hAnsi="Times New Roman" w:eastAsia="宋体" w:cs="Times New Roman"/>
                      <w:color w:val="auto"/>
                      <w:sz w:val="21"/>
                      <w:szCs w:val="21"/>
                      <w:lang w:val="en-US" w:eastAsia="zh-CN"/>
                    </w:rPr>
                    <w:t>后</w:t>
                  </w:r>
                  <w:r>
                    <w:rPr>
                      <w:rFonts w:hint="default" w:ascii="Times New Roman" w:hAnsi="Times New Roman" w:eastAsia="宋体" w:cs="Times New Roman"/>
                      <w:b w:val="0"/>
                      <w:bCs/>
                      <w:color w:val="auto"/>
                      <w:sz w:val="21"/>
                      <w:szCs w:val="21"/>
                      <w:lang w:val="en-US" w:eastAsia="zh-CN"/>
                    </w:rPr>
                    <w:t>定期清掏，不外排。车辆冲洗废水经沉淀池处理后循环使用，不外排。</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F11AE">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依托现有，本次技改无新增生产废水和生活污水。</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1E7B0">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污水经项目</w:t>
                  </w:r>
                  <w:r>
                    <w:rPr>
                      <w:rFonts w:hint="eastAsia" w:cs="Times New Roman"/>
                      <w:color w:val="auto"/>
                      <w:sz w:val="21"/>
                      <w:szCs w:val="21"/>
                      <w:lang w:val="en-US" w:eastAsia="zh-CN"/>
                    </w:rPr>
                    <w:t>化粪池收集</w:t>
                  </w:r>
                  <w:r>
                    <w:rPr>
                      <w:rFonts w:hint="default" w:ascii="Times New Roman" w:hAnsi="Times New Roman" w:eastAsia="宋体" w:cs="Times New Roman"/>
                      <w:color w:val="auto"/>
                      <w:sz w:val="21"/>
                      <w:szCs w:val="21"/>
                      <w:lang w:val="en-US" w:eastAsia="zh-CN"/>
                    </w:rPr>
                    <w:t>后</w:t>
                  </w:r>
                  <w:r>
                    <w:rPr>
                      <w:rFonts w:hint="default" w:ascii="Times New Roman" w:hAnsi="Times New Roman" w:eastAsia="宋体" w:cs="Times New Roman"/>
                      <w:b w:val="0"/>
                      <w:bCs/>
                      <w:color w:val="auto"/>
                      <w:sz w:val="21"/>
                      <w:szCs w:val="21"/>
                      <w:lang w:val="en-US" w:eastAsia="zh-CN"/>
                    </w:rPr>
                    <w:t>定期清掏，不外排。车辆冲洗废水经沉淀池处理后循环使用，不外排。</w:t>
                  </w:r>
                </w:p>
              </w:tc>
            </w:tr>
            <w:tr w14:paraId="69B47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44" w:type="pct"/>
                  <w:vMerge w:val="continue"/>
                  <w:tcBorders>
                    <w:left w:val="single" w:color="000000" w:sz="4" w:space="0"/>
                    <w:right w:val="single" w:color="000000" w:sz="4" w:space="0"/>
                  </w:tcBorders>
                  <w:shd w:val="clear" w:color="auto" w:fill="auto"/>
                  <w:vAlign w:val="center"/>
                </w:tcPr>
                <w:p w14:paraId="4A5D167A">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26B25">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18D91">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优选低噪设备，合理布局、基础减振，距离衰减</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AD6A9">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优选低噪设备，合理布局、基础减振，距离衰减</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84B8F">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优选低噪设备，合理布局、基础减振，距离衰减</w:t>
                  </w:r>
                </w:p>
              </w:tc>
            </w:tr>
            <w:tr w14:paraId="69A8B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4" w:type="pct"/>
                  <w:vMerge w:val="continue"/>
                  <w:tcBorders>
                    <w:left w:val="single" w:color="000000" w:sz="4" w:space="0"/>
                    <w:right w:val="single" w:color="000000" w:sz="4" w:space="0"/>
                  </w:tcBorders>
                  <w:shd w:val="clear" w:color="auto" w:fill="auto"/>
                  <w:vAlign w:val="center"/>
                </w:tcPr>
                <w:p w14:paraId="7C1A12F8">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B873E">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6AA1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4"/>
                      <w:lang w:val="en-US" w:eastAsia="zh-CN" w:bidi="ar-SA"/>
                    </w:rPr>
                    <w:t>废气处理收集粉尘</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1603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一般工业固体废物暂存</w:t>
                  </w:r>
                  <w:r>
                    <w:rPr>
                      <w:rFonts w:hint="eastAsia" w:cs="Times New Roman"/>
                      <w:color w:val="auto"/>
                      <w:kern w:val="2"/>
                      <w:sz w:val="21"/>
                      <w:szCs w:val="21"/>
                      <w:lang w:val="en-US" w:eastAsia="zh-CN" w:bidi="ar-SA"/>
                    </w:rPr>
                    <w:t>场所</w:t>
                  </w:r>
                  <w:r>
                    <w:rPr>
                      <w:rFonts w:hint="default" w:ascii="Times New Roman" w:hAnsi="Times New Roman" w:eastAsia="宋体" w:cs="Times New Roman"/>
                      <w:color w:val="auto"/>
                      <w:kern w:val="2"/>
                      <w:sz w:val="21"/>
                      <w:szCs w:val="21"/>
                      <w:lang w:val="en-US" w:eastAsia="zh-CN" w:bidi="ar-SA"/>
                    </w:rPr>
                    <w:t>暂存，</w:t>
                  </w:r>
                  <w:r>
                    <w:rPr>
                      <w:rFonts w:hint="eastAsia" w:cs="Times New Roman"/>
                      <w:color w:val="auto"/>
                      <w:kern w:val="2"/>
                      <w:sz w:val="21"/>
                      <w:szCs w:val="21"/>
                      <w:lang w:val="en-US" w:eastAsia="zh-CN" w:bidi="ar-SA"/>
                    </w:rPr>
                    <w:t>回用于生产</w:t>
                  </w:r>
                  <w:r>
                    <w:rPr>
                      <w:rFonts w:hint="default" w:ascii="Times New Roman" w:hAnsi="Times New Roman" w:eastAsia="宋体" w:cs="Times New Roman"/>
                      <w:color w:val="auto"/>
                      <w:kern w:val="2"/>
                      <w:sz w:val="21"/>
                      <w:szCs w:val="21"/>
                      <w:lang w:val="en-US" w:eastAsia="zh-CN" w:bidi="ar-SA"/>
                    </w:rPr>
                    <w:t>。</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C9E3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一般工业固体废物暂存</w:t>
                  </w:r>
                  <w:r>
                    <w:rPr>
                      <w:rFonts w:hint="eastAsia" w:cs="Times New Roman"/>
                      <w:color w:val="auto"/>
                      <w:kern w:val="2"/>
                      <w:sz w:val="21"/>
                      <w:szCs w:val="21"/>
                      <w:lang w:val="en-US" w:eastAsia="zh-CN" w:bidi="ar-SA"/>
                    </w:rPr>
                    <w:t>场所</w:t>
                  </w:r>
                  <w:r>
                    <w:rPr>
                      <w:rFonts w:hint="default" w:ascii="Times New Roman" w:hAnsi="Times New Roman" w:eastAsia="宋体" w:cs="Times New Roman"/>
                      <w:color w:val="auto"/>
                      <w:kern w:val="2"/>
                      <w:sz w:val="21"/>
                      <w:szCs w:val="21"/>
                      <w:lang w:val="en-US" w:eastAsia="zh-CN" w:bidi="ar-SA"/>
                    </w:rPr>
                    <w:t>暂存，</w:t>
                  </w:r>
                  <w:r>
                    <w:rPr>
                      <w:rFonts w:hint="eastAsia" w:cs="Times New Roman"/>
                      <w:color w:val="auto"/>
                      <w:kern w:val="2"/>
                      <w:sz w:val="21"/>
                      <w:szCs w:val="21"/>
                      <w:lang w:val="en-US" w:eastAsia="zh-CN" w:bidi="ar-SA"/>
                    </w:rPr>
                    <w:t>回用于生产</w:t>
                  </w:r>
                  <w:r>
                    <w:rPr>
                      <w:rFonts w:hint="default" w:ascii="Times New Roman" w:hAnsi="Times New Roman" w:eastAsia="宋体" w:cs="Times New Roman"/>
                      <w:color w:val="auto"/>
                      <w:kern w:val="2"/>
                      <w:sz w:val="21"/>
                      <w:szCs w:val="21"/>
                      <w:lang w:val="en-US" w:eastAsia="zh-CN" w:bidi="ar-SA"/>
                    </w:rPr>
                    <w:t>。</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F70A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一般工业固体废物暂存</w:t>
                  </w:r>
                  <w:r>
                    <w:rPr>
                      <w:rFonts w:hint="eastAsia" w:cs="Times New Roman"/>
                      <w:color w:val="auto"/>
                      <w:kern w:val="2"/>
                      <w:sz w:val="21"/>
                      <w:szCs w:val="21"/>
                      <w:lang w:val="en-US" w:eastAsia="zh-CN" w:bidi="ar-SA"/>
                    </w:rPr>
                    <w:t>场所</w:t>
                  </w:r>
                  <w:r>
                    <w:rPr>
                      <w:rFonts w:hint="default" w:ascii="Times New Roman" w:hAnsi="Times New Roman" w:eastAsia="宋体" w:cs="Times New Roman"/>
                      <w:color w:val="auto"/>
                      <w:kern w:val="2"/>
                      <w:sz w:val="21"/>
                      <w:szCs w:val="21"/>
                      <w:lang w:val="en-US" w:eastAsia="zh-CN" w:bidi="ar-SA"/>
                    </w:rPr>
                    <w:t>暂存，</w:t>
                  </w:r>
                  <w:r>
                    <w:rPr>
                      <w:rFonts w:hint="eastAsia" w:cs="Times New Roman"/>
                      <w:color w:val="auto"/>
                      <w:kern w:val="2"/>
                      <w:sz w:val="21"/>
                      <w:szCs w:val="21"/>
                      <w:lang w:val="en-US" w:eastAsia="zh-CN" w:bidi="ar-SA"/>
                    </w:rPr>
                    <w:t>回用于生产</w:t>
                  </w:r>
                  <w:r>
                    <w:rPr>
                      <w:rFonts w:hint="default" w:ascii="Times New Roman" w:hAnsi="Times New Roman" w:eastAsia="宋体" w:cs="Times New Roman"/>
                      <w:color w:val="auto"/>
                      <w:kern w:val="2"/>
                      <w:sz w:val="21"/>
                      <w:szCs w:val="21"/>
                      <w:lang w:val="en-US" w:eastAsia="zh-CN" w:bidi="ar-SA"/>
                    </w:rPr>
                    <w:t>。</w:t>
                  </w:r>
                </w:p>
              </w:tc>
            </w:tr>
            <w:tr w14:paraId="5F6BB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4" w:type="pct"/>
                  <w:vMerge w:val="continue"/>
                  <w:tcBorders>
                    <w:left w:val="single" w:color="000000" w:sz="4" w:space="0"/>
                    <w:right w:val="single" w:color="000000" w:sz="4" w:space="0"/>
                  </w:tcBorders>
                  <w:shd w:val="clear" w:color="auto" w:fill="auto"/>
                  <w:vAlign w:val="center"/>
                </w:tcPr>
                <w:p w14:paraId="7A68F952">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7F217">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5AE5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废机油、废机油桶</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728B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统一收集存放于危废间</w:t>
                  </w:r>
                  <w:r>
                    <w:rPr>
                      <w:rFonts w:hint="eastAsia" w:eastAsia="宋体" w:cs="Times New Roman"/>
                      <w:color w:val="auto"/>
                      <w:kern w:val="2"/>
                      <w:sz w:val="21"/>
                      <w:szCs w:val="21"/>
                      <w:lang w:val="en-US" w:eastAsia="zh-CN" w:bidi="ar-SA"/>
                    </w:rPr>
                    <w:t>，定期交由有资质单位处理</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63B5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统一收集存放于危废间</w:t>
                  </w:r>
                  <w:r>
                    <w:rPr>
                      <w:rFonts w:hint="eastAsia" w:eastAsia="宋体" w:cs="Times New Roman"/>
                      <w:color w:val="auto"/>
                      <w:kern w:val="2"/>
                      <w:sz w:val="21"/>
                      <w:szCs w:val="21"/>
                      <w:lang w:val="en-US" w:eastAsia="zh-CN" w:bidi="ar-SA"/>
                    </w:rPr>
                    <w:t>，定期交由有资质单位处理</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E53C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统一收集存放于危废间</w:t>
                  </w:r>
                  <w:r>
                    <w:rPr>
                      <w:rFonts w:hint="eastAsia" w:eastAsia="宋体" w:cs="Times New Roman"/>
                      <w:color w:val="auto"/>
                      <w:kern w:val="2"/>
                      <w:sz w:val="21"/>
                      <w:szCs w:val="21"/>
                      <w:lang w:val="en-US" w:eastAsia="zh-CN" w:bidi="ar-SA"/>
                    </w:rPr>
                    <w:t>，定期交由有资质单位处理</w:t>
                  </w:r>
                </w:p>
              </w:tc>
            </w:tr>
            <w:tr w14:paraId="0FC1C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44" w:type="pct"/>
                  <w:vMerge w:val="continue"/>
                  <w:tcBorders>
                    <w:left w:val="single" w:color="000000" w:sz="4" w:space="0"/>
                    <w:right w:val="single" w:color="000000" w:sz="4" w:space="0"/>
                  </w:tcBorders>
                  <w:shd w:val="clear" w:color="auto" w:fill="auto"/>
                  <w:vAlign w:val="center"/>
                </w:tcPr>
                <w:p w14:paraId="11FE38FA">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F3F4C">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土壤、地下水</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C9FC2">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危废间按重点防渗区要求进行防渗处理；其他区域按简单防渗区进行防渗处理。</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BF0B6">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危废间按重点防渗区要求进行防渗处理；</w:t>
                  </w:r>
                  <w:r>
                    <w:rPr>
                      <w:rFonts w:hint="eastAsia" w:cs="Times New Roman"/>
                      <w:color w:val="auto"/>
                      <w:sz w:val="21"/>
                      <w:szCs w:val="21"/>
                      <w:lang w:val="en-US" w:eastAsia="zh-CN"/>
                    </w:rPr>
                    <w:t>搅拌</w:t>
                  </w:r>
                  <w:r>
                    <w:rPr>
                      <w:rFonts w:hint="default" w:ascii="Times New Roman" w:hAnsi="Times New Roman" w:eastAsia="宋体" w:cs="Times New Roman"/>
                      <w:color w:val="auto"/>
                      <w:sz w:val="21"/>
                      <w:szCs w:val="21"/>
                      <w:lang w:val="en-US" w:eastAsia="zh-CN"/>
                    </w:rPr>
                    <w:t>车间按一般防渗区要求进行防渗处理；其他区域按简单防渗区进行防渗处理。</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ECB2D">
                  <w:pPr>
                    <w:keepLines w:val="0"/>
                    <w:pageBreakBefore w:val="0"/>
                    <w:kinsoku/>
                    <w:topLinePunct w:val="0"/>
                    <w:bidi w:val="0"/>
                    <w:adjustRightInd w:val="0"/>
                    <w:snapToGrid w:val="0"/>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危废间按重点防渗区要求进行防渗处理；将</w:t>
                  </w:r>
                  <w:r>
                    <w:rPr>
                      <w:rFonts w:hint="eastAsia" w:cs="Times New Roman"/>
                      <w:color w:val="auto"/>
                      <w:sz w:val="21"/>
                      <w:szCs w:val="21"/>
                      <w:lang w:val="en-US" w:eastAsia="zh-CN"/>
                    </w:rPr>
                    <w:t>搅拌</w:t>
                  </w:r>
                  <w:r>
                    <w:rPr>
                      <w:rFonts w:hint="default" w:ascii="Times New Roman" w:hAnsi="Times New Roman" w:eastAsia="宋体" w:cs="Times New Roman"/>
                      <w:color w:val="auto"/>
                      <w:sz w:val="21"/>
                      <w:szCs w:val="21"/>
                      <w:lang w:val="en-US" w:eastAsia="zh-CN"/>
                    </w:rPr>
                    <w:t>车间按一般防渗区要求进行防渗处理；其他区域按简单防渗区进行防渗处理。</w:t>
                  </w:r>
                </w:p>
              </w:tc>
            </w:tr>
            <w:tr w14:paraId="7EF93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44" w:type="pct"/>
                  <w:vMerge w:val="continue"/>
                  <w:tcBorders>
                    <w:left w:val="single" w:color="000000" w:sz="4" w:space="0"/>
                    <w:bottom w:val="single" w:color="000000" w:sz="4" w:space="0"/>
                    <w:right w:val="single" w:color="000000" w:sz="4" w:space="0"/>
                  </w:tcBorders>
                  <w:shd w:val="clear" w:color="auto" w:fill="auto"/>
                  <w:vAlign w:val="center"/>
                </w:tcPr>
                <w:p w14:paraId="20CDF07C">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FF0000"/>
                      <w:sz w:val="21"/>
                      <w:szCs w:val="21"/>
                    </w:rPr>
                  </w:pP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55B1A">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环境风险防范</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D5F95">
                  <w:pPr>
                    <w:keepLines w:val="0"/>
                    <w:pageBreakBefore w:val="0"/>
                    <w:kinsoku/>
                    <w:topLinePunct w:val="0"/>
                    <w:bidi w:val="0"/>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66D30">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新建72m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事故池、</w:t>
                  </w:r>
                  <w:r>
                    <w:rPr>
                      <w:rFonts w:hint="default" w:ascii="Times New Roman" w:hAnsi="Times New Roman" w:eastAsia="宋体" w:cs="Times New Roman"/>
                      <w:color w:val="auto"/>
                      <w:szCs w:val="21"/>
                    </w:rPr>
                    <w:t>配备应急物资、</w:t>
                  </w:r>
                  <w:r>
                    <w:rPr>
                      <w:rFonts w:hint="default" w:ascii="Times New Roman" w:hAnsi="Times New Roman" w:eastAsia="宋体" w:cs="Times New Roman"/>
                      <w:color w:val="auto"/>
                      <w:sz w:val="21"/>
                      <w:szCs w:val="21"/>
                      <w:lang w:val="en-US" w:eastAsia="zh-CN"/>
                    </w:rPr>
                    <w:t>消防器材、</w:t>
                  </w:r>
                  <w:r>
                    <w:rPr>
                      <w:rFonts w:hint="default" w:ascii="Times New Roman" w:hAnsi="Times New Roman" w:eastAsia="宋体" w:cs="Times New Roman"/>
                      <w:color w:val="auto"/>
                      <w:szCs w:val="21"/>
                    </w:rPr>
                    <w:t>编制应急预案、开展应急培训、应急演练等。</w:t>
                  </w:r>
                </w:p>
              </w:tc>
              <w:tc>
                <w:tcPr>
                  <w:tcW w:w="1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4E0BD">
                  <w:pPr>
                    <w:keepLines w:val="0"/>
                    <w:pageBreakBefore w:val="0"/>
                    <w:kinsoku/>
                    <w:topLinePunct w:val="0"/>
                    <w:bidi w:val="0"/>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新建72m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事故池、</w:t>
                  </w:r>
                  <w:r>
                    <w:rPr>
                      <w:rFonts w:hint="default" w:ascii="Times New Roman" w:hAnsi="Times New Roman" w:eastAsia="宋体" w:cs="Times New Roman"/>
                      <w:color w:val="auto"/>
                      <w:szCs w:val="21"/>
                    </w:rPr>
                    <w:t>配备应急物资、</w:t>
                  </w:r>
                  <w:r>
                    <w:rPr>
                      <w:rFonts w:hint="default" w:ascii="Times New Roman" w:hAnsi="Times New Roman" w:eastAsia="宋体" w:cs="Times New Roman"/>
                      <w:color w:val="auto"/>
                      <w:sz w:val="21"/>
                      <w:szCs w:val="21"/>
                      <w:lang w:val="en-US" w:eastAsia="zh-CN"/>
                    </w:rPr>
                    <w:t>消防器材、</w:t>
                  </w:r>
                  <w:r>
                    <w:rPr>
                      <w:rFonts w:hint="default" w:ascii="Times New Roman" w:hAnsi="Times New Roman" w:eastAsia="宋体" w:cs="Times New Roman"/>
                      <w:color w:val="auto"/>
                      <w:szCs w:val="21"/>
                    </w:rPr>
                    <w:t>编制应急预案、开展应急培训、应急演练等。</w:t>
                  </w:r>
                </w:p>
              </w:tc>
            </w:tr>
          </w:tbl>
          <w:p w14:paraId="465D070D">
            <w:pPr>
              <w:keepNext/>
              <w:keepLines w:val="0"/>
              <w:pageBreakBefore/>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3、主要产品及产能</w:t>
            </w:r>
          </w:p>
          <w:p w14:paraId="14D851E2">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color w:val="auto"/>
                <w:sz w:val="24"/>
                <w:szCs w:val="24"/>
                <w:lang w:val="en-US" w:eastAsia="zh-CN"/>
              </w:rPr>
              <w:t>本项目建成后主要产品及产能见表2-2。</w:t>
            </w:r>
          </w:p>
          <w:p w14:paraId="656D6C00">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zh-CN" w:eastAsia="zh-CN"/>
              </w:rPr>
              <w:t>表2-</w:t>
            </w:r>
            <w:r>
              <w:rPr>
                <w:rFonts w:hint="default" w:ascii="Times New Roman" w:hAnsi="Times New Roman" w:eastAsia="宋体" w:cs="Times New Roman"/>
                <w:b/>
                <w:bCs/>
                <w:color w:val="auto"/>
                <w:sz w:val="22"/>
                <w:szCs w:val="22"/>
                <w:lang w:val="en-US" w:eastAsia="zh-CN"/>
              </w:rPr>
              <w:t>2</w:t>
            </w:r>
            <w:r>
              <w:rPr>
                <w:rFonts w:hint="default" w:ascii="Times New Roman" w:hAnsi="Times New Roman" w:eastAsia="宋体" w:cs="Times New Roman"/>
                <w:b/>
                <w:bCs/>
                <w:color w:val="auto"/>
                <w:sz w:val="22"/>
                <w:szCs w:val="22"/>
                <w:lang w:val="zh-CN" w:eastAsia="zh-CN"/>
              </w:rPr>
              <w:t>产品方案</w:t>
            </w:r>
            <w:r>
              <w:rPr>
                <w:rFonts w:hint="default" w:ascii="Times New Roman" w:hAnsi="Times New Roman" w:eastAsia="宋体" w:cs="Times New Roman"/>
                <w:b/>
                <w:bCs/>
                <w:color w:val="auto"/>
                <w:sz w:val="22"/>
                <w:szCs w:val="22"/>
                <w:lang w:val="en-US" w:eastAsia="zh-CN"/>
              </w:rPr>
              <w:t>t/a</w:t>
            </w:r>
          </w:p>
          <w:tbl>
            <w:tblPr>
              <w:tblStyle w:val="47"/>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33"/>
              <w:gridCol w:w="2231"/>
              <w:gridCol w:w="1473"/>
              <w:gridCol w:w="1186"/>
              <w:gridCol w:w="1207"/>
              <w:gridCol w:w="1207"/>
              <w:gridCol w:w="1208"/>
            </w:tblGrid>
            <w:tr w14:paraId="68128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5" w:hRule="atLeast"/>
                <w:jc w:val="center"/>
              </w:trPr>
              <w:tc>
                <w:tcPr>
                  <w:tcW w:w="632" w:type="pct"/>
                  <w:tcBorders>
                    <w:tl2br w:val="nil"/>
                    <w:tr2bl w:val="nil"/>
                  </w:tcBorders>
                  <w:shd w:val="clear" w:color="auto" w:fill="auto"/>
                  <w:vAlign w:val="center"/>
                </w:tcPr>
                <w:p w14:paraId="162D15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产品品种</w:t>
                  </w:r>
                </w:p>
              </w:tc>
              <w:tc>
                <w:tcPr>
                  <w:tcW w:w="1144" w:type="pct"/>
                  <w:tcBorders>
                    <w:tl2br w:val="nil"/>
                    <w:tr2bl w:val="nil"/>
                  </w:tcBorders>
                  <w:shd w:val="clear" w:color="auto" w:fill="auto"/>
                  <w:vAlign w:val="center"/>
                </w:tcPr>
                <w:p w14:paraId="256C3EC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eastAsia="宋体" w:cs="Times New Roman"/>
                      <w:b w:val="0"/>
                      <w:bCs w:val="0"/>
                      <w:i w:val="0"/>
                      <w:iCs w:val="0"/>
                      <w:color w:val="auto"/>
                      <w:kern w:val="0"/>
                      <w:sz w:val="21"/>
                      <w:szCs w:val="21"/>
                      <w:u w:val="none"/>
                      <w:lang w:val="en-US" w:eastAsia="zh-CN" w:bidi="ar"/>
                    </w:rPr>
                    <w:t>粒径范围</w:t>
                  </w:r>
                </w:p>
              </w:tc>
              <w:tc>
                <w:tcPr>
                  <w:tcW w:w="755" w:type="pct"/>
                  <w:tcBorders>
                    <w:tl2br w:val="nil"/>
                    <w:tr2bl w:val="nil"/>
                  </w:tcBorders>
                  <w:shd w:val="clear" w:color="auto" w:fill="auto"/>
                  <w:vAlign w:val="center"/>
                </w:tcPr>
                <w:p w14:paraId="654358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原环评设计产能</w:t>
                  </w:r>
                </w:p>
              </w:tc>
              <w:tc>
                <w:tcPr>
                  <w:tcW w:w="608" w:type="pct"/>
                  <w:tcBorders>
                    <w:tl2br w:val="nil"/>
                    <w:tr2bl w:val="nil"/>
                  </w:tcBorders>
                  <w:shd w:val="clear" w:color="auto" w:fill="auto"/>
                  <w:vAlign w:val="center"/>
                </w:tcPr>
                <w:p w14:paraId="1243EA1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已验收产能</w:t>
                  </w:r>
                </w:p>
              </w:tc>
              <w:tc>
                <w:tcPr>
                  <w:tcW w:w="619" w:type="pct"/>
                  <w:tcBorders>
                    <w:tl2br w:val="nil"/>
                    <w:tr2bl w:val="nil"/>
                  </w:tcBorders>
                  <w:shd w:val="clear" w:color="auto" w:fill="auto"/>
                  <w:vAlign w:val="center"/>
                </w:tcPr>
                <w:p w14:paraId="3163C70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在建产能</w:t>
                  </w:r>
                </w:p>
              </w:tc>
              <w:tc>
                <w:tcPr>
                  <w:tcW w:w="619" w:type="pct"/>
                  <w:tcBorders>
                    <w:tl2br w:val="nil"/>
                    <w:tr2bl w:val="nil"/>
                  </w:tcBorders>
                  <w:shd w:val="clear" w:color="auto" w:fill="auto"/>
                  <w:vAlign w:val="center"/>
                </w:tcPr>
                <w:p w14:paraId="49DB035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eastAsia="宋体" w:cs="Times New Roman"/>
                      <w:b w:val="0"/>
                      <w:bCs w:val="0"/>
                      <w:i w:val="0"/>
                      <w:iCs w:val="0"/>
                      <w:color w:val="auto"/>
                      <w:kern w:val="0"/>
                      <w:sz w:val="21"/>
                      <w:szCs w:val="21"/>
                      <w:u w:val="none"/>
                      <w:lang w:val="en-US" w:eastAsia="zh-CN" w:bidi="ar"/>
                    </w:rPr>
                    <w:t>技改后产能</w:t>
                  </w:r>
                </w:p>
              </w:tc>
              <w:tc>
                <w:tcPr>
                  <w:tcW w:w="619" w:type="pct"/>
                  <w:tcBorders>
                    <w:tl2br w:val="nil"/>
                    <w:tr2bl w:val="nil"/>
                  </w:tcBorders>
                  <w:shd w:val="clear" w:color="auto" w:fill="auto"/>
                  <w:vAlign w:val="center"/>
                </w:tcPr>
                <w:p w14:paraId="1DA533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备注</w:t>
                  </w:r>
                </w:p>
              </w:tc>
            </w:tr>
            <w:tr w14:paraId="50336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632" w:type="pct"/>
                  <w:tcBorders>
                    <w:tl2br w:val="nil"/>
                    <w:tr2bl w:val="nil"/>
                  </w:tcBorders>
                  <w:shd w:val="clear" w:color="auto" w:fill="auto"/>
                  <w:vAlign w:val="center"/>
                </w:tcPr>
                <w:p w14:paraId="1B51260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煤矸石建材颗粒</w:t>
                  </w:r>
                </w:p>
              </w:tc>
              <w:tc>
                <w:tcPr>
                  <w:tcW w:w="1144" w:type="pct"/>
                  <w:tcBorders>
                    <w:tl2br w:val="nil"/>
                    <w:tr2bl w:val="nil"/>
                  </w:tcBorders>
                  <w:shd w:val="clear" w:color="auto" w:fill="auto"/>
                  <w:vAlign w:val="center"/>
                </w:tcPr>
                <w:p w14:paraId="2DEFF70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0mm～31.5mm</w:t>
                  </w:r>
                </w:p>
              </w:tc>
              <w:tc>
                <w:tcPr>
                  <w:tcW w:w="755" w:type="pct"/>
                  <w:tcBorders>
                    <w:tl2br w:val="nil"/>
                    <w:tr2bl w:val="nil"/>
                  </w:tcBorders>
                  <w:shd w:val="clear" w:color="auto" w:fill="auto"/>
                  <w:vAlign w:val="center"/>
                </w:tcPr>
                <w:p w14:paraId="16ED2D9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15万</w:t>
                  </w:r>
                </w:p>
              </w:tc>
              <w:tc>
                <w:tcPr>
                  <w:tcW w:w="608" w:type="pct"/>
                  <w:tcBorders>
                    <w:tl2br w:val="nil"/>
                    <w:tr2bl w:val="nil"/>
                  </w:tcBorders>
                  <w:shd w:val="clear" w:color="auto" w:fill="auto"/>
                  <w:vAlign w:val="center"/>
                </w:tcPr>
                <w:p w14:paraId="55230A5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7.5万</w:t>
                  </w:r>
                </w:p>
              </w:tc>
              <w:tc>
                <w:tcPr>
                  <w:tcW w:w="619" w:type="pct"/>
                  <w:tcBorders>
                    <w:tl2br w:val="nil"/>
                    <w:tr2bl w:val="nil"/>
                  </w:tcBorders>
                  <w:shd w:val="clear" w:color="auto" w:fill="auto"/>
                  <w:vAlign w:val="center"/>
                </w:tcPr>
                <w:p w14:paraId="475CA40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7.5万</w:t>
                  </w:r>
                </w:p>
              </w:tc>
              <w:tc>
                <w:tcPr>
                  <w:tcW w:w="619" w:type="pct"/>
                  <w:tcBorders>
                    <w:tl2br w:val="nil"/>
                    <w:tr2bl w:val="nil"/>
                  </w:tcBorders>
                  <w:shd w:val="clear" w:color="auto" w:fill="auto"/>
                  <w:vAlign w:val="center"/>
                </w:tcPr>
                <w:p w14:paraId="2E996448">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619" w:type="pct"/>
                  <w:tcBorders>
                    <w:tl2br w:val="nil"/>
                    <w:tr2bl w:val="nil"/>
                  </w:tcBorders>
                  <w:shd w:val="clear" w:color="auto" w:fill="auto"/>
                  <w:vAlign w:val="center"/>
                </w:tcPr>
                <w:p w14:paraId="41CB39B9">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r>
            <w:tr w14:paraId="2B945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 w:hRule="atLeast"/>
                <w:jc w:val="center"/>
              </w:trPr>
              <w:tc>
                <w:tcPr>
                  <w:tcW w:w="632" w:type="pct"/>
                  <w:tcBorders>
                    <w:tl2br w:val="nil"/>
                    <w:tr2bl w:val="nil"/>
                  </w:tcBorders>
                  <w:shd w:val="clear" w:color="auto" w:fill="auto"/>
                  <w:vAlign w:val="center"/>
                </w:tcPr>
                <w:p w14:paraId="7A9281F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建筑垃圾建材颗粒</w:t>
                  </w:r>
                </w:p>
              </w:tc>
              <w:tc>
                <w:tcPr>
                  <w:tcW w:w="1144" w:type="pct"/>
                  <w:tcBorders>
                    <w:tl2br w:val="nil"/>
                    <w:tr2bl w:val="nil"/>
                  </w:tcBorders>
                  <w:shd w:val="clear" w:color="auto" w:fill="auto"/>
                  <w:vAlign w:val="center"/>
                </w:tcPr>
                <w:p w14:paraId="2166D2A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0mm～31.5mm</w:t>
                  </w:r>
                </w:p>
              </w:tc>
              <w:tc>
                <w:tcPr>
                  <w:tcW w:w="755" w:type="pct"/>
                  <w:tcBorders>
                    <w:tl2br w:val="nil"/>
                    <w:tr2bl w:val="nil"/>
                  </w:tcBorders>
                  <w:shd w:val="clear" w:color="auto" w:fill="auto"/>
                  <w:vAlign w:val="center"/>
                </w:tcPr>
                <w:p w14:paraId="13A9CC5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15万</w:t>
                  </w:r>
                </w:p>
              </w:tc>
              <w:tc>
                <w:tcPr>
                  <w:tcW w:w="608" w:type="pct"/>
                  <w:tcBorders>
                    <w:tl2br w:val="nil"/>
                    <w:tr2bl w:val="nil"/>
                  </w:tcBorders>
                  <w:shd w:val="clear" w:color="auto" w:fill="auto"/>
                  <w:vAlign w:val="center"/>
                </w:tcPr>
                <w:p w14:paraId="7B02099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7.5万</w:t>
                  </w:r>
                </w:p>
              </w:tc>
              <w:tc>
                <w:tcPr>
                  <w:tcW w:w="619" w:type="pct"/>
                  <w:tcBorders>
                    <w:tl2br w:val="nil"/>
                    <w:tr2bl w:val="nil"/>
                  </w:tcBorders>
                  <w:shd w:val="clear" w:color="auto" w:fill="auto"/>
                  <w:vAlign w:val="center"/>
                </w:tcPr>
                <w:p w14:paraId="7731B7E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7.5万</w:t>
                  </w:r>
                </w:p>
              </w:tc>
              <w:tc>
                <w:tcPr>
                  <w:tcW w:w="619" w:type="pct"/>
                  <w:tcBorders>
                    <w:tl2br w:val="nil"/>
                    <w:tr2bl w:val="nil"/>
                  </w:tcBorders>
                  <w:shd w:val="clear" w:color="auto" w:fill="auto"/>
                  <w:vAlign w:val="center"/>
                </w:tcPr>
                <w:p w14:paraId="5A0CCEFF">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619" w:type="pct"/>
                  <w:tcBorders>
                    <w:tl2br w:val="nil"/>
                    <w:tr2bl w:val="nil"/>
                  </w:tcBorders>
                  <w:shd w:val="clear" w:color="auto" w:fill="auto"/>
                  <w:vAlign w:val="center"/>
                </w:tcPr>
                <w:p w14:paraId="1FA447DF">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r>
            <w:tr w14:paraId="54131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32" w:type="pct"/>
                  <w:tcBorders>
                    <w:tl2br w:val="nil"/>
                    <w:tr2bl w:val="nil"/>
                  </w:tcBorders>
                  <w:shd w:val="clear" w:color="auto" w:fill="auto"/>
                  <w:vAlign w:val="center"/>
                </w:tcPr>
                <w:p w14:paraId="08A39405">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水稳</w:t>
                  </w:r>
                </w:p>
              </w:tc>
              <w:tc>
                <w:tcPr>
                  <w:tcW w:w="1144" w:type="pct"/>
                  <w:tcBorders>
                    <w:tl2br w:val="nil"/>
                    <w:tr2bl w:val="nil"/>
                  </w:tcBorders>
                  <w:shd w:val="clear" w:color="auto" w:fill="auto"/>
                  <w:vAlign w:val="center"/>
                </w:tcPr>
                <w:p w14:paraId="65B6049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755" w:type="pct"/>
                  <w:tcBorders>
                    <w:tl2br w:val="nil"/>
                    <w:tr2bl w:val="nil"/>
                  </w:tcBorders>
                  <w:shd w:val="clear" w:color="auto" w:fill="auto"/>
                  <w:vAlign w:val="center"/>
                </w:tcPr>
                <w:p w14:paraId="6368243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sz w:val="21"/>
                      <w:szCs w:val="21"/>
                      <w:u w:val="none"/>
                      <w:lang w:val="en-US" w:eastAsia="zh-CN"/>
                    </w:rPr>
                    <w:t>0</w:t>
                  </w:r>
                </w:p>
              </w:tc>
              <w:tc>
                <w:tcPr>
                  <w:tcW w:w="608" w:type="pct"/>
                  <w:tcBorders>
                    <w:tl2br w:val="nil"/>
                    <w:tr2bl w:val="nil"/>
                  </w:tcBorders>
                  <w:shd w:val="clear" w:color="auto" w:fill="auto"/>
                  <w:vAlign w:val="center"/>
                </w:tcPr>
                <w:p w14:paraId="622C0AE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sz w:val="21"/>
                      <w:szCs w:val="21"/>
                      <w:u w:val="none"/>
                      <w:lang w:val="en-US" w:eastAsia="zh-CN"/>
                    </w:rPr>
                    <w:t>0</w:t>
                  </w:r>
                </w:p>
              </w:tc>
              <w:tc>
                <w:tcPr>
                  <w:tcW w:w="619" w:type="pct"/>
                  <w:tcBorders>
                    <w:tl2br w:val="nil"/>
                    <w:tr2bl w:val="nil"/>
                  </w:tcBorders>
                  <w:shd w:val="clear" w:color="auto" w:fill="auto"/>
                  <w:vAlign w:val="center"/>
                </w:tcPr>
                <w:p w14:paraId="16ED58A2">
                  <w:pPr>
                    <w:jc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0</w:t>
                  </w:r>
                </w:p>
              </w:tc>
              <w:tc>
                <w:tcPr>
                  <w:tcW w:w="619" w:type="pct"/>
                  <w:tcBorders>
                    <w:tl2br w:val="nil"/>
                    <w:tr2bl w:val="nil"/>
                  </w:tcBorders>
                  <w:shd w:val="clear" w:color="auto" w:fill="auto"/>
                  <w:vAlign w:val="center"/>
                </w:tcPr>
                <w:p w14:paraId="3F6BE005">
                  <w:pPr>
                    <w:jc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3</w:t>
                  </w:r>
                  <w:r>
                    <w:rPr>
                      <w:rFonts w:hint="eastAsia" w:cs="Times New Roman"/>
                      <w:b w:val="0"/>
                      <w:bCs w:val="0"/>
                      <w:i w:val="0"/>
                      <w:iCs w:val="0"/>
                      <w:color w:val="auto"/>
                      <w:sz w:val="21"/>
                      <w:szCs w:val="21"/>
                      <w:u w:val="none"/>
                      <w:lang w:val="en-US" w:eastAsia="zh-CN"/>
                    </w:rPr>
                    <w:t>0</w:t>
                  </w:r>
                  <w:r>
                    <w:rPr>
                      <w:rFonts w:hint="default" w:ascii="Times New Roman" w:hAnsi="Times New Roman" w:eastAsia="宋体" w:cs="Times New Roman"/>
                      <w:b w:val="0"/>
                      <w:bCs w:val="0"/>
                      <w:i w:val="0"/>
                      <w:iCs w:val="0"/>
                      <w:color w:val="auto"/>
                      <w:kern w:val="0"/>
                      <w:sz w:val="21"/>
                      <w:szCs w:val="21"/>
                      <w:u w:val="none"/>
                      <w:lang w:val="en-US" w:eastAsia="zh-CN" w:bidi="ar"/>
                    </w:rPr>
                    <w:t>万</w:t>
                  </w:r>
                </w:p>
              </w:tc>
              <w:tc>
                <w:tcPr>
                  <w:tcW w:w="619" w:type="pct"/>
                  <w:tcBorders>
                    <w:tl2br w:val="nil"/>
                    <w:tr2bl w:val="nil"/>
                  </w:tcBorders>
                  <w:shd w:val="clear" w:color="auto" w:fill="auto"/>
                  <w:vAlign w:val="center"/>
                </w:tcPr>
                <w:p w14:paraId="5CBD6417">
                  <w:pPr>
                    <w:jc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以干料计</w:t>
                  </w:r>
                </w:p>
              </w:tc>
            </w:tr>
            <w:tr w14:paraId="7D966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32" w:type="pct"/>
                  <w:tcBorders>
                    <w:tl2br w:val="nil"/>
                    <w:tr2bl w:val="nil"/>
                  </w:tcBorders>
                  <w:shd w:val="clear" w:color="auto" w:fill="auto"/>
                  <w:vAlign w:val="center"/>
                </w:tcPr>
                <w:p w14:paraId="194CB5E6">
                  <w:pPr>
                    <w:jc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合计</w:t>
                  </w:r>
                </w:p>
              </w:tc>
              <w:tc>
                <w:tcPr>
                  <w:tcW w:w="1144" w:type="pct"/>
                  <w:tcBorders>
                    <w:tl2br w:val="nil"/>
                    <w:tr2bl w:val="nil"/>
                  </w:tcBorders>
                  <w:shd w:val="clear" w:color="auto" w:fill="auto"/>
                  <w:vAlign w:val="center"/>
                </w:tcPr>
                <w:p w14:paraId="79EE142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w:t>
                  </w:r>
                </w:p>
              </w:tc>
              <w:tc>
                <w:tcPr>
                  <w:tcW w:w="755" w:type="pct"/>
                  <w:tcBorders>
                    <w:tl2br w:val="nil"/>
                    <w:tr2bl w:val="nil"/>
                  </w:tcBorders>
                  <w:shd w:val="clear" w:color="auto" w:fill="auto"/>
                  <w:vAlign w:val="center"/>
                </w:tcPr>
                <w:p w14:paraId="36D8B59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30万</w:t>
                  </w:r>
                </w:p>
              </w:tc>
              <w:tc>
                <w:tcPr>
                  <w:tcW w:w="608" w:type="pct"/>
                  <w:tcBorders>
                    <w:tl2br w:val="nil"/>
                    <w:tr2bl w:val="nil"/>
                  </w:tcBorders>
                  <w:shd w:val="clear" w:color="auto" w:fill="auto"/>
                  <w:vAlign w:val="center"/>
                </w:tcPr>
                <w:p w14:paraId="37C8EED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15万</w:t>
                  </w:r>
                </w:p>
              </w:tc>
              <w:tc>
                <w:tcPr>
                  <w:tcW w:w="619" w:type="pct"/>
                  <w:tcBorders>
                    <w:tl2br w:val="nil"/>
                    <w:tr2bl w:val="nil"/>
                  </w:tcBorders>
                  <w:shd w:val="clear" w:color="auto" w:fill="auto"/>
                  <w:vAlign w:val="center"/>
                </w:tcPr>
                <w:p w14:paraId="110446F6">
                  <w:pPr>
                    <w:jc w:val="center"/>
                    <w:rPr>
                      <w:rFonts w:hint="default"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15</w:t>
                  </w:r>
                  <w:r>
                    <w:rPr>
                      <w:rFonts w:hint="eastAsia" w:cs="Times New Roman"/>
                      <w:b w:val="0"/>
                      <w:bCs w:val="0"/>
                      <w:i w:val="0"/>
                      <w:iCs w:val="0"/>
                      <w:color w:val="auto"/>
                      <w:kern w:val="0"/>
                      <w:sz w:val="21"/>
                      <w:szCs w:val="21"/>
                      <w:u w:val="none"/>
                      <w:lang w:val="en-US" w:eastAsia="zh-CN" w:bidi="ar"/>
                    </w:rPr>
                    <w:t>万</w:t>
                  </w:r>
                </w:p>
              </w:tc>
              <w:tc>
                <w:tcPr>
                  <w:tcW w:w="619" w:type="pct"/>
                  <w:tcBorders>
                    <w:tl2br w:val="nil"/>
                    <w:tr2bl w:val="nil"/>
                  </w:tcBorders>
                  <w:shd w:val="clear" w:color="auto" w:fill="auto"/>
                  <w:vAlign w:val="center"/>
                </w:tcPr>
                <w:p w14:paraId="0385F9F4">
                  <w:pPr>
                    <w:jc w:val="center"/>
                    <w:rPr>
                      <w:rFonts w:hint="default"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30</w:t>
                  </w:r>
                  <w:r>
                    <w:rPr>
                      <w:rFonts w:hint="eastAsia" w:cs="Times New Roman"/>
                      <w:b w:val="0"/>
                      <w:bCs w:val="0"/>
                      <w:i w:val="0"/>
                      <w:iCs w:val="0"/>
                      <w:color w:val="auto"/>
                      <w:kern w:val="0"/>
                      <w:sz w:val="21"/>
                      <w:szCs w:val="21"/>
                      <w:u w:val="none"/>
                      <w:lang w:val="en-US" w:eastAsia="zh-CN" w:bidi="ar"/>
                    </w:rPr>
                    <w:t>万</w:t>
                  </w:r>
                </w:p>
              </w:tc>
              <w:tc>
                <w:tcPr>
                  <w:tcW w:w="619" w:type="pct"/>
                  <w:tcBorders>
                    <w:tl2br w:val="nil"/>
                    <w:tr2bl w:val="nil"/>
                  </w:tcBorders>
                  <w:shd w:val="clear" w:color="auto" w:fill="auto"/>
                  <w:vAlign w:val="center"/>
                </w:tcPr>
                <w:p w14:paraId="0DE6E431">
                  <w:pPr>
                    <w:jc w:val="center"/>
                    <w:rPr>
                      <w:rFonts w:hint="eastAsia"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r>
          </w:tbl>
          <w:p w14:paraId="1D0673B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zh-CN" w:eastAsia="zh-CN"/>
              </w:rPr>
            </w:pPr>
            <w:r>
              <w:rPr>
                <w:rFonts w:hint="default" w:ascii="Times New Roman" w:hAnsi="Times New Roman" w:eastAsia="宋体" w:cs="Times New Roman"/>
                <w:b/>
                <w:color w:val="auto"/>
                <w:sz w:val="24"/>
                <w:szCs w:val="24"/>
                <w:lang w:val="en-US" w:eastAsia="zh-CN"/>
              </w:rPr>
              <w:t>4、主要生产设施</w:t>
            </w:r>
          </w:p>
          <w:p w14:paraId="1A6144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bCs/>
                <w:color w:val="auto"/>
                <w:sz w:val="22"/>
                <w:szCs w:val="22"/>
                <w:lang w:val="zh-CN" w:eastAsia="zh-CN"/>
              </w:rPr>
              <w:t>表2-</w:t>
            </w:r>
            <w:r>
              <w:rPr>
                <w:rFonts w:hint="default" w:ascii="Times New Roman" w:hAnsi="Times New Roman" w:eastAsia="宋体" w:cs="Times New Roman"/>
                <w:b/>
                <w:bCs/>
                <w:color w:val="auto"/>
                <w:sz w:val="22"/>
                <w:szCs w:val="22"/>
                <w:lang w:val="en-US" w:eastAsia="zh-CN"/>
              </w:rPr>
              <w:t>3</w:t>
            </w:r>
            <w:r>
              <w:rPr>
                <w:rFonts w:hint="default" w:ascii="Times New Roman" w:hAnsi="Times New Roman" w:eastAsia="宋体" w:cs="Times New Roman"/>
                <w:b/>
                <w:bCs/>
                <w:color w:val="auto"/>
                <w:sz w:val="22"/>
                <w:szCs w:val="22"/>
                <w:lang w:val="zh-CN" w:eastAsia="zh-CN"/>
              </w:rPr>
              <w:t>主要生产设施</w:t>
            </w:r>
          </w:p>
          <w:tbl>
            <w:tblPr>
              <w:tblStyle w:val="47"/>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7"/>
              <w:gridCol w:w="867"/>
              <w:gridCol w:w="1340"/>
              <w:gridCol w:w="693"/>
              <w:gridCol w:w="1185"/>
              <w:gridCol w:w="962"/>
              <w:gridCol w:w="1399"/>
              <w:gridCol w:w="1401"/>
              <w:gridCol w:w="1401"/>
            </w:tblGrid>
            <w:tr w14:paraId="5F0EC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EF91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序号</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FDEE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设备名称</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5A92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设备型号</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0AA9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单位</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3C84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原环评设计数量</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7205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实际数量</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8787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eastAsia="宋体" w:cs="Times New Roman"/>
                      <w:b w:val="0"/>
                      <w:bCs w:val="0"/>
                      <w:i w:val="0"/>
                      <w:iCs w:val="0"/>
                      <w:color w:val="auto"/>
                      <w:kern w:val="0"/>
                      <w:sz w:val="21"/>
                      <w:szCs w:val="21"/>
                      <w:u w:val="none"/>
                      <w:lang w:val="en-US" w:eastAsia="zh-CN" w:bidi="ar"/>
                    </w:rPr>
                    <w:t>在建设备</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9C48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本次技改增加</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75E1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备注</w:t>
                  </w:r>
                </w:p>
              </w:tc>
            </w:tr>
            <w:tr w14:paraId="0BAD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1A30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C60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破碎机</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2019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PE-600×900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9C54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AB14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1232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8522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A3C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eastAsia="宋体" w:cs="Times New Roman"/>
                      <w:b w:val="0"/>
                      <w:bCs w:val="0"/>
                      <w:i w:val="0"/>
                      <w:iCs w:val="0"/>
                      <w:color w:val="auto"/>
                      <w:kern w:val="0"/>
                      <w:sz w:val="21"/>
                      <w:szCs w:val="21"/>
                      <w:u w:val="none"/>
                      <w:lang w:val="en-US" w:eastAsia="zh-CN" w:bidi="ar"/>
                    </w:rPr>
                    <w:t>/</w:t>
                  </w:r>
                </w:p>
              </w:tc>
              <w:tc>
                <w:tcPr>
                  <w:tcW w:w="721" w:type="pct"/>
                  <w:vMerge w:val="restart"/>
                  <w:tcBorders>
                    <w:top w:val="single" w:color="000000" w:sz="4" w:space="0"/>
                    <w:left w:val="single" w:color="000000" w:sz="4" w:space="0"/>
                    <w:right w:val="single" w:color="000000" w:sz="4" w:space="0"/>
                  </w:tcBorders>
                  <w:shd w:val="clear" w:color="auto" w:fill="auto"/>
                  <w:vAlign w:val="center"/>
                </w:tcPr>
                <w:p w14:paraId="3697C8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eastAsia="宋体" w:cs="Times New Roman"/>
                      <w:b w:val="0"/>
                      <w:bCs w:val="0"/>
                      <w:i w:val="0"/>
                      <w:iCs w:val="0"/>
                      <w:color w:val="auto"/>
                      <w:kern w:val="0"/>
                      <w:sz w:val="21"/>
                      <w:szCs w:val="21"/>
                      <w:u w:val="none"/>
                      <w:lang w:val="en-US" w:eastAsia="zh-CN" w:bidi="ar"/>
                    </w:rPr>
                    <w:t>/</w:t>
                  </w:r>
                </w:p>
              </w:tc>
            </w:tr>
            <w:tr w14:paraId="40606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top"/>
                </w:tcPr>
                <w:p w14:paraId="1213BF3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6B18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筛分机</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48F8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YK1848</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CFA3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top"/>
                </w:tcPr>
                <w:p w14:paraId="4CC2329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1047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0C6A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7949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eastAsia="宋体" w:cs="Times New Roman"/>
                      <w:b w:val="0"/>
                      <w:bCs w:val="0"/>
                      <w:i w:val="0"/>
                      <w:iCs w:val="0"/>
                      <w:color w:val="auto"/>
                      <w:kern w:val="0"/>
                      <w:sz w:val="21"/>
                      <w:szCs w:val="21"/>
                      <w:u w:val="none"/>
                      <w:lang w:val="en-US" w:eastAsia="zh-CN" w:bidi="ar"/>
                    </w:rPr>
                    <w:t>/</w:t>
                  </w:r>
                </w:p>
              </w:tc>
              <w:tc>
                <w:tcPr>
                  <w:tcW w:w="721" w:type="pct"/>
                  <w:vMerge w:val="continue"/>
                  <w:tcBorders>
                    <w:left w:val="single" w:color="000000" w:sz="4" w:space="0"/>
                    <w:right w:val="single" w:color="000000" w:sz="4" w:space="0"/>
                  </w:tcBorders>
                  <w:shd w:val="clear" w:color="auto" w:fill="auto"/>
                  <w:vAlign w:val="center"/>
                </w:tcPr>
                <w:p w14:paraId="47D7732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14:paraId="0E475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B9AD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033C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输送带</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AFB2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03F6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条</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54EB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4F06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5</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01FD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5</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56FE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eastAsia="宋体" w:cs="Times New Roman"/>
                      <w:b w:val="0"/>
                      <w:bCs w:val="0"/>
                      <w:i w:val="0"/>
                      <w:iCs w:val="0"/>
                      <w:color w:val="auto"/>
                      <w:kern w:val="0"/>
                      <w:sz w:val="21"/>
                      <w:szCs w:val="21"/>
                      <w:u w:val="none"/>
                      <w:lang w:val="en-US" w:eastAsia="zh-CN" w:bidi="ar"/>
                    </w:rPr>
                    <w:t>/</w:t>
                  </w:r>
                </w:p>
              </w:tc>
              <w:tc>
                <w:tcPr>
                  <w:tcW w:w="721" w:type="pct"/>
                  <w:vMerge w:val="continue"/>
                  <w:tcBorders>
                    <w:left w:val="single" w:color="000000" w:sz="4" w:space="0"/>
                    <w:right w:val="single" w:color="000000" w:sz="4" w:space="0"/>
                  </w:tcBorders>
                  <w:shd w:val="clear" w:color="auto" w:fill="auto"/>
                  <w:vAlign w:val="center"/>
                </w:tcPr>
                <w:p w14:paraId="48DD19C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14:paraId="71F40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E23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4</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FA26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铲车</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C85C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ZL50GN</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98A0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6A26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35F8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4083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58A1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eastAsia="宋体" w:cs="Times New Roman"/>
                      <w:b w:val="0"/>
                      <w:bCs w:val="0"/>
                      <w:i w:val="0"/>
                      <w:iCs w:val="0"/>
                      <w:color w:val="auto"/>
                      <w:kern w:val="0"/>
                      <w:sz w:val="21"/>
                      <w:szCs w:val="21"/>
                      <w:u w:val="none"/>
                      <w:lang w:val="en-US" w:eastAsia="zh-CN" w:bidi="ar"/>
                    </w:rPr>
                    <w:t>/</w:t>
                  </w:r>
                </w:p>
              </w:tc>
              <w:tc>
                <w:tcPr>
                  <w:tcW w:w="721" w:type="pct"/>
                  <w:vMerge w:val="continue"/>
                  <w:tcBorders>
                    <w:left w:val="single" w:color="000000" w:sz="4" w:space="0"/>
                    <w:right w:val="single" w:color="000000" w:sz="4" w:space="0"/>
                  </w:tcBorders>
                  <w:shd w:val="clear" w:color="auto" w:fill="auto"/>
                  <w:vAlign w:val="center"/>
                </w:tcPr>
                <w:p w14:paraId="4E26462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14:paraId="5692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9A5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5</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5AFD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搅拌机</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247A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WBZ600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DD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42E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0FE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BE25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eastAsia="宋体" w:cs="Times New Roman"/>
                      <w:b w:val="0"/>
                      <w:bCs w:val="0"/>
                      <w:i w:val="0"/>
                      <w:iCs w:val="0"/>
                      <w:color w:val="auto"/>
                      <w:kern w:val="0"/>
                      <w:sz w:val="21"/>
                      <w:szCs w:val="21"/>
                      <w:u w:val="none"/>
                      <w:lang w:val="en-US" w:eastAsia="zh-CN" w:bidi="ar"/>
                    </w:rPr>
                    <w:t>/</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EA4D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721" w:type="pct"/>
                  <w:vMerge w:val="continue"/>
                  <w:tcBorders>
                    <w:left w:val="single" w:color="000000" w:sz="4" w:space="0"/>
                    <w:right w:val="single" w:color="000000" w:sz="4" w:space="0"/>
                  </w:tcBorders>
                  <w:shd w:val="clear" w:color="auto" w:fill="auto"/>
                  <w:vAlign w:val="center"/>
                </w:tcPr>
                <w:p w14:paraId="2680929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14:paraId="38869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48F3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6</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D220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水泥粉料仓</w:t>
                  </w:r>
                </w:p>
              </w:tc>
              <w:tc>
                <w:tcPr>
                  <w:tcW w:w="6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4B90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eastAsiaTheme="minorEastAsia"/>
                      <w:bCs/>
                      <w:color w:val="auto"/>
                      <w:szCs w:val="21"/>
                      <w:lang w:val="en-US" w:eastAsia="zh-CN"/>
                    </w:rPr>
                    <w:t>1</w:t>
                  </w:r>
                  <w:r>
                    <w:rPr>
                      <w:rFonts w:hint="default" w:ascii="Times New Roman" w:hAnsi="Times New Roman" w:cs="Times New Roman" w:eastAsiaTheme="minorEastAsia"/>
                      <w:bCs/>
                      <w:color w:val="auto"/>
                      <w:szCs w:val="21"/>
                      <w:lang w:val="en-US" w:eastAsia="zh-CN"/>
                    </w:rPr>
                    <w:t>00t</w:t>
                  </w:r>
                  <w:r>
                    <w:rPr>
                      <w:rFonts w:hint="eastAsia" w:ascii="Times New Roman" w:hAnsi="Times New Roman" w:cs="Times New Roman" w:eastAsiaTheme="minorEastAsia"/>
                      <w:bCs/>
                      <w:color w:val="auto"/>
                      <w:szCs w:val="21"/>
                      <w:lang w:val="en-US" w:eastAsia="zh-CN"/>
                    </w:rPr>
                    <w:t>立式筒仓</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3F6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个</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B8F0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1B9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9BCF4">
                  <w:pPr>
                    <w:keepNext w:val="0"/>
                    <w:keepLines w:val="0"/>
                    <w:widowControl/>
                    <w:suppressLineNumbers w:val="0"/>
                    <w:jc w:val="center"/>
                    <w:textAlignment w:val="center"/>
                    <w:rPr>
                      <w:rFonts w:hint="eastAsia"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3BB9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w:t>
                  </w:r>
                </w:p>
              </w:tc>
              <w:tc>
                <w:tcPr>
                  <w:tcW w:w="721" w:type="pct"/>
                  <w:vMerge w:val="continue"/>
                  <w:tcBorders>
                    <w:left w:val="single" w:color="000000" w:sz="4" w:space="0"/>
                    <w:bottom w:val="single" w:color="000000" w:sz="4" w:space="0"/>
                    <w:right w:val="single" w:color="000000" w:sz="4" w:space="0"/>
                  </w:tcBorders>
                  <w:shd w:val="clear" w:color="auto" w:fill="auto"/>
                  <w:vAlign w:val="center"/>
                </w:tcPr>
                <w:p w14:paraId="14F11F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bl>
          <w:p w14:paraId="5ECE617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5、主要原辅材料及燃料的种类和用量</w:t>
            </w:r>
          </w:p>
          <w:p w14:paraId="0FC208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根据建设单位提供资料本项目主要原辅材料及燃料消耗情况，具体见表2-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p>
          <w:p w14:paraId="084ED3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表2-</w:t>
            </w:r>
            <w:r>
              <w:rPr>
                <w:rFonts w:hint="default" w:ascii="Times New Roman" w:hAnsi="Times New Roman" w:eastAsia="宋体" w:cs="Times New Roman"/>
                <w:b/>
                <w:bCs/>
                <w:color w:val="auto"/>
                <w:sz w:val="22"/>
                <w:szCs w:val="22"/>
                <w:lang w:val="en-US" w:eastAsia="zh-CN"/>
              </w:rPr>
              <w:t>4</w:t>
            </w:r>
            <w:r>
              <w:rPr>
                <w:rFonts w:hint="default" w:ascii="Times New Roman" w:hAnsi="Times New Roman" w:eastAsia="宋体" w:cs="Times New Roman"/>
                <w:b/>
                <w:bCs/>
                <w:color w:val="auto"/>
                <w:sz w:val="22"/>
                <w:szCs w:val="22"/>
                <w:lang w:val="zh-CN" w:eastAsia="zh-CN"/>
              </w:rPr>
              <w:t>主要原辅料消耗</w:t>
            </w:r>
          </w:p>
          <w:tbl>
            <w:tblPr>
              <w:tblStyle w:val="4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7"/>
              <w:gridCol w:w="1908"/>
              <w:gridCol w:w="1116"/>
              <w:gridCol w:w="1647"/>
              <w:gridCol w:w="1409"/>
              <w:gridCol w:w="1565"/>
              <w:gridCol w:w="1275"/>
            </w:tblGrid>
            <w:tr w14:paraId="37807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71F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序号</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00C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名称</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AB9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单位</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A31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原</w:t>
                  </w:r>
                  <w:r>
                    <w:rPr>
                      <w:rFonts w:hint="eastAsia" w:cs="Times New Roman"/>
                      <w:i w:val="0"/>
                      <w:iCs w:val="0"/>
                      <w:color w:val="auto"/>
                      <w:kern w:val="0"/>
                      <w:sz w:val="20"/>
                      <w:szCs w:val="20"/>
                      <w:u w:val="none"/>
                      <w:lang w:val="en-US" w:eastAsia="zh-CN" w:bidi="ar"/>
                    </w:rPr>
                    <w:t>项目</w:t>
                  </w:r>
                  <w:r>
                    <w:rPr>
                      <w:rFonts w:hint="default" w:ascii="Times New Roman" w:hAnsi="Times New Roman" w:eastAsia="宋体" w:cs="Times New Roman"/>
                      <w:i w:val="0"/>
                      <w:iCs w:val="0"/>
                      <w:color w:val="auto"/>
                      <w:kern w:val="0"/>
                      <w:sz w:val="20"/>
                      <w:szCs w:val="20"/>
                      <w:u w:val="none"/>
                      <w:lang w:val="en-US" w:eastAsia="zh-CN" w:bidi="ar"/>
                    </w:rPr>
                    <w:t>年用量</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A1C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本项目年用量</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E6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技改后</w:t>
                  </w:r>
                  <w:r>
                    <w:rPr>
                      <w:rFonts w:hint="eastAsia" w:cs="Times New Roman"/>
                      <w:i w:val="0"/>
                      <w:iCs w:val="0"/>
                      <w:color w:val="auto"/>
                      <w:kern w:val="0"/>
                      <w:sz w:val="20"/>
                      <w:szCs w:val="20"/>
                      <w:u w:val="none"/>
                      <w:lang w:val="en-US" w:eastAsia="zh-CN" w:bidi="ar"/>
                    </w:rPr>
                    <w:t>全厂</w:t>
                  </w:r>
                  <w:r>
                    <w:rPr>
                      <w:rFonts w:hint="default" w:ascii="Times New Roman" w:hAnsi="Times New Roman" w:eastAsia="宋体" w:cs="Times New Roman"/>
                      <w:i w:val="0"/>
                      <w:iCs w:val="0"/>
                      <w:color w:val="auto"/>
                      <w:kern w:val="0"/>
                      <w:sz w:val="20"/>
                      <w:szCs w:val="20"/>
                      <w:u w:val="none"/>
                      <w:lang w:val="en-US" w:eastAsia="zh-CN" w:bidi="ar"/>
                    </w:rPr>
                    <w:t>年用量</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5E0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备注</w:t>
                  </w:r>
                </w:p>
              </w:tc>
            </w:tr>
            <w:tr w14:paraId="0F03E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3B627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原辅材料</w:t>
                  </w:r>
                </w:p>
              </w:tc>
            </w:tr>
            <w:tr w14:paraId="7D01C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EF0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3B0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煤矸石</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118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t/a</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D1F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15万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DDC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A71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14.25</w:t>
                  </w:r>
                  <w:r>
                    <w:rPr>
                      <w:rFonts w:hint="default" w:ascii="Times New Roman" w:hAnsi="Times New Roman" w:eastAsia="宋体" w:cs="Times New Roman"/>
                      <w:i w:val="0"/>
                      <w:iCs w:val="0"/>
                      <w:color w:val="auto"/>
                      <w:kern w:val="0"/>
                      <w:sz w:val="20"/>
                      <w:szCs w:val="20"/>
                      <w:u w:val="none"/>
                      <w:lang w:val="en-US" w:eastAsia="zh-CN" w:bidi="ar"/>
                    </w:rPr>
                    <w:t>万</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F19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外购</w:t>
                  </w:r>
                </w:p>
              </w:tc>
            </w:tr>
            <w:tr w14:paraId="24829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91C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2</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49D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建筑垃圾</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E1C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t/a</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422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15万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71E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0</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13E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14.25</w:t>
                  </w:r>
                  <w:r>
                    <w:rPr>
                      <w:rFonts w:hint="default" w:ascii="Times New Roman" w:hAnsi="Times New Roman" w:eastAsia="宋体" w:cs="Times New Roman"/>
                      <w:i w:val="0"/>
                      <w:iCs w:val="0"/>
                      <w:color w:val="auto"/>
                      <w:kern w:val="0"/>
                      <w:sz w:val="20"/>
                      <w:szCs w:val="20"/>
                      <w:u w:val="none"/>
                      <w:lang w:val="en-US" w:eastAsia="zh-CN" w:bidi="ar"/>
                    </w:rPr>
                    <w:t>万</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5D7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外购</w:t>
                  </w:r>
                </w:p>
              </w:tc>
            </w:tr>
            <w:tr w14:paraId="673F5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529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3</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A01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水泥</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1E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t/a</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CE2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0</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A2E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w:t>
                  </w:r>
                  <w:r>
                    <w:rPr>
                      <w:rFonts w:hint="eastAsia" w:cs="Times New Roman"/>
                      <w:i w:val="0"/>
                      <w:iCs w:val="0"/>
                      <w:color w:val="auto"/>
                      <w:kern w:val="0"/>
                      <w:sz w:val="20"/>
                      <w:szCs w:val="20"/>
                      <w:u w:val="none"/>
                      <w:lang w:val="en-US" w:eastAsia="zh-CN" w:bidi="ar"/>
                    </w:rPr>
                    <w:t>.</w:t>
                  </w:r>
                  <w:r>
                    <w:rPr>
                      <w:rFonts w:hint="default" w:ascii="Times New Roman" w:hAnsi="Times New Roman" w:eastAsia="宋体" w:cs="Times New Roman"/>
                      <w:i w:val="0"/>
                      <w:iCs w:val="0"/>
                      <w:color w:val="auto"/>
                      <w:kern w:val="0"/>
                      <w:sz w:val="20"/>
                      <w:szCs w:val="20"/>
                      <w:u w:val="none"/>
                      <w:lang w:val="en-US" w:eastAsia="zh-CN" w:bidi="ar"/>
                    </w:rPr>
                    <w:t>5万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813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w:t>
                  </w:r>
                  <w:r>
                    <w:rPr>
                      <w:rFonts w:hint="eastAsia" w:cs="Times New Roman"/>
                      <w:i w:val="0"/>
                      <w:iCs w:val="0"/>
                      <w:color w:val="auto"/>
                      <w:kern w:val="0"/>
                      <w:sz w:val="20"/>
                      <w:szCs w:val="20"/>
                      <w:u w:val="none"/>
                      <w:lang w:val="en-US" w:eastAsia="zh-CN" w:bidi="ar"/>
                    </w:rPr>
                    <w:t>.</w:t>
                  </w:r>
                  <w:r>
                    <w:rPr>
                      <w:rFonts w:hint="default" w:ascii="Times New Roman" w:hAnsi="Times New Roman" w:eastAsia="宋体" w:cs="Times New Roman"/>
                      <w:i w:val="0"/>
                      <w:iCs w:val="0"/>
                      <w:color w:val="auto"/>
                      <w:kern w:val="0"/>
                      <w:sz w:val="20"/>
                      <w:szCs w:val="20"/>
                      <w:u w:val="none"/>
                      <w:lang w:val="en-US" w:eastAsia="zh-CN" w:bidi="ar"/>
                    </w:rPr>
                    <w:t>5万</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4B2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替代部分原料</w:t>
                  </w:r>
                </w:p>
              </w:tc>
            </w:tr>
            <w:tr w14:paraId="4D117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FC8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4</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030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电</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6FD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万KWh</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5ED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55</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992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15</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02D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7</w:t>
                  </w:r>
                  <w:r>
                    <w:rPr>
                      <w:rFonts w:hint="eastAsia" w:ascii="Times New Roman" w:hAnsi="Times New Roman" w:eastAsia="宋体" w:cs="Times New Roman"/>
                      <w:i w:val="0"/>
                      <w:iCs w:val="0"/>
                      <w:color w:val="auto"/>
                      <w:kern w:val="0"/>
                      <w:sz w:val="20"/>
                      <w:szCs w:val="20"/>
                      <w:u w:val="none"/>
                      <w:lang w:val="en-US" w:eastAsia="zh-CN" w:bidi="ar"/>
                    </w:rPr>
                    <w:t>0</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A4C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市政</w:t>
                  </w:r>
                  <w:r>
                    <w:rPr>
                      <w:rFonts w:hint="eastAsia" w:cs="Times New Roman"/>
                      <w:i w:val="0"/>
                      <w:iCs w:val="0"/>
                      <w:color w:val="auto"/>
                      <w:kern w:val="0"/>
                      <w:sz w:val="20"/>
                      <w:szCs w:val="20"/>
                      <w:u w:val="none"/>
                      <w:lang w:val="en-US" w:eastAsia="zh-CN" w:bidi="ar"/>
                    </w:rPr>
                    <w:t>电</w:t>
                  </w:r>
                  <w:r>
                    <w:rPr>
                      <w:rFonts w:hint="default" w:ascii="Times New Roman" w:hAnsi="Times New Roman" w:eastAsia="宋体" w:cs="Times New Roman"/>
                      <w:i w:val="0"/>
                      <w:iCs w:val="0"/>
                      <w:color w:val="auto"/>
                      <w:kern w:val="0"/>
                      <w:sz w:val="20"/>
                      <w:szCs w:val="20"/>
                      <w:u w:val="none"/>
                      <w:lang w:val="en-US" w:eastAsia="zh-CN" w:bidi="ar"/>
                    </w:rPr>
                    <w:t>网</w:t>
                  </w:r>
                </w:p>
              </w:tc>
            </w:tr>
            <w:tr w14:paraId="7BFD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570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5</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C36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水</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E27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m³</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536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2262</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DE9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15168</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B4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17430</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FCA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市政管网</w:t>
                  </w:r>
                </w:p>
              </w:tc>
            </w:tr>
          </w:tbl>
          <w:p w14:paraId="1DFE0A0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6、劳动定员及工作制度</w:t>
            </w:r>
          </w:p>
          <w:p w14:paraId="507C2C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劳动定员：本项目不新增员工，从现有员工内部调动。</w:t>
            </w:r>
          </w:p>
          <w:p w14:paraId="0F7481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工作制度：年生产300天，一班制，每班8小时，年运营时间2400小时。</w:t>
            </w:r>
          </w:p>
          <w:p w14:paraId="6507EBF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7、项目平面布置及周边关系</w:t>
            </w:r>
          </w:p>
          <w:p w14:paraId="22E87D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平面布置：本项目设有原料库、破碎车间、搅拌车间等。项目平面布置图详见附图</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p>
          <w:p w14:paraId="65C01F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周边关系：项目东侧为道路；项目南侧、北侧为农田；西侧为河沟。本项目周边环境状况图详见附图</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p>
          <w:p w14:paraId="19167FC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8、水平衡分析</w:t>
            </w:r>
          </w:p>
          <w:p w14:paraId="5867863A">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一、给水</w:t>
            </w:r>
          </w:p>
          <w:p w14:paraId="6DE93AA8">
            <w:pPr>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本项目无新增员工，无新增生活污水，现有用水由市政管网提供。</w:t>
            </w:r>
          </w:p>
          <w:p w14:paraId="5040541F">
            <w:pPr>
              <w:keepLines w:val="0"/>
              <w:pageBreakBefore w:val="0"/>
              <w:numPr>
                <w:ilvl w:val="0"/>
                <w:numId w:val="0"/>
              </w:numPr>
              <w:kinsoku/>
              <w:topLinePunct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搅拌用水：水稳生产过程中，搅拌工序需加入一定比例的水，每吨水稳料含水量约为</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0L，本项目年产水稳料30万t，则生产混料用水量为</w:t>
            </w:r>
            <w:r>
              <w:rPr>
                <w:rFonts w:hint="eastAsia"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000m³/a，全部进入产品损耗。</w:t>
            </w:r>
          </w:p>
          <w:p w14:paraId="3843F5FF">
            <w:pPr>
              <w:keepLines w:val="0"/>
              <w:pageBreakBefore w:val="0"/>
              <w:numPr>
                <w:ilvl w:val="0"/>
                <w:numId w:val="0"/>
              </w:numPr>
              <w:kinsoku/>
              <w:topLinePunct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绿化用水：原环评设计绿化用水为180</w:t>
            </w:r>
            <w:r>
              <w:rPr>
                <w:rFonts w:hint="default" w:ascii="Times New Roman" w:hAnsi="Times New Roman" w:eastAsia="宋体" w:cs="Times New Roman"/>
                <w:color w:val="auto"/>
                <w:sz w:val="24"/>
                <w:szCs w:val="24"/>
                <w:lang w:val="en-US" w:eastAsia="zh-CN"/>
              </w:rPr>
              <w:t>m³/a</w:t>
            </w:r>
            <w:r>
              <w:rPr>
                <w:rFonts w:hint="eastAsia" w:ascii="Times New Roman" w:hAnsi="Times New Roman" w:eastAsia="宋体" w:cs="Times New Roman"/>
                <w:color w:val="auto"/>
                <w:sz w:val="24"/>
                <w:szCs w:val="24"/>
                <w:lang w:val="en-US" w:eastAsia="zh-CN"/>
              </w:rPr>
              <w:t>，其中168</w:t>
            </w:r>
            <w:r>
              <w:rPr>
                <w:rFonts w:hint="default" w:ascii="Times New Roman" w:hAnsi="Times New Roman" w:eastAsia="宋体" w:cs="Times New Roman"/>
                <w:color w:val="auto"/>
                <w:sz w:val="24"/>
                <w:szCs w:val="24"/>
                <w:lang w:val="en-US" w:eastAsia="zh-CN"/>
              </w:rPr>
              <w:t>m³/a</w:t>
            </w:r>
            <w:r>
              <w:rPr>
                <w:rFonts w:hint="eastAsia" w:ascii="Times New Roman" w:hAnsi="Times New Roman" w:eastAsia="宋体" w:cs="Times New Roman"/>
                <w:color w:val="auto"/>
                <w:sz w:val="24"/>
                <w:szCs w:val="24"/>
                <w:lang w:val="en-US" w:eastAsia="zh-CN"/>
              </w:rPr>
              <w:t>来源为化粪池上清液和12</w:t>
            </w:r>
            <w:r>
              <w:rPr>
                <w:rFonts w:hint="default" w:ascii="Times New Roman" w:hAnsi="Times New Roman" w:eastAsia="宋体" w:cs="Times New Roman"/>
                <w:color w:val="auto"/>
                <w:sz w:val="24"/>
                <w:szCs w:val="24"/>
                <w:lang w:val="en-US" w:eastAsia="zh-CN"/>
              </w:rPr>
              <w:t>m³/a</w:t>
            </w:r>
            <w:r>
              <w:rPr>
                <w:rFonts w:hint="eastAsia" w:ascii="Times New Roman" w:hAnsi="Times New Roman" w:eastAsia="宋体" w:cs="Times New Roman"/>
                <w:color w:val="auto"/>
                <w:sz w:val="24"/>
                <w:szCs w:val="24"/>
                <w:lang w:val="en-US" w:eastAsia="zh-CN"/>
              </w:rPr>
              <w:t>来源为新鲜水，现将180</w:t>
            </w:r>
            <w:r>
              <w:rPr>
                <w:rFonts w:hint="default" w:ascii="Times New Roman" w:hAnsi="Times New Roman" w:eastAsia="宋体" w:cs="Times New Roman"/>
                <w:color w:val="auto"/>
                <w:sz w:val="24"/>
                <w:szCs w:val="24"/>
                <w:lang w:val="en-US" w:eastAsia="zh-CN"/>
              </w:rPr>
              <w:t>m³/a</w:t>
            </w:r>
            <w:r>
              <w:rPr>
                <w:rFonts w:hint="eastAsia" w:ascii="Times New Roman" w:hAnsi="Times New Roman" w:eastAsia="宋体" w:cs="Times New Roman"/>
                <w:color w:val="auto"/>
                <w:sz w:val="24"/>
                <w:szCs w:val="24"/>
                <w:lang w:val="en-US" w:eastAsia="zh-CN"/>
              </w:rPr>
              <w:t>绿化用水来源全部改为新鲜水。</w:t>
            </w:r>
          </w:p>
          <w:p w14:paraId="7DAD91A1">
            <w:pPr>
              <w:pStyle w:val="32"/>
              <w:numPr>
                <w:ilvl w:val="0"/>
                <w:numId w:val="0"/>
              </w:numPr>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二、</w:t>
            </w:r>
            <w:r>
              <w:rPr>
                <w:rFonts w:hint="default" w:ascii="Times New Roman" w:hAnsi="Times New Roman" w:eastAsia="宋体" w:cs="Times New Roman"/>
                <w:color w:val="auto"/>
                <w:sz w:val="24"/>
                <w:szCs w:val="24"/>
                <w:lang w:val="en-US" w:eastAsia="zh-CN"/>
              </w:rPr>
              <w:t>排水</w:t>
            </w:r>
          </w:p>
          <w:p w14:paraId="5DD71C47">
            <w:pPr>
              <w:keepLines w:val="0"/>
              <w:pageBreakBefore w:val="0"/>
              <w:numPr>
                <w:ilvl w:val="0"/>
                <w:numId w:val="0"/>
              </w:numPr>
              <w:kinsoku/>
              <w:topLinePunct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生活污水排入化粪池处理，处理完成后定期清掏，不外排。车辆清洗废水经</w:t>
            </w:r>
            <w:r>
              <w:rPr>
                <w:rFonts w:hint="eastAsia" w:cs="Times New Roman"/>
                <w:color w:val="auto"/>
                <w:sz w:val="24"/>
                <w:szCs w:val="24"/>
                <w:lang w:val="en-US" w:eastAsia="zh-CN"/>
              </w:rPr>
              <w:t>沉淀池</w:t>
            </w:r>
            <w:r>
              <w:rPr>
                <w:rFonts w:hint="default" w:ascii="Times New Roman" w:hAnsi="Times New Roman" w:eastAsia="宋体" w:cs="Times New Roman"/>
                <w:color w:val="auto"/>
                <w:sz w:val="24"/>
                <w:szCs w:val="24"/>
                <w:lang w:val="en-US" w:eastAsia="zh-CN"/>
              </w:rPr>
              <w:t>处理后循环使用，不外排。</w:t>
            </w:r>
          </w:p>
          <w:p w14:paraId="47EB186A">
            <w:pPr>
              <w:pStyle w:val="57"/>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drawing>
                <wp:inline distT="0" distB="0" distL="114300" distR="114300">
                  <wp:extent cx="4340225" cy="5033010"/>
                  <wp:effectExtent l="0" t="0" r="0" b="0"/>
                  <wp:docPr id="1" name="ECB019B1-382A-4266-B25C-5B523AA43C14-1" descr="C:/Users/Administrator/AppData/Local/Temp/wps.XmFTS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XmFTSJwps"/>
                          <pic:cNvPicPr>
                            <a:picLocks noChangeAspect="1"/>
                          </pic:cNvPicPr>
                        </pic:nvPicPr>
                        <pic:blipFill>
                          <a:blip r:embed="rId11"/>
                          <a:stretch>
                            <a:fillRect/>
                          </a:stretch>
                        </pic:blipFill>
                        <pic:spPr>
                          <a:xfrm>
                            <a:off x="0" y="0"/>
                            <a:ext cx="4340225" cy="5033010"/>
                          </a:xfrm>
                          <a:prstGeom prst="rect">
                            <a:avLst/>
                          </a:prstGeom>
                        </pic:spPr>
                      </pic:pic>
                    </a:graphicData>
                  </a:graphic>
                </wp:inline>
              </w:drawing>
            </w:r>
          </w:p>
          <w:p w14:paraId="33214D68">
            <w:pPr>
              <w:jc w:val="center"/>
              <w:rPr>
                <w:rFonts w:hint="default" w:cs="Times New Roman"/>
                <w:color w:val="auto"/>
                <w:lang w:val="en-US" w:eastAsia="zh-CN"/>
              </w:rPr>
            </w:pPr>
            <w:r>
              <w:rPr>
                <w:rFonts w:hint="eastAsia" w:cs="Times New Roman"/>
                <w:color w:val="auto"/>
                <w:lang w:val="en-US" w:eastAsia="zh-CN"/>
              </w:rPr>
              <w:t>图2-2技改完成后全厂水平衡图</w:t>
            </w:r>
          </w:p>
        </w:tc>
      </w:tr>
      <w:tr w14:paraId="10E0A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3" w:type="dxa"/>
            <w:noWrap w:val="0"/>
            <w:vAlign w:val="center"/>
          </w:tcPr>
          <w:p w14:paraId="13583474">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工艺流程和产排污环节</w:t>
            </w:r>
          </w:p>
        </w:tc>
        <w:tc>
          <w:tcPr>
            <w:tcW w:w="8161" w:type="dxa"/>
            <w:noWrap w:val="0"/>
            <w:vAlign w:val="top"/>
          </w:tcPr>
          <w:p w14:paraId="066022B1">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kern w:val="2"/>
                <w:sz w:val="24"/>
                <w:szCs w:val="24"/>
                <w:lang w:val="en-US" w:eastAsia="zh-CN" w:bidi="ar-SA"/>
              </w:rPr>
              <w:t>1、</w:t>
            </w:r>
            <w:r>
              <w:rPr>
                <w:rFonts w:hint="default" w:ascii="Times New Roman" w:hAnsi="Times New Roman" w:eastAsia="宋体" w:cs="Times New Roman"/>
                <w:b/>
                <w:color w:val="auto"/>
                <w:sz w:val="24"/>
                <w:szCs w:val="24"/>
                <w:lang w:val="en-US" w:eastAsia="zh-CN"/>
              </w:rPr>
              <w:t>项目工艺流程图</w:t>
            </w:r>
          </w:p>
          <w:p w14:paraId="3ABE0DBA">
            <w:pPr>
              <w:pStyle w:val="32"/>
              <w:numPr>
                <w:ilvl w:val="0"/>
                <w:numId w:val="0"/>
              </w:numPr>
              <w:rPr>
                <w:rFonts w:hint="default" w:ascii="Times New Roman" w:hAnsi="Times New Roman" w:eastAsia="宋体" w:cs="Times New Roman"/>
                <w:color w:val="auto"/>
                <w:lang w:val="en-US" w:eastAsia="zh-CN"/>
              </w:rPr>
            </w:pPr>
          </w:p>
          <w:p w14:paraId="605B98A8">
            <w:pPr>
              <w:pStyle w:val="218"/>
              <w:keepLines w:val="0"/>
              <w:pageBreakBefore w:val="0"/>
              <w:kinsoku/>
              <w:topLinePunct w:val="0"/>
              <w:bidi w:val="0"/>
              <w:adjustRightInd w:val="0"/>
              <w:snapToGrid w:val="0"/>
              <w:spacing w:beforeLines="0" w:line="240" w:lineRule="auto"/>
              <w:ind w:left="562" w:hanging="482" w:hangingChars="200"/>
              <w:jc w:val="center"/>
              <w:rPr>
                <w:rFonts w:hint="eastAsia" w:ascii="Times New Roman" w:hAnsi="Times New Roman" w:eastAsia="宋体" w:cs="Times New Roman"/>
                <w:color w:val="auto"/>
                <w:sz w:val="24"/>
                <w:szCs w:val="24"/>
                <w:lang w:eastAsia="zh-CN"/>
              </w:rPr>
            </w:pPr>
            <w:r>
              <w:rPr>
                <w:sz w:val="24"/>
              </w:rPr>
              <mc:AlternateContent>
                <mc:Choice Requires="wps">
                  <w:drawing>
                    <wp:anchor distT="0" distB="0" distL="114300" distR="114300" simplePos="0" relativeHeight="251683840" behindDoc="0" locked="0" layoutInCell="1" allowOverlap="1">
                      <wp:simplePos x="0" y="0"/>
                      <wp:positionH relativeFrom="column">
                        <wp:posOffset>3009900</wp:posOffset>
                      </wp:positionH>
                      <wp:positionV relativeFrom="paragraph">
                        <wp:posOffset>4403725</wp:posOffset>
                      </wp:positionV>
                      <wp:extent cx="361950" cy="0"/>
                      <wp:effectExtent l="0" t="4445" r="0" b="5080"/>
                      <wp:wrapNone/>
                      <wp:docPr id="56" name="直接连接符 56"/>
                      <wp:cNvGraphicFramePr/>
                      <a:graphic xmlns:a="http://schemas.openxmlformats.org/drawingml/2006/main">
                        <a:graphicData uri="http://schemas.microsoft.com/office/word/2010/wordprocessingShape">
                          <wps:wsp>
                            <wps:cNvCnPr/>
                            <wps:spPr>
                              <a:xfrm>
                                <a:off x="3827780" y="5324475"/>
                                <a:ext cx="361950" cy="0"/>
                              </a:xfrm>
                              <a:prstGeom prst="line">
                                <a:avLst/>
                              </a:prstGeom>
                              <a:ln w="9525">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7pt;margin-top:346.75pt;height:0pt;width:28.5pt;z-index:251683840;mso-width-relative:page;mso-height-relative:page;" filled="f" stroked="t" coordsize="21600,21600" o:gfxdata="UEsDBAoAAAAAAIdO4kAAAAAAAAAAAAAAAAAEAAAAZHJzL1BLAwQUAAAACACHTuJAD/a2N9gAAAAL&#10;AQAADwAAAGRycy9kb3ducmV2LnhtbE2PzU7DMBCE70i8g7VIXCpqp2kLhDg9ALlxaQFx3SZLEhGv&#10;09j9gadnkZDguLOjmW/y1cn16kBj6DxbSKYGFHHl644bCy/P5dUNqBCRa+w9k4VPCrAqzs9yzGp/&#10;5DUdNrFREsIhQwttjEOmdahachimfiCW37sfHUY5x0bXIx4l3PV6ZsxSO+xYGloc6L6l6mOzdxZC&#10;+Uq78mtSTcxb2nia7R6eHtHay4vE3IGKdIp/ZvjBF3QohGnr91wH1VuYX89lS7SwvE0XoMSxSBNR&#10;tr+KLnL9f0PxDVBLAwQUAAAACACHTuJAw6bK8EACAACuBAAADgAAAGRycy9lMm9Eb2MueG1srVRL&#10;jhMxEN0jcQfLe9JJTzrJROmMxERhw2ck4ACO2/2R/JPL+V2CCyCxgxVL9tyG4RiU7SQTDRGaBd2S&#10;2y6XX9V7Ve7ZzU5JshEOOqNLOuj1KRGam6rTTUk/fli+mFACnumKSaNFSfcC6M38+bPZ1k5Fbloj&#10;K+EIgmiYbm1JW+/tNMuAt0Ix6BkrNG7WxinmcemarHJsi+hKZnm/P8q2xlXWGS4A0LpIm/SA6J4C&#10;aOq642Jh+FoJ7ROqE5J5pARtZ4HOY7Z1Lbh/V9cgPJElRaY+jhgE56swZvMZmzaO2bbjhxTYU1J4&#10;xEmxTmPQE9SCeUbWrvsLSnXcGTC173GjskQkKoIsBv1H2rxvmRWRC0oN9iQ6/D9Y/nZz50hXlbQY&#10;UaKZworff/7x69PX3z+/4Hj//RvBHZRpa2GK3rf6zh1WYO9c4LyrnQpfZEN2Jb2a5OPxBAXeI+hV&#10;PhyOiySz2HnCg8NocF3gPkeHWIHsAcM68K+EUSRMSio7HQRgU7Z5DR7jouvRJZi1WXZSxiJKTbYl&#10;vS7yApEZNmaNDYFTZZEc6IYSJhvseO7dsVJVOBxgGkD0NCHWoLxFH5/oBq5Z3UpHNix0UHwCG8yj&#10;gfMTF7xfLsMbUeRavTFVAskDeFIEzdieyTw+mhH6EPRCmEHKIES+lFmwn8ea/AM0UjjwRp0JCz+A&#10;YpgCEOBMClTuWCC8Iye5QgUWDNqUOBjZVQdNpMacQ6ek3gizlan2sWWiHds4sUpXLtyT83U8/fCb&#10;m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a2N9gAAAALAQAADwAAAAAAAAABACAAAAAiAAAA&#10;ZHJzL2Rvd25yZXYueG1sUEsBAhQAFAAAAAgAh07iQMOmyvBAAgAArgQAAA4AAAAAAAAAAQAgAAAA&#10;JwEAAGRycy9lMm9Eb2MueG1sUEsFBgAAAAAGAAYAWQEAANkFAAAAAA==&#10;">
                      <v:fill on="f" focussize="0,0"/>
                      <v:stroke color="#000000" joinstyle="round"/>
                      <v:imagedata o:title=""/>
                      <o:lock v:ext="edit" aspectratio="f"/>
                    </v:line>
                  </w:pict>
                </mc:Fallback>
              </mc:AlternateContent>
            </w:r>
            <w:r>
              <w:rPr>
                <w:rFonts w:hint="eastAsia" w:ascii="Times New Roman" w:hAnsi="Times New Roman" w:eastAsia="宋体" w:cs="Times New Roman"/>
                <w:color w:val="auto"/>
                <w:sz w:val="24"/>
                <w:szCs w:val="24"/>
                <w:lang w:eastAsia="zh-CN"/>
              </w:rPr>
              <w:drawing>
                <wp:inline distT="0" distB="0" distL="114300" distR="114300">
                  <wp:extent cx="4676775" cy="7934325"/>
                  <wp:effectExtent l="0" t="0" r="9525" b="9525"/>
                  <wp:docPr id="2" name="图片 2" descr="0b07735be32f424b17f368b9e7ac8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b07735be32f424b17f368b9e7ac8a5c"/>
                          <pic:cNvPicPr>
                            <a:picLocks noChangeAspect="1"/>
                          </pic:cNvPicPr>
                        </pic:nvPicPr>
                        <pic:blipFill>
                          <a:blip r:embed="rId12"/>
                          <a:stretch>
                            <a:fillRect/>
                          </a:stretch>
                        </pic:blipFill>
                        <pic:spPr>
                          <a:xfrm>
                            <a:off x="0" y="0"/>
                            <a:ext cx="4676775" cy="7934325"/>
                          </a:xfrm>
                          <a:prstGeom prst="rect">
                            <a:avLst/>
                          </a:prstGeom>
                        </pic:spPr>
                      </pic:pic>
                    </a:graphicData>
                  </a:graphic>
                </wp:inline>
              </w:drawing>
            </w:r>
            <w:r>
              <w:rPr>
                <w:sz w:val="24"/>
              </w:rPr>
              <mc:AlternateContent>
                <mc:Choice Requires="wps">
                  <w:drawing>
                    <wp:anchor distT="0" distB="0" distL="114300" distR="114300" simplePos="0" relativeHeight="251682816" behindDoc="0" locked="0" layoutInCell="1" allowOverlap="1">
                      <wp:simplePos x="0" y="0"/>
                      <wp:positionH relativeFrom="column">
                        <wp:posOffset>3352800</wp:posOffset>
                      </wp:positionH>
                      <wp:positionV relativeFrom="paragraph">
                        <wp:posOffset>2736850</wp:posOffset>
                      </wp:positionV>
                      <wp:extent cx="0" cy="1676400"/>
                      <wp:effectExtent l="4445" t="0" r="14605" b="0"/>
                      <wp:wrapNone/>
                      <wp:docPr id="55" name="直接连接符 55"/>
                      <wp:cNvGraphicFramePr/>
                      <a:graphic xmlns:a="http://schemas.openxmlformats.org/drawingml/2006/main">
                        <a:graphicData uri="http://schemas.microsoft.com/office/word/2010/wordprocessingShape">
                          <wps:wsp>
                            <wps:cNvCnPr/>
                            <wps:spPr>
                              <a:xfrm>
                                <a:off x="4170680" y="3657600"/>
                                <a:ext cx="0" cy="167640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64pt;margin-top:215.5pt;height:132pt;width:0pt;z-index:251682816;mso-width-relative:page;mso-height-relative:page;" filled="f" stroked="t" coordsize="21600,21600" o:gfxdata="UEsDBAoAAAAAAIdO4kAAAAAAAAAAAAAAAAAEAAAAZHJzL1BLAwQUAAAACACHTuJAHcvHlNgAAAAL&#10;AQAADwAAAGRycy9kb3ducmV2LnhtbE2PzU7DQAyE70i8w8pIXKp2NymtSojTA5AbFwoVVzcxSUR2&#10;N81uf+DpMeIAN9szGn+Tr8+2V0ceQ+cdQjIzoNhVvu5cg/D6Uk5XoEIkV1PvHSN8coB1cXmRU1b7&#10;k3vm4yY2SkJcyAihjXHItA5Vy5bCzA/sRHv3o6Uo69joeqSThNtep8YstaXOyYeWBr5vufrYHCxC&#10;KLe8L78m1cS8zRvP6f7h6ZEQr68Scwcq8jn+meEHX9ChEKadP7g6qB5hka6kS0S4mScyiOP3skNY&#10;3i4M6CLX/zsU31BLAwQUAAAACACHTuJAbTfZP+YBAACoAwAADgAAAGRycy9lMm9Eb2MueG1srVPL&#10;jtMwFN0j8Q+W9zRpmaZDVHcWUw0bBJWAD3AdJ7Hkl3w9TfsT/AASO1ixZM/fMHwG107mwbCZBVk4&#10;177H5/ocX68vjkaTgwygnGV0PispkVa4RtmO0Y8frl6cUwKR24ZrZyWjJwn0YvP82XrwtVy43ulG&#10;BoIkFurBM9rH6OuiANFLw2HmvLSYbF0wPOI0dEUT+IDsRheLsqyKwYXGByckAK5uxySdGMNTCF3b&#10;KiG3TlwbaePIGqTmESVBrzzQTT5t20oR37UtyEg0o6g05hGLYLxPY7FZ87oL3PdKTEfgTznCI02G&#10;K4tF76i2PHJyHdQ/VEaJ4MC1cSacKUYh2RFUMS8fefO+515mLWg1+DvT4f/RireHXSCqYXS5pMRy&#10;gzd+8/nHr09ff//8guPN928EM2jT4KFG9KXdhWkGfheS5mMbTPqjGnJk9Gy+KqtzNPjE6MtquarK&#10;yWZ5jEQgAFMCc/NqVZ2NueKexAeIr6UzJAWMamWTA7zmhzcQsTBCbyFp2borpXW+RW3JwOir5QKF&#10;CI6d2WJHYGg8qgPbUcJ1hy0vYsiM4LRq0u7EA6HbX+pADjw1Sv6SaKz2FyyV3nLoR1xOTTBtEZ08&#10;Gl1J0d41p2xWXscLzHxTs6UOeTjPu+8f2O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cvHlNgA&#10;AAALAQAADwAAAAAAAAABACAAAAAiAAAAZHJzL2Rvd25yZXYueG1sUEsBAhQAFAAAAAgAh07iQG03&#10;2T/mAQAAqAMAAA4AAAAAAAAAAQAgAAAAJwEAAGRycy9lMm9Eb2MueG1sUEsFBgAAAAAGAAYAWQEA&#10;AH8FAAAAAA==&#10;">
                      <v:fill on="f" focussize="0,0"/>
                      <v:stroke color="#000000 [3213]" joinstyle="round"/>
                      <v:imagedata o:title=""/>
                      <o:lock v:ext="edit" aspectratio="f"/>
                    </v:lin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3419475</wp:posOffset>
                      </wp:positionH>
                      <wp:positionV relativeFrom="paragraph">
                        <wp:posOffset>3251200</wp:posOffset>
                      </wp:positionV>
                      <wp:extent cx="438150" cy="666750"/>
                      <wp:effectExtent l="0" t="0" r="0" b="0"/>
                      <wp:wrapNone/>
                      <wp:docPr id="57" name="文本框 57"/>
                      <wp:cNvGraphicFramePr/>
                      <a:graphic xmlns:a="http://schemas.openxmlformats.org/drawingml/2006/main">
                        <a:graphicData uri="http://schemas.microsoft.com/office/word/2010/wordprocessingShape">
                          <wps:wsp>
                            <wps:cNvSpPr txBox="1"/>
                            <wps:spPr>
                              <a:xfrm>
                                <a:off x="4208780" y="4362450"/>
                                <a:ext cx="438150" cy="666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43B0E">
                                  <w:pPr>
                                    <w:rPr>
                                      <w:rFonts w:hint="default" w:eastAsia="宋体"/>
                                      <w:lang w:val="en-US" w:eastAsia="zh-CN"/>
                                    </w:rPr>
                                  </w:pPr>
                                  <w:r>
                                    <w:rPr>
                                      <w:rFonts w:hint="eastAsia"/>
                                      <w:lang w:val="en-US" w:eastAsia="zh-CN"/>
                                    </w:rPr>
                                    <w:t>筛上物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25pt;margin-top:256pt;height:52.5pt;width:34.5pt;z-index:251684864;mso-width-relative:page;mso-height-relative:page;" filled="f" stroked="f" coordsize="21600,21600" o:gfxdata="UEsDBAoAAAAAAIdO4kAAAAAAAAAAAAAAAAAEAAAAZHJzL1BLAwQUAAAACACHTuJAU1acuNoAAAAL&#10;AQAADwAAAGRycy9kb3ducmV2LnhtbE2PzU7DMBCE70i8g7VI3KidoLRRiFOhSBUSgkNLL9w2sZtE&#10;xOsQuz/w9CwnuM3ujma/KdcXN4qTncPgSUOyUCAstd4M1GnYv23uchAhIhkcPVkNXzbAurq+KrEw&#10;/kxbe9rFTnAIhQI19DFOhZSh7a3DsPCTJb4d/Oww8jh30sx45nA3ylSppXQ4EH/ocbJ1b9uP3dFp&#10;eK43r7htUpd/j/XTy+Fx+ty/Z1rf3iTqAUS0l/hnhl98RoeKmRp/JBPEqCG7zzO2skhSLsWOpVrx&#10;pmGRrBTIqpT/O1Q/UEsDBBQAAAAIAIdO4kAgoOCeRAIAAHMEAAAOAAAAZHJzL2Uyb0RvYy54bWyt&#10;VMFuEzEQvSPxD5bvdJM0TULUTRVaFSFVtFJBnB2vt7uS7TG2093yAfAHnLhw57vyHTzvbtpSOPTA&#10;xRnPzL6Z92ac45PWaHarfKjJ5nx8MOJMWUlFbW9y/vHD+asFZyEKWwhNVuX8TgV+snr54rhxSzWh&#10;inShPAOIDcvG5byK0S2zLMhKGREOyCmLYEneiIirv8kKLxqgG51NRqNZ1pAvnCepQoD3rA/yAdE/&#10;B5DKspbqjOTWKBt7VK+0iKAUqtoFvuq6LUsl42VZBhWZzjmYxu5EEdibdGarY7G88cJVtRxaEM9p&#10;4QknI2qLovdQZyIKtvX1X1Cmlp4ClfFAksl6Ip0iYDEePdHmuhJOdVwgdXD3oof/Byvf3155Vhc5&#10;P5pzZoXBxHffv+1+/Nr9/Mrgg0CNC0vkXTtkxvYNtVibvT/AmXi3pTfpF4wY4tPJaDFfQOQ72Iez&#10;yfRokFq1kcmUcLgYw8ckEmaz2byPZw9Azof4VpFhyci5xyQ7gcXtRYhoCqn7lFTX0nmtdTdNbVkD&#10;0ENA/hHBF9riw0SnbztZsd20A8cNFXeg6KnfkuDkeY3iFyLEK+GxFugXDyde4ig1oQgNFmcV+S//&#10;8qd8TAtRzhqsWc7D563wijP9zmKOr8fTKWBjd5kezSe4+MeRzeOI3ZpTwiaP8USd7MyUH/XeLD2Z&#10;T3hf61QVIWElauc87s3T2C8/3qdU63WXhE10Il7YaycTdC/aehuprDulk0y9NoN62MVuAMO7Scv+&#10;+N5lPfxXr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1acuNoAAAALAQAADwAAAAAAAAABACAA&#10;AAAiAAAAZHJzL2Rvd25yZXYueG1sUEsBAhQAFAAAAAgAh07iQCCg4J5EAgAAcwQAAA4AAAAAAAAA&#10;AQAgAAAAKQEAAGRycy9lMm9Eb2MueG1sUEsFBgAAAAAGAAYAWQEAAN8FAAAAAA==&#10;">
                      <v:fill on="f" focussize="0,0"/>
                      <v:stroke on="f" weight="0.5pt"/>
                      <v:imagedata o:title=""/>
                      <o:lock v:ext="edit" aspectratio="f"/>
                      <v:textbox>
                        <w:txbxContent>
                          <w:p w14:paraId="45B43B0E">
                            <w:pPr>
                              <w:rPr>
                                <w:rFonts w:hint="default" w:eastAsia="宋体"/>
                                <w:lang w:val="en-US" w:eastAsia="zh-CN"/>
                              </w:rPr>
                            </w:pPr>
                            <w:r>
                              <w:rPr>
                                <w:rFonts w:hint="eastAsia"/>
                                <w:lang w:val="en-US" w:eastAsia="zh-CN"/>
                              </w:rPr>
                              <w:t>筛上物</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3009900</wp:posOffset>
                      </wp:positionH>
                      <wp:positionV relativeFrom="paragraph">
                        <wp:posOffset>2727325</wp:posOffset>
                      </wp:positionV>
                      <wp:extent cx="342900" cy="0"/>
                      <wp:effectExtent l="0" t="48895" r="0" b="65405"/>
                      <wp:wrapNone/>
                      <wp:docPr id="54" name="直接箭头连接符 54"/>
                      <wp:cNvGraphicFramePr/>
                      <a:graphic xmlns:a="http://schemas.openxmlformats.org/drawingml/2006/main">
                        <a:graphicData uri="http://schemas.microsoft.com/office/word/2010/wordprocessingShape">
                          <wps:wsp>
                            <wps:cNvCnPr/>
                            <wps:spPr>
                              <a:xfrm flipH="1">
                                <a:off x="3837305" y="3667125"/>
                                <a:ext cx="3429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7pt;margin-top:214.75pt;height:0pt;width:27pt;z-index:251681792;mso-width-relative:page;mso-height-relative:page;" filled="f" stroked="t" coordsize="21600,21600" o:gfxdata="UEsDBAoAAAAAAIdO4kAAAAAAAAAAAAAAAAAEAAAAZHJzL1BLAwQUAAAACACHTuJAaCR0B9cAAAAL&#10;AQAADwAAAGRycy9kb3ducmV2LnhtbE2PQU/DMAyF70j8h8hI3FiyqoVRmu4A4gQXBtK0W9aYpqNx&#10;SpOt5d9jJCS42c9Pz9+r1rPvxQnH2AXSsFwoEEhNsB21Gt5eH69WIGIyZE0fCDV8YYR1fX5WmdKG&#10;iV7wtEmt4BCKpdHgUhpKKWPj0Ju4CAMS397D6E3idWylHc3E4b6XmVLX0puO+IMzA947bD42R69h&#10;+6x2xRxGd9h95u6pe2i3Bz9pfXmxVHcgEs7pzww/+IwONTPtw5FsFL2G/CbnLomH7LYAwY4iW7Gy&#10;/1VkXcn/HepvUEsDBBQAAAAIAIdO4kBwFr4WDgIAAN4DAAAOAAAAZHJzL2Uyb0RvYy54bWytU81u&#10;EzEQviPxDpbvZPPTpG2UTQ8JhQOCSMADOF7vriX/acbNJi/BCyBxAk7AqXeeBspjMPaGAuXSA3tY&#10;jT0z38z3zXhxsbeG7RSg9q7ko8GQM+Wkr7RrSv761eWjM84wClcJ450q+UEhv1g+fLDowlyNfetN&#10;pYARiMN5F0rexhjmRYGyVVbgwAflyFl7sCLSEZqiAtERujXFeDicFZ2HKoCXCpFu172THxHhPoC+&#10;rrVUay+vrHKxRwVlRCRK2OqAfJm7rWsl44u6RhWZKTkxjflPRcjepn+xXIh5AyK0Wh5bEPdp4Q4n&#10;K7SjordQaxEFuwL9D5TVEjz6Og6kt0VPJCtCLEbDO9q8bEVQmQtJjeFWdPx/sPL5bgNMVyWfnnDm&#10;hKWJ37y9/v7mw82Xz9/eX//4+i7Znz4y8pNYXcA55azcBo4nDBtIzPc1WFYbHZ7SVmUtiB3bl3xy&#10;NjmdDKecHciezU5H42kvu9pHJlPAyfh8SAORFJAnUvRoCTUAxifKW5aMkmMEoZs2rrxzNFsPfSWx&#10;e4aR+qHEXwkp2flLbUwesXGsK/n5lGozKWhta1oXMm0g6ugazoRp6D3ICLl39EZXKTvhIDTblQG2&#10;E2mL8pcYULW/wlLptcC2j8uunmgU2jx2FYuHQPIKAN8d840jmKRpr2Kytr46ZHHzPY09FzquaNqr&#10;P885+/ezXP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CR0B9cAAAALAQAADwAAAAAAAAABACAA&#10;AAAiAAAAZHJzL2Rvd25yZXYueG1sUEsBAhQAFAAAAAgAh07iQHAWvhYOAgAA3gMAAA4AAAAAAAAA&#10;AQAgAAAAJgEAAGRycy9lMm9Eb2MueG1sUEsFBgAAAAAGAAYAWQEAAKYFAAAAAA==&#10;">
                      <v:fill on="f" focussize="0,0"/>
                      <v:stroke color="#000000 [3213]" joinstyle="round" endarrow="open"/>
                      <v:imagedata o:title=""/>
                      <o:lock v:ext="edit" aspectratio="f"/>
                    </v:shape>
                  </w:pict>
                </mc:Fallback>
              </mc:AlternateContent>
            </w:r>
          </w:p>
          <w:p w14:paraId="62D4A7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图2-</w:t>
            </w:r>
            <w:r>
              <w:rPr>
                <w:rFonts w:hint="eastAsia" w:cs="Times New Roman"/>
                <w:b/>
                <w:bCs/>
                <w:color w:val="auto"/>
                <w:sz w:val="22"/>
                <w:szCs w:val="22"/>
                <w:lang w:val="en-US" w:eastAsia="zh-CN"/>
              </w:rPr>
              <w:t>3</w:t>
            </w:r>
            <w:r>
              <w:rPr>
                <w:rFonts w:hint="default" w:ascii="Times New Roman" w:hAnsi="Times New Roman" w:eastAsia="宋体" w:cs="Times New Roman"/>
                <w:b/>
                <w:bCs/>
                <w:color w:val="auto"/>
                <w:sz w:val="22"/>
                <w:szCs w:val="22"/>
                <w:lang w:val="en-US" w:eastAsia="zh-CN"/>
              </w:rPr>
              <w:t>工艺及产污流程图</w:t>
            </w:r>
          </w:p>
          <w:p w14:paraId="34386839">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1、工艺流程及产污节点简述：</w:t>
            </w:r>
          </w:p>
          <w:p w14:paraId="091B7237">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①</w:t>
            </w:r>
            <w:r>
              <w:rPr>
                <w:rFonts w:hint="eastAsia" w:cs="Times New Roman"/>
                <w:bCs/>
                <w:color w:val="auto"/>
                <w:sz w:val="24"/>
                <w:szCs w:val="24"/>
                <w:lang w:val="en-US" w:eastAsia="zh-CN"/>
              </w:rPr>
              <w:t>上</w:t>
            </w:r>
            <w:r>
              <w:rPr>
                <w:rFonts w:hint="default" w:ascii="Times New Roman" w:hAnsi="Times New Roman" w:eastAsia="宋体" w:cs="Times New Roman"/>
                <w:bCs/>
                <w:color w:val="auto"/>
                <w:sz w:val="24"/>
                <w:szCs w:val="24"/>
                <w:lang w:val="en-US" w:eastAsia="zh-CN"/>
              </w:rPr>
              <w:t>料</w:t>
            </w:r>
          </w:p>
          <w:p w14:paraId="34A1BCD6">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项目通过铲车将煤矸石、建筑垃圾等上料到料斗中</w:t>
            </w:r>
            <w:r>
              <w:rPr>
                <w:rFonts w:hint="default" w:ascii="Times New Roman" w:hAnsi="Times New Roman" w:eastAsia="宋体" w:cs="Times New Roman"/>
                <w:bCs/>
                <w:color w:val="auto"/>
                <w:sz w:val="24"/>
                <w:szCs w:val="24"/>
                <w:lang w:val="en-US" w:eastAsia="zh-CN"/>
              </w:rPr>
              <w:t>。此工序主要污染物为噪声和粉尘。</w:t>
            </w:r>
          </w:p>
          <w:p w14:paraId="00EAE4DB">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②破碎</w:t>
            </w:r>
          </w:p>
          <w:p w14:paraId="6FAC17B3">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煤矸石</w:t>
            </w:r>
            <w:r>
              <w:rPr>
                <w:rFonts w:hint="default" w:ascii="Times New Roman" w:hAnsi="Times New Roman" w:eastAsia="宋体" w:cs="Times New Roman"/>
                <w:bCs/>
                <w:color w:val="auto"/>
                <w:sz w:val="24"/>
                <w:szCs w:val="24"/>
                <w:lang w:val="en-US" w:eastAsia="zh-CN"/>
              </w:rPr>
              <w:t>及建筑垃圾经皮带运输至破碎机进行中、细碎作业。本项目通过皮带输送物料，为降低在输送过程中产生分产，评价要求将所有输送带封闭，以减少粉尘的产生。此工序主要污染物为噪声和粉尘。</w:t>
            </w:r>
          </w:p>
          <w:p w14:paraId="11EBA35B">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破碎机工作原理是利用冲击能来破碎物料，在电动机的带动下，机器转子高速旋转，物料由机器上部直接落入板锤作用区，与转子上的板锤撞击破碎，后被抛向反击装置上再次破碎，又从反击衬板上弹回到板锤作用区重新破碎，同时在高速离心力的作用下，石料与一部分以伞型方式分流在转子四周的飞石产生高速碰撞，石料在互相打击后破碎，此过程重复进行，直至石料被粉碎到所需粒度由出料口排出。</w:t>
            </w:r>
          </w:p>
          <w:p w14:paraId="6183E492">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③筛分</w:t>
            </w:r>
          </w:p>
          <w:p w14:paraId="53EE991F">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破碎机出料口设有输送带，破碎后的物料经输送带送至振动筛进行筛分。</w:t>
            </w:r>
            <w:r>
              <w:rPr>
                <w:rFonts w:hint="eastAsia" w:cs="Times New Roman"/>
                <w:bCs/>
                <w:color w:val="auto"/>
                <w:sz w:val="24"/>
                <w:szCs w:val="24"/>
                <w:lang w:val="en-US" w:eastAsia="zh-CN"/>
              </w:rPr>
              <w:t>筛上物通过皮带再次返回破碎机，</w:t>
            </w:r>
            <w:r>
              <w:rPr>
                <w:rFonts w:hint="default" w:ascii="Times New Roman" w:hAnsi="Times New Roman" w:eastAsia="宋体" w:cs="Times New Roman"/>
                <w:bCs/>
                <w:color w:val="auto"/>
                <w:sz w:val="24"/>
                <w:szCs w:val="24"/>
                <w:lang w:val="en-US" w:eastAsia="zh-CN"/>
              </w:rPr>
              <w:t>筛分后的物料分别经输送带送至搅拌车间。</w:t>
            </w:r>
          </w:p>
          <w:p w14:paraId="5F483265">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④搅拌（技改新增）</w:t>
            </w:r>
          </w:p>
          <w:p w14:paraId="1871F52C">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建材颗粒经输送带输送至搅拌机中，同时向搅拌机中加入水泥，加入比例为1:0.05，</w:t>
            </w:r>
            <w:r>
              <w:rPr>
                <w:rFonts w:hint="default" w:ascii="Times New Roman" w:hAnsi="Times New Roman" w:eastAsia="宋体" w:cs="Times New Roman"/>
                <w:color w:val="auto"/>
                <w:sz w:val="24"/>
                <w:szCs w:val="24"/>
                <w:lang w:val="en-US" w:eastAsia="zh-CN"/>
              </w:rPr>
              <w:t>搅拌工序需加入一定比例的水，每吨水稳料含水量约为</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0L，</w:t>
            </w:r>
            <w:r>
              <w:rPr>
                <w:rFonts w:hint="default" w:ascii="Times New Roman" w:hAnsi="Times New Roman" w:eastAsia="宋体" w:cs="Times New Roman"/>
                <w:bCs/>
                <w:color w:val="auto"/>
                <w:sz w:val="24"/>
                <w:szCs w:val="24"/>
                <w:lang w:val="en-US" w:eastAsia="zh-CN"/>
              </w:rPr>
              <w:t>搅拌机将建材颗粒和水泥一同搅拌，搅拌后产生</w:t>
            </w:r>
            <w:r>
              <w:rPr>
                <w:rFonts w:hint="eastAsia" w:cs="Times New Roman"/>
                <w:bCs/>
                <w:color w:val="auto"/>
                <w:sz w:val="24"/>
                <w:szCs w:val="24"/>
                <w:lang w:val="en-US" w:eastAsia="zh-CN"/>
              </w:rPr>
              <w:t>水稳</w:t>
            </w:r>
            <w:r>
              <w:rPr>
                <w:rFonts w:hint="default" w:ascii="Times New Roman" w:hAnsi="Times New Roman" w:eastAsia="宋体" w:cs="Times New Roman"/>
                <w:bCs/>
                <w:color w:val="auto"/>
                <w:sz w:val="24"/>
                <w:szCs w:val="24"/>
                <w:lang w:val="en-US" w:eastAsia="zh-CN"/>
              </w:rPr>
              <w:t>。此工序主要污染物为噪声和粉尘。</w:t>
            </w:r>
            <w:r>
              <w:rPr>
                <w:rFonts w:hint="eastAsia" w:ascii="Times New Roman" w:hAnsi="Times New Roman" w:eastAsia="宋体" w:cs="Times New Roman"/>
                <w:bCs/>
                <w:color w:val="auto"/>
                <w:sz w:val="24"/>
                <w:szCs w:val="24"/>
                <w:lang w:val="en-US" w:eastAsia="zh-CN"/>
              </w:rPr>
              <w:t>该部分粉尘经布袋除尘器处理后通过15米高排气筒排放。</w:t>
            </w:r>
          </w:p>
          <w:p w14:paraId="34B74F4F">
            <w:pPr>
              <w:pStyle w:val="18"/>
              <w:widowControl w:val="0"/>
              <w:snapToGrid/>
              <w:spacing w:before="0" w:after="0" w:line="360" w:lineRule="auto"/>
              <w:ind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rPr>
              <w:t>产污环节汇总</w:t>
            </w:r>
          </w:p>
          <w:p w14:paraId="6D95A41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本项目产污环节汇总如下：</w:t>
            </w:r>
          </w:p>
          <w:p w14:paraId="38FB37BC">
            <w:pPr>
              <w:pStyle w:val="26"/>
              <w:spacing w:beforeLines="0" w:afterLines="0" w:line="240" w:lineRule="auto"/>
              <w:ind w:firstLine="0" w:firstLineChars="0"/>
              <w:jc w:val="center"/>
              <w:rPr>
                <w:rFonts w:hint="default" w:ascii="Times New Roman" w:hAnsi="Times New Roman" w:eastAsia="宋体" w:cs="Times New Roman"/>
                <w:b/>
                <w:color w:val="auto"/>
                <w:sz w:val="21"/>
                <w:szCs w:val="21"/>
                <w:vertAlign w:val="baseline"/>
              </w:rPr>
            </w:pPr>
            <w:r>
              <w:rPr>
                <w:rFonts w:hint="default" w:ascii="Times New Roman" w:hAnsi="Times New Roman" w:eastAsia="宋体" w:cs="Times New Roman"/>
                <w:b/>
                <w:color w:val="auto"/>
                <w:sz w:val="21"/>
                <w:szCs w:val="21"/>
              </w:rPr>
              <w:t>表2</w:t>
            </w:r>
            <w:r>
              <w:rPr>
                <w:rFonts w:hint="default" w:ascii="Times New Roman" w:hAnsi="Times New Roman" w:eastAsia="宋体" w:cs="Times New Roman"/>
                <w:b/>
                <w:color w:val="auto"/>
                <w:sz w:val="21"/>
                <w:szCs w:val="21"/>
                <w:lang w:val="en-US" w:eastAsia="zh-CN"/>
              </w:rPr>
              <w:t>-5</w:t>
            </w:r>
            <w:r>
              <w:rPr>
                <w:rFonts w:hint="default" w:ascii="Times New Roman" w:hAnsi="Times New Roman" w:eastAsia="宋体" w:cs="Times New Roman"/>
                <w:b/>
                <w:color w:val="auto"/>
                <w:sz w:val="21"/>
                <w:szCs w:val="21"/>
              </w:rPr>
              <w:t>本项目产污环节汇总一览表</w:t>
            </w:r>
          </w:p>
          <w:tbl>
            <w:tblPr>
              <w:tblStyle w:val="4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2384"/>
              <w:gridCol w:w="2476"/>
              <w:gridCol w:w="4057"/>
            </w:tblGrid>
            <w:tr w14:paraId="2A90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4090AC">
                  <w:pPr>
                    <w:pStyle w:val="26"/>
                    <w:spacing w:beforeLines="0" w:afterLines="0" w:line="240" w:lineRule="auto"/>
                    <w:ind w:left="0" w:leftChars="0" w:firstLine="0" w:firstLineChars="0"/>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类别</w:t>
                  </w:r>
                </w:p>
              </w:tc>
              <w:tc>
                <w:tcPr>
                  <w:tcW w:w="12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BAD668">
                  <w:pPr>
                    <w:pStyle w:val="26"/>
                    <w:spacing w:beforeLines="0" w:afterLines="0" w:line="240" w:lineRule="auto"/>
                    <w:ind w:left="0" w:leftChars="0" w:firstLine="0" w:firstLineChars="0"/>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产污环节</w:t>
                  </w:r>
                </w:p>
              </w:tc>
              <w:tc>
                <w:tcPr>
                  <w:tcW w:w="12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3E4058">
                  <w:pPr>
                    <w:pStyle w:val="26"/>
                    <w:spacing w:beforeLines="0" w:afterLines="0" w:line="240" w:lineRule="auto"/>
                    <w:ind w:left="0" w:leftChars="0" w:firstLine="0" w:firstLineChars="0"/>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污染物</w:t>
                  </w:r>
                </w:p>
              </w:tc>
              <w:tc>
                <w:tcPr>
                  <w:tcW w:w="208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5C4854">
                  <w:pPr>
                    <w:pStyle w:val="26"/>
                    <w:spacing w:beforeLines="0" w:afterLines="0" w:line="240" w:lineRule="auto"/>
                    <w:ind w:left="0" w:leftChars="0" w:firstLine="0" w:firstLineChars="0"/>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治理措施</w:t>
                  </w:r>
                </w:p>
              </w:tc>
            </w:tr>
            <w:tr w14:paraId="1BC9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4" w:type="pct"/>
                  <w:tcBorders>
                    <w:top w:val="single" w:color="auto" w:sz="4" w:space="0"/>
                    <w:left w:val="single" w:color="auto" w:sz="4" w:space="0"/>
                    <w:right w:val="single" w:color="auto" w:sz="4" w:space="0"/>
                    <w:tl2br w:val="nil"/>
                    <w:tr2bl w:val="nil"/>
                  </w:tcBorders>
                  <w:noWrap w:val="0"/>
                  <w:vAlign w:val="center"/>
                </w:tcPr>
                <w:p w14:paraId="0F3F6C5A">
                  <w:pPr>
                    <w:pStyle w:val="26"/>
                    <w:spacing w:beforeLines="0" w:afterLines="0" w:line="240" w:lineRule="auto"/>
                    <w:ind w:left="0" w:leftChars="0"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废气</w:t>
                  </w:r>
                </w:p>
              </w:tc>
              <w:tc>
                <w:tcPr>
                  <w:tcW w:w="1223" w:type="pct"/>
                  <w:tcBorders>
                    <w:top w:val="single" w:color="auto" w:sz="4" w:space="0"/>
                    <w:left w:val="single" w:color="auto" w:sz="4" w:space="0"/>
                    <w:right w:val="single" w:color="auto" w:sz="4" w:space="0"/>
                    <w:tl2br w:val="nil"/>
                    <w:tr2bl w:val="nil"/>
                  </w:tcBorders>
                  <w:noWrap w:val="0"/>
                  <w:vAlign w:val="center"/>
                </w:tcPr>
                <w:p w14:paraId="1FB6BB01">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搅拌粉尘</w:t>
                  </w:r>
                </w:p>
              </w:tc>
              <w:tc>
                <w:tcPr>
                  <w:tcW w:w="1270" w:type="pct"/>
                  <w:tcBorders>
                    <w:top w:val="single" w:color="auto" w:sz="4" w:space="0"/>
                    <w:left w:val="single" w:color="auto" w:sz="4" w:space="0"/>
                    <w:right w:val="single" w:color="auto" w:sz="4" w:space="0"/>
                    <w:tl2br w:val="nil"/>
                    <w:tr2bl w:val="nil"/>
                  </w:tcBorders>
                  <w:noWrap w:val="0"/>
                  <w:vAlign w:val="center"/>
                </w:tcPr>
                <w:p w14:paraId="54049BF9">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颗粒物</w:t>
                  </w:r>
                </w:p>
              </w:tc>
              <w:tc>
                <w:tcPr>
                  <w:tcW w:w="2081" w:type="pct"/>
                  <w:tcBorders>
                    <w:top w:val="single" w:color="auto" w:sz="4" w:space="0"/>
                    <w:left w:val="single" w:color="auto" w:sz="4" w:space="0"/>
                    <w:right w:val="single" w:color="auto" w:sz="4" w:space="0"/>
                    <w:tl2br w:val="nil"/>
                    <w:tr2bl w:val="nil"/>
                  </w:tcBorders>
                  <w:noWrap w:val="0"/>
                  <w:vAlign w:val="center"/>
                </w:tcPr>
                <w:p w14:paraId="6C86CEC7">
                  <w:pPr>
                    <w:keepLines w:val="0"/>
                    <w:pageBreakBefore w:val="0"/>
                    <w:kinsoku/>
                    <w:topLinePunct w:val="0"/>
                    <w:bidi w:val="0"/>
                    <w:adjustRightInd w:val="0"/>
                    <w:snapToGrid w:val="0"/>
                    <w:ind w:left="-107" w:leftChars="-51" w:right="-107" w:rightChars="-51"/>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布袋除尘器处理后15米排气筒（DA00</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）排放</w:t>
                  </w:r>
                </w:p>
              </w:tc>
            </w:tr>
            <w:tr w14:paraId="42AA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4" w:type="pct"/>
                  <w:tcBorders>
                    <w:left w:val="single" w:color="auto" w:sz="4" w:space="0"/>
                    <w:right w:val="single" w:color="auto" w:sz="4" w:space="0"/>
                    <w:tl2br w:val="nil"/>
                    <w:tr2bl w:val="nil"/>
                  </w:tcBorders>
                  <w:noWrap w:val="0"/>
                  <w:vAlign w:val="center"/>
                </w:tcPr>
                <w:p w14:paraId="3EDFF32E">
                  <w:pPr>
                    <w:pStyle w:val="26"/>
                    <w:spacing w:beforeLines="0" w:afterLines="0" w:line="240" w:lineRule="auto"/>
                    <w:ind w:left="0" w:leftChars="0"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废水</w:t>
                  </w:r>
                </w:p>
              </w:tc>
              <w:tc>
                <w:tcPr>
                  <w:tcW w:w="12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84AFFC">
                  <w:pPr>
                    <w:pStyle w:val="26"/>
                    <w:spacing w:beforeLines="0" w:afterLines="0" w:line="240" w:lineRule="auto"/>
                    <w:ind w:left="0" w:leftChars="0"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w:t>
                  </w:r>
                </w:p>
              </w:tc>
              <w:tc>
                <w:tcPr>
                  <w:tcW w:w="12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222365">
                  <w:pPr>
                    <w:pStyle w:val="26"/>
                    <w:spacing w:beforeLines="0" w:afterLines="0" w:line="240" w:lineRule="auto"/>
                    <w:ind w:left="0" w:leftChars="0"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w:t>
                  </w:r>
                </w:p>
              </w:tc>
              <w:tc>
                <w:tcPr>
                  <w:tcW w:w="2081" w:type="pct"/>
                  <w:tcBorders>
                    <w:top w:val="single" w:color="auto" w:sz="4" w:space="0"/>
                    <w:left w:val="single" w:color="auto" w:sz="4" w:space="0"/>
                    <w:right w:val="single" w:color="auto" w:sz="4" w:space="0"/>
                    <w:tl2br w:val="nil"/>
                    <w:tr2bl w:val="nil"/>
                  </w:tcBorders>
                  <w:noWrap w:val="0"/>
                  <w:vAlign w:val="center"/>
                </w:tcPr>
                <w:p w14:paraId="192F9477">
                  <w:pPr>
                    <w:pStyle w:val="26"/>
                    <w:spacing w:beforeLines="0" w:afterLines="0" w:line="240" w:lineRule="auto"/>
                    <w:ind w:left="0" w:leftChars="0"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本项目无新增生活污水和生产废水</w:t>
                  </w:r>
                </w:p>
              </w:tc>
            </w:tr>
            <w:tr w14:paraId="60D1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24" w:type="pct"/>
                  <w:tcBorders>
                    <w:left w:val="single" w:color="auto" w:sz="4" w:space="0"/>
                    <w:right w:val="single" w:color="auto" w:sz="4" w:space="0"/>
                    <w:tl2br w:val="nil"/>
                    <w:tr2bl w:val="nil"/>
                  </w:tcBorders>
                  <w:noWrap w:val="0"/>
                  <w:vAlign w:val="center"/>
                </w:tcPr>
                <w:p w14:paraId="5B958E5A">
                  <w:pPr>
                    <w:pStyle w:val="26"/>
                    <w:spacing w:beforeLines="0" w:afterLines="0" w:line="240" w:lineRule="auto"/>
                    <w:ind w:left="0" w:leftChars="0" w:firstLine="0" w:firstLineChars="0"/>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一般固废</w:t>
                  </w:r>
                </w:p>
              </w:tc>
              <w:tc>
                <w:tcPr>
                  <w:tcW w:w="122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939342A">
                  <w:pPr>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废气处理</w:t>
                  </w:r>
                </w:p>
              </w:tc>
              <w:tc>
                <w:tcPr>
                  <w:tcW w:w="127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195F1511">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4"/>
                      <w:lang w:val="en-US" w:eastAsia="zh-CN" w:bidi="ar-SA"/>
                    </w:rPr>
                    <w:t>废气处理收集</w:t>
                  </w:r>
                  <w:r>
                    <w:rPr>
                      <w:rFonts w:hint="default" w:ascii="Times New Roman" w:hAnsi="Times New Roman" w:eastAsia="宋体" w:cs="Times New Roman"/>
                      <w:bCs/>
                      <w:color w:val="auto"/>
                      <w:kern w:val="2"/>
                      <w:sz w:val="21"/>
                      <w:szCs w:val="21"/>
                      <w:lang w:val="en-US" w:eastAsia="zh-CN" w:bidi="ar-SA"/>
                    </w:rPr>
                    <w:t>颗粒物</w:t>
                  </w:r>
                </w:p>
              </w:tc>
              <w:tc>
                <w:tcPr>
                  <w:tcW w:w="208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D8F2410">
                  <w:pPr>
                    <w:jc w:val="center"/>
                    <w:rPr>
                      <w:rFonts w:hint="default" w:ascii="Times New Roman" w:hAnsi="Times New Roman" w:eastAsia="宋体" w:cs="Times New Roman"/>
                      <w:b w:val="0"/>
                      <w:bCs/>
                      <w:color w:val="FF0000"/>
                      <w:kern w:val="2"/>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一般工业固体废物暂存房暂存，</w:t>
                  </w:r>
                  <w:r>
                    <w:rPr>
                      <w:rFonts w:hint="eastAsia" w:cs="Times New Roman"/>
                      <w:color w:val="auto"/>
                      <w:kern w:val="2"/>
                      <w:sz w:val="21"/>
                      <w:szCs w:val="21"/>
                      <w:lang w:val="en-US" w:eastAsia="zh-CN" w:bidi="ar-SA"/>
                    </w:rPr>
                    <w:t>回用于生产</w:t>
                  </w:r>
                </w:p>
              </w:tc>
            </w:tr>
            <w:tr w14:paraId="23B4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4" w:type="pct"/>
                  <w:tcBorders>
                    <w:left w:val="single" w:color="auto" w:sz="4" w:space="0"/>
                    <w:right w:val="single" w:color="auto" w:sz="4" w:space="0"/>
                    <w:tl2br w:val="nil"/>
                    <w:tr2bl w:val="nil"/>
                  </w:tcBorders>
                  <w:shd w:val="clear" w:color="auto" w:fill="auto"/>
                  <w:noWrap w:val="0"/>
                  <w:vAlign w:val="center"/>
                </w:tcPr>
                <w:p w14:paraId="2C7BF467">
                  <w:pPr>
                    <w:pStyle w:val="26"/>
                    <w:spacing w:beforeLines="0" w:afterLines="0" w:line="240" w:lineRule="auto"/>
                    <w:ind w:left="0" w:leftChars="0"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sz w:val="21"/>
                      <w:szCs w:val="21"/>
                      <w:vertAlign w:val="baseline"/>
                      <w:lang w:val="en-US" w:eastAsia="zh-CN"/>
                    </w:rPr>
                    <w:t>危险废物</w:t>
                  </w:r>
                </w:p>
              </w:tc>
              <w:tc>
                <w:tcPr>
                  <w:tcW w:w="122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DF217D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设备维护</w:t>
                  </w:r>
                </w:p>
              </w:tc>
              <w:tc>
                <w:tcPr>
                  <w:tcW w:w="127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8EAFBF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1"/>
                      <w:lang w:val="en-US" w:eastAsia="zh-CN" w:bidi="ar-SA"/>
                    </w:rPr>
                    <w:t>废机油、废润滑油</w:t>
                  </w:r>
                </w:p>
              </w:tc>
              <w:tc>
                <w:tcPr>
                  <w:tcW w:w="2081" w:type="pct"/>
                  <w:tcBorders>
                    <w:left w:val="single" w:color="auto" w:sz="4" w:space="0"/>
                    <w:right w:val="single" w:color="auto" w:sz="4" w:space="0"/>
                    <w:tl2br w:val="nil"/>
                    <w:tr2bl w:val="nil"/>
                  </w:tcBorders>
                  <w:shd w:val="clear" w:color="auto" w:fill="auto"/>
                  <w:noWrap w:val="0"/>
                  <w:vAlign w:val="center"/>
                </w:tcPr>
                <w:p w14:paraId="2270756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统一收集存放于危废间</w:t>
                  </w:r>
                </w:p>
              </w:tc>
            </w:tr>
          </w:tbl>
          <w:p w14:paraId="0922B693">
            <w:pPr>
              <w:pStyle w:val="23"/>
              <w:ind w:firstLine="560" w:firstLineChars="200"/>
              <w:rPr>
                <w:rFonts w:hint="default" w:ascii="Times New Roman" w:hAnsi="Times New Roman" w:eastAsia="宋体" w:cs="Times New Roman"/>
                <w:color w:val="FF0000"/>
                <w:lang w:val="en-US"/>
              </w:rPr>
            </w:pPr>
          </w:p>
        </w:tc>
      </w:tr>
      <w:tr w14:paraId="6A954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3" w:type="dxa"/>
            <w:noWrap w:val="0"/>
            <w:vAlign w:val="center"/>
          </w:tcPr>
          <w:p w14:paraId="3025FB4D">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bCs/>
                <w:color w:val="auto"/>
                <w:kern w:val="2"/>
                <w:sz w:val="24"/>
                <w:szCs w:val="24"/>
              </w:rPr>
              <w:t>与项目有关的原有环境污染问题</w:t>
            </w:r>
          </w:p>
        </w:tc>
        <w:tc>
          <w:tcPr>
            <w:tcW w:w="8161" w:type="dxa"/>
            <w:noWrap w:val="0"/>
            <w:vAlign w:val="top"/>
          </w:tcPr>
          <w:p w14:paraId="678CF14D">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本项目有关的原有污染情况及主要环境问题：</w:t>
            </w:r>
          </w:p>
          <w:p w14:paraId="5F09638A">
            <w:pPr>
              <w:pStyle w:val="12"/>
              <w:spacing w:line="360" w:lineRule="auto"/>
              <w:ind w:firstLine="480"/>
              <w:rPr>
                <w:rFonts w:hint="default" w:ascii="Times New Roman" w:hAnsi="Times New Roman" w:eastAsia="宋体" w:cs="Times New Roman"/>
                <w:color w:val="FF0000"/>
                <w:sz w:val="24"/>
                <w:szCs w:val="20"/>
              </w:rPr>
            </w:pPr>
            <w:r>
              <w:rPr>
                <w:rFonts w:hint="default" w:ascii="Times New Roman" w:hAnsi="Times New Roman" w:eastAsia="宋体" w:cs="Times New Roman"/>
                <w:b w:val="0"/>
                <w:bCs w:val="0"/>
                <w:color w:val="auto"/>
                <w:kern w:val="2"/>
                <w:sz w:val="24"/>
                <w:szCs w:val="24"/>
                <w:lang w:val="en-US" w:eastAsia="zh-CN" w:bidi="ar-SA"/>
              </w:rPr>
              <w:t>本项目为</w:t>
            </w:r>
            <w:r>
              <w:rPr>
                <w:rFonts w:hint="default" w:ascii="Times New Roman" w:hAnsi="Times New Roman" w:eastAsia="宋体" w:cs="Times New Roman"/>
                <w:color w:val="auto"/>
                <w:sz w:val="24"/>
                <w:szCs w:val="24"/>
                <w:lang w:val="en-US" w:eastAsia="zh-CN"/>
              </w:rPr>
              <w:t>水稳站固废利用技术改造项目，属于技改</w:t>
            </w:r>
            <w:r>
              <w:rPr>
                <w:rFonts w:hint="default" w:ascii="Times New Roman" w:hAnsi="Times New Roman" w:eastAsia="宋体" w:cs="Times New Roman"/>
                <w:b w:val="0"/>
                <w:bCs w:val="0"/>
                <w:color w:val="auto"/>
                <w:kern w:val="2"/>
                <w:sz w:val="24"/>
                <w:szCs w:val="24"/>
                <w:lang w:val="en-US" w:eastAsia="zh-CN" w:bidi="ar-SA"/>
              </w:rPr>
              <w:t>项目，</w:t>
            </w:r>
            <w:r>
              <w:rPr>
                <w:rFonts w:hint="default" w:ascii="Times New Roman" w:hAnsi="Times New Roman" w:eastAsia="宋体" w:cs="Times New Roman"/>
                <w:color w:val="auto"/>
                <w:sz w:val="24"/>
                <w:szCs w:val="20"/>
                <w:lang w:eastAsia="zh-CN"/>
              </w:rPr>
              <w:t>位于</w:t>
            </w:r>
            <w:r>
              <w:rPr>
                <w:rFonts w:hint="default" w:ascii="Times New Roman" w:hAnsi="Times New Roman" w:eastAsia="宋体" w:cs="Times New Roman"/>
                <w:color w:val="auto"/>
                <w:sz w:val="24"/>
                <w:szCs w:val="24"/>
                <w:lang w:val="en-US" w:eastAsia="zh-CN"/>
              </w:rPr>
              <w:t>安徽省淮北市濉溪县双堆集镇陈桥村</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项目东侧为道路；项目南侧、北侧为农田；西侧为河沟。</w:t>
            </w:r>
            <w:r>
              <w:rPr>
                <w:rFonts w:hint="default" w:ascii="Times New Roman" w:hAnsi="Times New Roman" w:eastAsia="宋体" w:cs="Times New Roman"/>
                <w:color w:val="auto"/>
                <w:sz w:val="24"/>
                <w:szCs w:val="20"/>
              </w:rPr>
              <w:t>用地为</w:t>
            </w:r>
            <w:r>
              <w:rPr>
                <w:rFonts w:hint="default" w:ascii="Times New Roman" w:hAnsi="Times New Roman" w:eastAsia="宋体" w:cs="Times New Roman"/>
                <w:color w:val="auto"/>
                <w:sz w:val="24"/>
                <w:szCs w:val="20"/>
                <w:lang w:val="en-US" w:eastAsia="zh-CN"/>
              </w:rPr>
              <w:t>濉溪县恒鑫再生资源有限公司厂址</w:t>
            </w:r>
            <w:r>
              <w:rPr>
                <w:rFonts w:hint="default" w:ascii="Times New Roman" w:hAnsi="Times New Roman" w:eastAsia="宋体" w:cs="Times New Roman"/>
                <w:color w:val="auto"/>
                <w:sz w:val="24"/>
                <w:szCs w:val="20"/>
              </w:rPr>
              <w:t>，总面积为</w:t>
            </w:r>
            <w:r>
              <w:rPr>
                <w:rFonts w:hint="default" w:ascii="Times New Roman" w:hAnsi="Times New Roman" w:eastAsia="宋体" w:cs="Times New Roman"/>
                <w:color w:val="auto"/>
                <w:sz w:val="24"/>
                <w:szCs w:val="20"/>
                <w:lang w:val="en-US" w:eastAsia="zh-CN"/>
              </w:rPr>
              <w:t>8亩，保持不变</w:t>
            </w:r>
            <w:r>
              <w:rPr>
                <w:rFonts w:hint="default" w:ascii="Times New Roman" w:hAnsi="Times New Roman" w:eastAsia="宋体" w:cs="Times New Roman"/>
                <w:color w:val="auto"/>
                <w:sz w:val="24"/>
                <w:szCs w:val="20"/>
              </w:rPr>
              <w:t>。</w:t>
            </w:r>
          </w:p>
          <w:p w14:paraId="1A57BD99">
            <w:pPr>
              <w:pStyle w:val="12"/>
              <w:spacing w:line="360" w:lineRule="auto"/>
              <w:ind w:firstLine="48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4"/>
                <w:lang w:val="en-US" w:eastAsia="zh-CN"/>
              </w:rPr>
              <w:t>濉溪县恒鑫再生资源有限公司原项目污染物核发总量为颗粒物为2.138t/a。</w:t>
            </w:r>
          </w:p>
          <w:p w14:paraId="20173F69">
            <w:pPr>
              <w:numPr>
                <w:ilvl w:val="0"/>
                <w:numId w:val="0"/>
              </w:numPr>
              <w:spacing w:line="360" w:lineRule="auto"/>
              <w:ind w:left="-50" w:leftChars="0" w:firstLine="470" w:firstLineChars="0"/>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kern w:val="2"/>
                <w:sz w:val="24"/>
                <w:szCs w:val="20"/>
                <w:lang w:val="en-US" w:eastAsia="zh-CN" w:bidi="ar-SA"/>
              </w:rPr>
              <w:t>一、</w:t>
            </w:r>
            <w:r>
              <w:rPr>
                <w:rFonts w:hint="default" w:ascii="Times New Roman" w:hAnsi="Times New Roman" w:eastAsia="宋体" w:cs="Times New Roman"/>
                <w:b/>
                <w:bCs/>
                <w:color w:val="auto"/>
                <w:sz w:val="24"/>
                <w:szCs w:val="20"/>
                <w:lang w:val="en-US" w:eastAsia="zh-CN"/>
              </w:rPr>
              <w:t>原有项目概况</w:t>
            </w:r>
          </w:p>
          <w:p w14:paraId="7DAA9B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0"/>
                <w:lang w:val="en-US" w:eastAsia="zh-CN"/>
              </w:rPr>
              <w:t>濉溪县恒鑫再生资源有限公司</w:t>
            </w:r>
            <w:r>
              <w:rPr>
                <w:rFonts w:hint="default" w:ascii="Times New Roman" w:hAnsi="Times New Roman" w:eastAsia="宋体" w:cs="Times New Roman"/>
                <w:color w:val="auto"/>
                <w:kern w:val="2"/>
                <w:sz w:val="24"/>
                <w:szCs w:val="20"/>
                <w:lang w:val="en-US" w:eastAsia="zh-CN" w:bidi="ar-SA"/>
              </w:rPr>
              <w:t>原有项目为“</w:t>
            </w:r>
            <w:r>
              <w:rPr>
                <w:rFonts w:hint="default" w:ascii="Times New Roman" w:hAnsi="Times New Roman" w:eastAsia="宋体" w:cs="Times New Roman"/>
                <w:color w:val="auto"/>
                <w:sz w:val="24"/>
                <w:szCs w:val="24"/>
                <w:lang w:val="en-US" w:eastAsia="zh-CN"/>
              </w:rPr>
              <w:t>年加工30万吨煤矸石、建筑垃圾建设项目</w:t>
            </w:r>
            <w:r>
              <w:rPr>
                <w:rFonts w:hint="default"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其中已进行阶段性验收，验收产能为</w:t>
            </w:r>
            <w:r>
              <w:rPr>
                <w:rFonts w:hint="default" w:ascii="Times New Roman" w:hAnsi="Times New Roman" w:eastAsia="宋体" w:cs="Times New Roman"/>
                <w:color w:val="auto"/>
                <w:sz w:val="24"/>
                <w:szCs w:val="24"/>
                <w:lang w:val="en-US" w:eastAsia="zh-CN"/>
              </w:rPr>
              <w:t>年加工</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万吨煤矸石、建筑垃圾</w:t>
            </w:r>
            <w:r>
              <w:rPr>
                <w:rFonts w:hint="eastAsia" w:eastAsia="宋体" w:cs="Times New Roman"/>
                <w:color w:val="auto"/>
                <w:sz w:val="24"/>
                <w:szCs w:val="24"/>
                <w:lang w:val="en-US" w:eastAsia="zh-CN"/>
              </w:rPr>
              <w:t>。</w:t>
            </w:r>
            <w:r>
              <w:rPr>
                <w:rFonts w:hint="eastAsia" w:cs="Times New Roman"/>
                <w:color w:val="auto"/>
                <w:sz w:val="24"/>
                <w:szCs w:val="24"/>
                <w:lang w:val="en-US" w:eastAsia="zh-CN"/>
              </w:rPr>
              <w:t>在建产能为</w:t>
            </w:r>
            <w:r>
              <w:rPr>
                <w:rFonts w:hint="default" w:ascii="Times New Roman" w:hAnsi="Times New Roman" w:eastAsia="宋体" w:cs="Times New Roman"/>
                <w:color w:val="auto"/>
                <w:sz w:val="24"/>
                <w:szCs w:val="24"/>
                <w:lang w:val="en-US" w:eastAsia="zh-CN"/>
              </w:rPr>
              <w:t>年加工</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万吨煤矸石、建筑垃圾</w:t>
            </w:r>
            <w:r>
              <w:rPr>
                <w:rFonts w:hint="eastAsia" w:cs="Times New Roman"/>
                <w:color w:val="auto"/>
                <w:sz w:val="24"/>
                <w:szCs w:val="24"/>
                <w:lang w:val="en-US" w:eastAsia="zh-CN"/>
              </w:rPr>
              <w:t>，建设完成后达到</w:t>
            </w:r>
            <w:r>
              <w:rPr>
                <w:rFonts w:hint="default" w:ascii="Times New Roman" w:hAnsi="Times New Roman" w:eastAsia="宋体" w:cs="Times New Roman"/>
                <w:color w:val="auto"/>
                <w:sz w:val="24"/>
                <w:szCs w:val="24"/>
                <w:lang w:val="en-US" w:eastAsia="zh-CN"/>
              </w:rPr>
              <w:t>年加工</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万吨煤矸石、建筑垃圾</w:t>
            </w:r>
            <w:r>
              <w:rPr>
                <w:rFonts w:hint="eastAsia" w:cs="Times New Roman"/>
                <w:color w:val="auto"/>
                <w:sz w:val="24"/>
                <w:szCs w:val="24"/>
                <w:lang w:val="en-US" w:eastAsia="zh-CN"/>
              </w:rPr>
              <w:t>。</w:t>
            </w:r>
          </w:p>
          <w:p w14:paraId="7BEF6C84">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原项目于2019年1月24日取得濉溪县发展和改革委员会备案文件，备案编号为2019-340621-42-03-001918。</w:t>
            </w:r>
          </w:p>
          <w:p w14:paraId="7F1EBBCF">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2019年5月7日取得《濉溪县恒鑫再生资源有限公司年加工30万吨煤矸石、建筑垃圾建设项目环境影响报告表》审批意见（濉环行审〔2019〕33号）。</w:t>
            </w:r>
          </w:p>
          <w:p w14:paraId="15B619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在2021年5月16日进行濉溪县恒鑫再生资源有限公司年加工30万吨煤矸石、建筑垃圾建设项目（阶段性）竣工环境保护验收工作。</w:t>
            </w:r>
          </w:p>
          <w:p w14:paraId="04CB12B9">
            <w:pPr>
              <w:numPr>
                <w:ilvl w:val="0"/>
                <w:numId w:val="0"/>
              </w:numPr>
              <w:spacing w:line="360" w:lineRule="auto"/>
              <w:ind w:left="-50" w:leftChars="0" w:firstLine="470" w:firstLineChars="0"/>
              <w:rPr>
                <w:rFonts w:hint="eastAsia" w:cs="Times New Roman"/>
                <w:color w:val="auto"/>
                <w:sz w:val="24"/>
                <w:lang w:val="en-US" w:eastAsia="zh-CN"/>
              </w:rPr>
            </w:pPr>
            <w:r>
              <w:rPr>
                <w:rFonts w:hint="default" w:ascii="Times New Roman" w:hAnsi="Times New Roman" w:eastAsia="宋体" w:cs="Times New Roman"/>
                <w:color w:val="auto"/>
                <w:sz w:val="24"/>
                <w:szCs w:val="24"/>
                <w:lang w:val="en-US" w:eastAsia="zh-CN"/>
              </w:rPr>
              <w:t>原项目已于2020年11月24日进行排污登记。</w:t>
            </w:r>
            <w:r>
              <w:rPr>
                <w:rFonts w:hint="default" w:ascii="Times New Roman" w:hAnsi="Times New Roman" w:eastAsia="宋体" w:cs="Times New Roman"/>
                <w:color w:val="auto"/>
                <w:sz w:val="24"/>
                <w:lang w:val="en-US" w:eastAsia="zh-CN"/>
              </w:rPr>
              <w:t>登记编号为：91340621MA2TAWT97H001X</w:t>
            </w:r>
            <w:r>
              <w:rPr>
                <w:rFonts w:hint="eastAsia" w:cs="Times New Roman"/>
                <w:color w:val="auto"/>
                <w:sz w:val="24"/>
                <w:lang w:val="en-US" w:eastAsia="zh-CN"/>
              </w:rPr>
              <w:t>。</w:t>
            </w:r>
          </w:p>
          <w:p w14:paraId="6674A664">
            <w:pPr>
              <w:numPr>
                <w:ilvl w:val="0"/>
                <w:numId w:val="0"/>
              </w:numPr>
              <w:spacing w:line="360" w:lineRule="auto"/>
              <w:ind w:left="-50" w:leftChars="0" w:firstLine="470" w:firstLineChars="0"/>
              <w:rPr>
                <w:rFonts w:hint="default"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kern w:val="2"/>
                <w:sz w:val="24"/>
                <w:szCs w:val="20"/>
                <w:lang w:val="en-US" w:eastAsia="zh-CN" w:bidi="ar-SA"/>
              </w:rPr>
              <w:t>二、</w:t>
            </w:r>
            <w:r>
              <w:rPr>
                <w:rFonts w:hint="default" w:ascii="Times New Roman" w:hAnsi="Times New Roman" w:eastAsia="宋体" w:cs="Times New Roman"/>
                <w:b/>
                <w:bCs/>
                <w:color w:val="auto"/>
                <w:sz w:val="24"/>
                <w:szCs w:val="20"/>
                <w:lang w:val="en-US" w:eastAsia="zh-CN"/>
              </w:rPr>
              <w:t>原有项目工艺</w:t>
            </w:r>
          </w:p>
          <w:p w14:paraId="63A0B714">
            <w:pPr>
              <w:pStyle w:val="218"/>
              <w:keepLines w:val="0"/>
              <w:pageBreakBefore w:val="0"/>
              <w:kinsoku/>
              <w:topLinePunct w:val="0"/>
              <w:bidi w:val="0"/>
              <w:adjustRightInd w:val="0"/>
              <w:snapToGrid w:val="0"/>
              <w:spacing w:beforeLines="0" w:line="240" w:lineRule="auto"/>
              <w:ind w:left="562" w:hanging="482" w:hangingChars="200"/>
              <w:jc w:val="center"/>
              <w:rPr>
                <w:rFonts w:hint="default" w:ascii="Times New Roman" w:hAnsi="Times New Roman" w:eastAsia="宋体" w:cs="Times New Roman"/>
                <w:color w:val="auto"/>
                <w:sz w:val="24"/>
                <w:szCs w:val="24"/>
                <w:lang w:eastAsia="zh-CN"/>
              </w:rPr>
            </w:pPr>
            <w:r>
              <w:rPr>
                <w:sz w:val="24"/>
              </w:rPr>
              <mc:AlternateContent>
                <mc:Choice Requires="wps">
                  <w:drawing>
                    <wp:anchor distT="0" distB="0" distL="114300" distR="114300" simplePos="0" relativeHeight="251688960" behindDoc="0" locked="0" layoutInCell="1" allowOverlap="1">
                      <wp:simplePos x="0" y="0"/>
                      <wp:positionH relativeFrom="column">
                        <wp:posOffset>4552950</wp:posOffset>
                      </wp:positionH>
                      <wp:positionV relativeFrom="paragraph">
                        <wp:posOffset>3336290</wp:posOffset>
                      </wp:positionV>
                      <wp:extent cx="438150" cy="66675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38150" cy="666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D36C3">
                                  <w:pPr>
                                    <w:rPr>
                                      <w:rFonts w:hint="default" w:eastAsia="宋体"/>
                                      <w:lang w:val="en-US" w:eastAsia="zh-CN"/>
                                    </w:rPr>
                                  </w:pPr>
                                  <w:r>
                                    <w:rPr>
                                      <w:rFonts w:hint="eastAsia"/>
                                      <w:lang w:val="en-US" w:eastAsia="zh-CN"/>
                                    </w:rPr>
                                    <w:t>筛上物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5pt;margin-top:262.7pt;height:52.5pt;width:34.5pt;z-index:251688960;mso-width-relative:page;mso-height-relative:page;" filled="f" stroked="f" coordsize="21600,21600" o:gfxdata="UEsDBAoAAAAAAIdO4kAAAAAAAAAAAAAAAAAEAAAAZHJzL1BLAwQUAAAACACHTuJAO34YcNwAAAAL&#10;AQAADwAAAGRycy9kb3ducmV2LnhtbE2PS0/DMBCE75X4D9YicWvthOahkE2FIlVICA4tvXBzYjeJ&#10;iNchdh/w6zEnOM7OaPabcnM1Izvr2Q2WEKKVAKaptWqgDuHwtl3mwJyXpORoSSN8aQeb6mZRykLZ&#10;C+30ee87FkrIFRKh934qOHdtr410KztpCt7Rzkb6IOeOq1leQrkZeSxEyo0cKHzo5aTrXrcf+5NB&#10;eK63r3LXxCb/Huunl+Pj9Hl4TxDvbiPxAMzrq/8Lwy9+QIcqMDX2RMqxESGLsrDFIyRxsgYWElme&#10;hkuDkN6LNfCq5P83VD9QSwMEFAAAAAgAh07iQJGnkhw4AgAAZwQAAA4AAABkcnMvZTJvRG9jLnht&#10;bK1UwW4TMRC9I/EPlu9kkzRNS5RNFVoFIVW0UkGcHa+3u5LtMbaT3fAB8AecuHDnu/odPO8mbSkc&#10;euDijGcmb+a9Ge/8rDWabZUPNdmcjwZDzpSVVNT2NucfP6xenXIWorCF0GRVzncq8LPFyxfzxs3U&#10;mCrShfIMIDbMGpfzKkY3y7IgK2VEGJBTFsGSvBERV3+bFV40QDc6Gw+H06whXzhPUoUA70Uf5HtE&#10;/xxAKstaqguSG6Ns7FG90iKCUqhqF/ii67YslYxXZRlUZDrnYBq7E0Vgr9OZLeZiduuFq2q5b0E8&#10;p4UnnIyoLYreQ12IKNjG139BmVp6ClTGgSST9UQ6RcBiNHyizU0lnOq4QOrg7kUP/w9Wvt9ee1YX&#10;OZ+OOLPCYOJ337/d/fh19/Mrgw8CNS7MkHfjkBnbN9RibQ7+AGfi3ZbepF8wYohD3t29vKqNTMI5&#10;OTodHSMiEZpOpyewgZ49/Nn5EN8qMiwZOfeYXieq2F6G2KceUlItS6ta626C2rIGoEeA/CMCcG1R&#10;I1HoW01WbNftnteaih1oeeo3Izi5qlH8UoR4LTxWAf3iscQrHKUmFKG9xVlF/su//CkfE0KUswar&#10;lfPweSO84ky/s5jd69FkAtjYXSbHJ2Nc/OPI+nHEbsw5YXsxHnTXmSk/6oNZejKf8KaWqSpCwkrU&#10;znk8mOexX3i8SamWyy4J2+dEvLQ3TiboXrTlJlJZd0onmXpt9uph/7pZ7d9KWvDH9y7r4fu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7fhhw3AAAAAsBAAAPAAAAAAAAAAEAIAAAACIAAABkcnMv&#10;ZG93bnJldi54bWxQSwECFAAUAAAACACHTuJAkaeSHDgCAABnBAAADgAAAAAAAAABACAAAAArAQAA&#10;ZHJzL2Uyb0RvYy54bWxQSwUGAAAAAAYABgBZAQAA1QUAAAAA&#10;">
                      <v:fill on="f" focussize="0,0"/>
                      <v:stroke on="f" weight="0.5pt"/>
                      <v:imagedata o:title=""/>
                      <o:lock v:ext="edit" aspectratio="f"/>
                      <v:textbox>
                        <w:txbxContent>
                          <w:p w14:paraId="2F9D36C3">
                            <w:pPr>
                              <w:rPr>
                                <w:rFonts w:hint="default" w:eastAsia="宋体"/>
                                <w:lang w:val="en-US" w:eastAsia="zh-CN"/>
                              </w:rPr>
                            </w:pPr>
                            <w:r>
                              <w:rPr>
                                <w:rFonts w:hint="eastAsia"/>
                                <w:lang w:val="en-US" w:eastAsia="zh-CN"/>
                              </w:rPr>
                              <w:t>筛上物</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4200525</wp:posOffset>
                      </wp:positionH>
                      <wp:positionV relativeFrom="paragraph">
                        <wp:posOffset>4479290</wp:posOffset>
                      </wp:positionV>
                      <wp:extent cx="361950" cy="0"/>
                      <wp:effectExtent l="0" t="4445" r="0" b="5080"/>
                      <wp:wrapNone/>
                      <wp:docPr id="60" name="直接连接符 60"/>
                      <wp:cNvGraphicFramePr/>
                      <a:graphic xmlns:a="http://schemas.openxmlformats.org/drawingml/2006/main">
                        <a:graphicData uri="http://schemas.microsoft.com/office/word/2010/wordprocessingShape">
                          <wps:wsp>
                            <wps:cNvCnPr/>
                            <wps:spPr>
                              <a:xfrm>
                                <a:off x="0" y="0"/>
                                <a:ext cx="361950" cy="0"/>
                              </a:xfrm>
                              <a:prstGeom prst="line">
                                <a:avLst/>
                              </a:prstGeom>
                              <a:ln w="9525">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30.75pt;margin-top:352.7pt;height:0pt;width:28.5pt;z-index:251687936;mso-width-relative:page;mso-height-relative:page;" filled="f" stroked="t" coordsize="21600,21600" o:gfxdata="UEsDBAoAAAAAAIdO4kAAAAAAAAAAAAAAAAAEAAAAZHJzL1BLAwQUAAAACACHTuJA1rn0MdcAAAAL&#10;AQAADwAAAGRycy9kb3ducmV2LnhtbE2PTU/DMAyG70j8h8hIXCaWdLBuKk13AHrbhQHi6rWmrWic&#10;rsk+4NfPSEhw9OtHrx/nq5Pr1YHG0Hm2kEwNKOLK1x03Fl5fypslqBCRa+w9k4UvCrAqLi9yzGp/&#10;5Gc6bGKjpIRDhhbaGIdM61C15DBM/UAsuw8/Oowyjo2uRzxKuev1zJhUO+xYLrQ40ENL1edm7yyE&#10;8o125fekmpj328bTbPe4fkJrr68Scw8q0in+wfCjL+pQiNPW77kOqreQpslcUAsLM78DJcQiWUqy&#10;/U10kev/PxRnUEsDBBQAAAAIAIdO4kCObqKYMgIAAKIEAAAOAAAAZHJzL2Uyb0RvYy54bWytVM2O&#10;0zAQviPxDpbvNG2hZbdquhJblQs/KwEP4DpOYsl/8rhN+xK8ABI3OHHcO2/D8hiM7bRbLRXaA4nk&#10;jMfjb+b7PM78aqcV2QoP0pqSjgZDSoThtpKmKemnj6tnF5RAYKZiyhpR0r0AerV4+mTeuZkY29aq&#10;SniCIAZmnStpG4KbFQXwVmgGA+uEwcXaes0CTn1TVJ51iK5VMR4Op0VnfeW85QIAvcu8SHtE/xhA&#10;W9eSi6XlGy1MyKheKBaQErTSAV2kauta8PC+rkEEokqKTEMaMQna6zgWizmbNZ65VvK+BPaYEh5w&#10;0kwaTHqEWrLAyMbLv6C05N6CrcOAW11kIkkRZDEaPtDmQ8ucSFxQanBH0eH/wfJ32xtPZFXSKUpi&#10;mMYTv/ty++vzt98/v+J49+M7wRWUqXMww+hrc+P7GbgbHznvaq/jF9mQXZJ2f5RW7ALh6Hw+HV1O&#10;MAM/LBX3+5yH8FpYTaJRUiVNJM1mbPsGAubC0ENIdBu7kkqlg1OGdCW9nIwniMywGWtsAjS1Q0Jg&#10;GkqYarDLefCH06ni5gjTAKJngziLkk6G+KQw8M36WnmyZbFr0hMVwDoaON1xJvrVKr4JRW30W1tl&#10;kHEEz82GbmzJ7H55cCN0n/RMmlGuIGY+V1n0n+a6+AdootDzRp0Ji5d+8iInIMCZEqhcqjSGenaU&#10;K57AkkGbCwerZNVrogzWHLsj90O01rbapzZJfmzdzCpfs3g3Tudp9/2vZf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rn0MdcAAAALAQAADwAAAAAAAAABACAAAAAiAAAAZHJzL2Rvd25yZXYueG1s&#10;UEsBAhQAFAAAAAgAh07iQI5uopgyAgAAogQAAA4AAAAAAAAAAQAgAAAAJgEAAGRycy9lMm9Eb2Mu&#10;eG1sUEsFBgAAAAAGAAYAWQEAAMoFA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4562475</wp:posOffset>
                      </wp:positionH>
                      <wp:positionV relativeFrom="paragraph">
                        <wp:posOffset>2812415</wp:posOffset>
                      </wp:positionV>
                      <wp:extent cx="0" cy="1676400"/>
                      <wp:effectExtent l="4445" t="0" r="14605" b="0"/>
                      <wp:wrapNone/>
                      <wp:docPr id="59" name="直接连接符 59"/>
                      <wp:cNvGraphicFramePr/>
                      <a:graphic xmlns:a="http://schemas.openxmlformats.org/drawingml/2006/main">
                        <a:graphicData uri="http://schemas.microsoft.com/office/word/2010/wordprocessingShape">
                          <wps:wsp>
                            <wps:cNvCnPr/>
                            <wps:spPr>
                              <a:xfrm>
                                <a:off x="0" y="0"/>
                                <a:ext cx="0" cy="167640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59.25pt;margin-top:221.45pt;height:132pt;width:0pt;z-index:251686912;mso-width-relative:page;mso-height-relative:page;" filled="f" stroked="t" coordsize="21600,21600" o:gfxdata="UEsDBAoAAAAAAIdO4kAAAAAAAAAAAAAAAAAEAAAAZHJzL1BLAwQUAAAACACHTuJAdBjc7dgAAAAL&#10;AQAADwAAAGRycy9kb3ducmV2LnhtbE2PPU/DMBCGdyT+g3VILBW1E0ppQ5wOQDaWFhDrNTmSiPic&#10;xu4H/HoOMcB2H4/eey5fnVyvDjSGzrOFZGpAEVe+7rix8PJcXi1AhYhcY++ZLHxSgFVxfpZjVvsj&#10;r+mwiY2SEA4ZWmhjHDKtQ9WSwzD1A7Hs3v3oMEo7Nroe8SjhrtepMXPtsGO50OJA9y1VH5u9sxDK&#10;V9qVX5NqYt6uG0/p7uHpEa29vEjMHahIp/gHw4++qEMhTlu/5zqo3sJtsrgR1MJsli5BCfE72Uph&#10;5kvQRa7//1B8A1BLAwQUAAAACACHTuJAlWSVC9kBAACcAwAADgAAAGRycy9lMm9Eb2MueG1srVPN&#10;jtMwEL4j8Q6W7zRpRQsbNd3DVssFQSXgAVzHSSz5TzPepn0JXgCJG5w4cudt2H0Mxk7ownLZAz24&#10;45nP3/j7PFlfHq1hBwWovav5fFZyppz0jXZdzT+8v372kjOMwjXCeKdqflLILzdPn6yHUKmF771p&#10;FDAicVgNoeZ9jKEqCpS9sgJnPihHxdaDFZG20BUNiIHYrSkWZbkqBg9NAC8VImW3Y5FPjPAYQt+2&#10;WqqtlzdWuTiygjIikiTsdUC+ybdtWyXj27ZFFZmpOSmNeaUmFO/TWmzWoupAhF7L6QriMVd4oMkK&#10;7ajpmWoromA3oP+hslqCR9/GmfS2GIVkR0jFvHzgzbteBJW1kNUYzqbj/6OVbw47YLqp+fKCMycs&#10;vfjtp+8/P365+/GZ1ttvXxlVyKYhYEXoK7eDaYdhB0nzsQWb/kkNO2ZrT2dr1TEyOSYlZeerF6vn&#10;Zba9uD8YAOMr5S1LQc2Ndkm1qMThNUZqRtDfkJR2/lobk1/OODbU/GK5WHImBU1jS1NAoQ2kCF3H&#10;mTAdjbmMkBnRG92k04kHodtfGWAHkYYj/5JQ6vYXLLXeCuxHXC5NMOMInXwZnUjR3jenbFDO06Nl&#10;vmnA0lT8uc+n7z+q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0GNzt2AAAAAsBAAAPAAAAAAAA&#10;AAEAIAAAACIAAABkcnMvZG93bnJldi54bWxQSwECFAAUAAAACACHTuJAlWSVC9kBAACcAwAADgAA&#10;AAAAAAABACAAAAAnAQAAZHJzL2Uyb0RvYy54bWxQSwUGAAAAAAYABgBZAQAAcgUAAAAA&#10;">
                      <v:fill on="f" focussize="0,0"/>
                      <v:stroke color="#000000 [3213]" joinstyle="round"/>
                      <v:imagedata o:title=""/>
                      <o:lock v:ext="edit" aspectratio="f"/>
                    </v:lin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4229100</wp:posOffset>
                      </wp:positionH>
                      <wp:positionV relativeFrom="paragraph">
                        <wp:posOffset>2802890</wp:posOffset>
                      </wp:positionV>
                      <wp:extent cx="342900" cy="0"/>
                      <wp:effectExtent l="0" t="48895" r="0" b="65405"/>
                      <wp:wrapNone/>
                      <wp:docPr id="58" name="直接箭头连接符 58"/>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3pt;margin-top:220.7pt;height:0pt;width:27pt;z-index:251685888;mso-width-relative:page;mso-height-relative:page;" filled="f" stroked="t" coordsize="21600,21600" o:gfxdata="UEsDBAoAAAAAAIdO4kAAAAAAAAAAAAAAAAAEAAAAZHJzL1BLAwQUAAAACACHTuJACxM3adcAAAAL&#10;AQAADwAAAGRycy9kb3ducmV2LnhtbE2PwU7DMBBE70j8g7WVuFE7KAQU4vQA4gQXSqWqNzde4rTx&#10;OsRuE/6eRUKC486OZt5Uq9n34oxj7AJpyJYKBFITbEeths378/U9iJgMWdMHQg1fGGFVX15UprRh&#10;ojc8r1MrOIRiaTS4lIZSytg49CYuw4DEv48wepP4HFtpRzNxuO/ljVKF9KYjbnBmwEeHzXF98hq2&#10;r2p3O4fRHXafuXvpntrtwU9aXy0y9QAi4Zz+zPCDz+hQM9M+nMhG0WsoioK3JA15nuUg2HHHhSD2&#10;v4qsK/l/Q/0NUEsDBBQAAAAIAIdO4kAwzKnf/gEAANIDAAAOAAAAZHJzL2Uyb0RvYy54bWytU72O&#10;EzEQ7pF4B8s92VwgiIuyuSLhoEAQCXgAx2vvWvKfZnzZ5CV4ASQqoOKorudp4HgMxt5cgKO5AhfW&#10;2OP5Zr5vxvOznbNsqwBN8DU/GY05U16Gxvi25m/fnD94whkm4Rthg1c13yvkZ4v79+Z9nKlJ6IJt&#10;FDAC8TjrY827lOKsqlB2ygkchag8OXUAJxIdoa0aED2hO1tNxuPHVR+giRCkQqTb1eDkB0S4C2DQ&#10;2ki1CvLCKZ8GVFBWJKKEnYnIF6VarZVMr7RGlZitOTFNZackZG/yXi3mYtaCiJ2RhxLEXUq4xckJ&#10;4ynpEWolkmAXYP6BckZCwKDTSAZXDUSKIsTiZHxLm9ediKpwIakxHkXH/wcrX27XwExT8yn13QtH&#10;Hb9+f/Xj3afrr5ffP179/PYh218+M/KTWH3EGcUs/RoOJ4xryMx3GhzT1sTnNFVFC2LHdkXq/VFq&#10;tUtM0uXDR5PTMTVB3riqASEjRcD0TAXHslFzTCBM26Vl8J76GWBAF9sXmKgGCrwJyME+nBtrS1ut&#10;Z33NT6eTKeURNKqaRoRMF4ku+pYzYVv6AzJBqReDNU2OzjgI7WZpgW1FnpyyMn/K9teznHolsBve&#10;FdcwU0kY+9Q3LO0jSSoAQn+It55gso6DctnahGZfBC331OqS6DCWeZb+PJfo319x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Ezdp1wAAAAsBAAAPAAAAAAAAAAEAIAAAACIAAABkcnMvZG93bnJl&#10;di54bWxQSwECFAAUAAAACACHTuJAMMyp3/4BAADSAwAADgAAAAAAAAABACAAAAAmAQAAZHJzL2Uy&#10;b0RvYy54bWxQSwUGAAAAAAYABgBZAQAAlgUAAAAA&#10;">
                      <v:fill on="f" focussize="0,0"/>
                      <v:stroke color="#000000 [3213]" joinstyle="round" endarrow="open"/>
                      <v:imagedata o:title=""/>
                      <o:lock v:ext="edit" aspectratio="f"/>
                    </v:shape>
                  </w:pict>
                </mc:Fallback>
              </mc:AlternateContent>
            </w:r>
            <w:r>
              <w:rPr>
                <w:rFonts w:hint="default" w:ascii="Times New Roman" w:hAnsi="Times New Roman" w:eastAsia="宋体" w:cs="Times New Roman"/>
                <w:color w:val="auto"/>
                <w:sz w:val="24"/>
                <w:szCs w:val="24"/>
                <w:lang w:eastAsia="zh-CN"/>
              </w:rPr>
              <w:drawing>
                <wp:inline distT="0" distB="0" distL="114300" distR="114300">
                  <wp:extent cx="2781300" cy="6486525"/>
                  <wp:effectExtent l="0" t="0" r="0" b="9525"/>
                  <wp:docPr id="52" name="图片 52" descr="b7458faa422ab7b3665ffbd5e7b40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7458faa422ab7b3665ffbd5e7b4094e"/>
                          <pic:cNvPicPr>
                            <a:picLocks noChangeAspect="1"/>
                          </pic:cNvPicPr>
                        </pic:nvPicPr>
                        <pic:blipFill>
                          <a:blip r:embed="rId13"/>
                          <a:stretch>
                            <a:fillRect/>
                          </a:stretch>
                        </pic:blipFill>
                        <pic:spPr>
                          <a:xfrm>
                            <a:off x="0" y="0"/>
                            <a:ext cx="2781300" cy="6486525"/>
                          </a:xfrm>
                          <a:prstGeom prst="rect">
                            <a:avLst/>
                          </a:prstGeom>
                        </pic:spPr>
                      </pic:pic>
                    </a:graphicData>
                  </a:graphic>
                </wp:inline>
              </w:drawing>
            </w:r>
          </w:p>
          <w:p w14:paraId="097F67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图2-</w:t>
            </w:r>
            <w:r>
              <w:rPr>
                <w:rFonts w:hint="eastAsia" w:cs="Times New Roman"/>
                <w:b/>
                <w:bCs/>
                <w:color w:val="auto"/>
                <w:sz w:val="22"/>
                <w:szCs w:val="22"/>
                <w:lang w:val="en-US" w:eastAsia="zh-CN"/>
              </w:rPr>
              <w:t>4原有</w:t>
            </w:r>
            <w:r>
              <w:rPr>
                <w:rFonts w:hint="default" w:ascii="Times New Roman" w:hAnsi="Times New Roman" w:eastAsia="宋体" w:cs="Times New Roman"/>
                <w:b/>
                <w:bCs/>
                <w:color w:val="auto"/>
                <w:sz w:val="22"/>
                <w:szCs w:val="22"/>
                <w:lang w:val="en-US" w:eastAsia="zh-CN"/>
              </w:rPr>
              <w:t>工艺及产污流程图</w:t>
            </w:r>
          </w:p>
          <w:p w14:paraId="68643BE1">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1、工艺流程及产污节点简述：</w:t>
            </w:r>
          </w:p>
          <w:p w14:paraId="19D17731">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①</w:t>
            </w:r>
            <w:r>
              <w:rPr>
                <w:rFonts w:hint="eastAsia" w:cs="Times New Roman"/>
                <w:bCs/>
                <w:color w:val="auto"/>
                <w:sz w:val="24"/>
                <w:szCs w:val="24"/>
                <w:lang w:val="en-US" w:eastAsia="zh-CN"/>
              </w:rPr>
              <w:t>上</w:t>
            </w:r>
            <w:r>
              <w:rPr>
                <w:rFonts w:hint="default" w:ascii="Times New Roman" w:hAnsi="Times New Roman" w:eastAsia="宋体" w:cs="Times New Roman"/>
                <w:bCs/>
                <w:color w:val="auto"/>
                <w:sz w:val="24"/>
                <w:szCs w:val="24"/>
                <w:lang w:val="en-US" w:eastAsia="zh-CN"/>
              </w:rPr>
              <w:t>料</w:t>
            </w:r>
          </w:p>
          <w:p w14:paraId="54FE8D41">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项目通过铲车将煤矸石、建筑垃圾等上料到料斗中</w:t>
            </w:r>
            <w:r>
              <w:rPr>
                <w:rFonts w:hint="default" w:ascii="Times New Roman" w:hAnsi="Times New Roman" w:eastAsia="宋体" w:cs="Times New Roman"/>
                <w:bCs/>
                <w:color w:val="auto"/>
                <w:sz w:val="24"/>
                <w:szCs w:val="24"/>
                <w:lang w:val="en-US" w:eastAsia="zh-CN"/>
              </w:rPr>
              <w:t>。此工序主要污染物为噪声和粉尘。</w:t>
            </w:r>
          </w:p>
          <w:p w14:paraId="37389322">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②破碎</w:t>
            </w:r>
          </w:p>
          <w:p w14:paraId="6DFF7A9F">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煤矸石</w:t>
            </w:r>
            <w:r>
              <w:rPr>
                <w:rFonts w:hint="default" w:ascii="Times New Roman" w:hAnsi="Times New Roman" w:eastAsia="宋体" w:cs="Times New Roman"/>
                <w:bCs/>
                <w:color w:val="auto"/>
                <w:sz w:val="24"/>
                <w:szCs w:val="24"/>
                <w:lang w:val="en-US" w:eastAsia="zh-CN"/>
              </w:rPr>
              <w:t>及建筑垃圾经皮带运输至破碎机进行中、细碎作业。本项目通过皮带输送物料，为降低在输送过程中产生分产，评价要求将所有输送带封闭，以减少粉尘的产生。此工序主要污染物为噪声和粉尘。</w:t>
            </w:r>
          </w:p>
          <w:p w14:paraId="023E309F">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破碎机工作原理是利用冲击能来破碎物料，在电动机的带动下，机器转子高速旋转，物料由机器上部直接落入板锤作用区，与转子上的板锤撞击破碎，后被抛向反击装置上再次破碎，又从反击衬板上弹回到板锤作用区重新破碎，同时在高速离心力的作用下，石料与一部分以伞型方式分流在转子四周的飞石产生高速碰撞，石料在互相打击后破碎，此过程重复进行，直至石料被粉碎到所需粒度由出料口排出。</w:t>
            </w:r>
          </w:p>
          <w:p w14:paraId="55AE6FBC">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③筛分</w:t>
            </w:r>
          </w:p>
          <w:p w14:paraId="5C604602">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破碎机出料口设有输送带，破碎后的物料经输送带送至振动筛进行筛分。</w:t>
            </w:r>
            <w:r>
              <w:rPr>
                <w:rFonts w:hint="eastAsia" w:cs="Times New Roman"/>
                <w:bCs/>
                <w:color w:val="auto"/>
                <w:sz w:val="24"/>
                <w:szCs w:val="24"/>
                <w:lang w:val="en-US" w:eastAsia="zh-CN"/>
              </w:rPr>
              <w:t>筛上物通过皮带再次返回破碎机，</w:t>
            </w:r>
            <w:r>
              <w:rPr>
                <w:rFonts w:hint="default" w:ascii="Times New Roman" w:hAnsi="Times New Roman" w:eastAsia="宋体" w:cs="Times New Roman"/>
                <w:bCs/>
                <w:color w:val="auto"/>
                <w:sz w:val="24"/>
                <w:szCs w:val="24"/>
                <w:lang w:val="en-US" w:eastAsia="zh-CN"/>
              </w:rPr>
              <w:t>筛分后的物料分别经输送带送至搅拌车间。</w:t>
            </w:r>
          </w:p>
          <w:p w14:paraId="1A56DF20">
            <w:pPr>
              <w:keepLines w:val="0"/>
              <w:pageBreakBefore w:val="0"/>
              <w:kinsoku/>
              <w:topLinePunct w:val="0"/>
              <w:bidi w:val="0"/>
              <w:adjustRightInd w:val="0"/>
              <w:snapToGrid w:val="0"/>
              <w:spacing w:line="240" w:lineRule="auto"/>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drawing>
                <wp:inline distT="0" distB="0" distL="114300" distR="114300">
                  <wp:extent cx="5733415" cy="2498725"/>
                  <wp:effectExtent l="0" t="0" r="635" b="15875"/>
                  <wp:docPr id="4" name="图片 4" descr="原平面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原平面布置"/>
                          <pic:cNvPicPr>
                            <a:picLocks noChangeAspect="1"/>
                          </pic:cNvPicPr>
                        </pic:nvPicPr>
                        <pic:blipFill>
                          <a:blip r:embed="rId14"/>
                          <a:stretch>
                            <a:fillRect/>
                          </a:stretch>
                        </pic:blipFill>
                        <pic:spPr>
                          <a:xfrm>
                            <a:off x="0" y="0"/>
                            <a:ext cx="5733415" cy="2498725"/>
                          </a:xfrm>
                          <a:prstGeom prst="rect">
                            <a:avLst/>
                          </a:prstGeom>
                        </pic:spPr>
                      </pic:pic>
                    </a:graphicData>
                  </a:graphic>
                </wp:inline>
              </w:drawing>
            </w:r>
          </w:p>
          <w:p w14:paraId="6DB593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b/>
                <w:bCs/>
                <w:color w:val="auto"/>
                <w:sz w:val="22"/>
                <w:szCs w:val="22"/>
                <w:lang w:val="en-US" w:eastAsia="zh-CN"/>
              </w:rPr>
              <w:t>图2-</w:t>
            </w:r>
            <w:r>
              <w:rPr>
                <w:rFonts w:hint="eastAsia" w:cs="Times New Roman"/>
                <w:b/>
                <w:bCs/>
                <w:color w:val="auto"/>
                <w:sz w:val="22"/>
                <w:szCs w:val="22"/>
                <w:lang w:val="en-US" w:eastAsia="zh-CN"/>
              </w:rPr>
              <w:t>5</w:t>
            </w:r>
            <w:r>
              <w:rPr>
                <w:rFonts w:hint="default" w:ascii="Times New Roman" w:hAnsi="Times New Roman" w:eastAsia="宋体" w:cs="Times New Roman"/>
                <w:b/>
                <w:bCs/>
                <w:color w:val="auto"/>
                <w:sz w:val="22"/>
                <w:szCs w:val="22"/>
                <w:lang w:val="en-US" w:eastAsia="zh-CN"/>
              </w:rPr>
              <w:t>原有</w:t>
            </w:r>
            <w:r>
              <w:rPr>
                <w:rFonts w:hint="eastAsia" w:ascii="Times New Roman" w:hAnsi="Times New Roman" w:eastAsia="宋体" w:cs="Times New Roman"/>
                <w:b/>
                <w:bCs/>
                <w:color w:val="auto"/>
                <w:sz w:val="22"/>
                <w:szCs w:val="22"/>
                <w:lang w:val="en-US" w:eastAsia="zh-CN"/>
              </w:rPr>
              <w:t>项目</w:t>
            </w:r>
            <w:r>
              <w:rPr>
                <w:rFonts w:hint="default" w:ascii="Times New Roman" w:hAnsi="Times New Roman" w:eastAsia="宋体" w:cs="Times New Roman"/>
                <w:b/>
                <w:bCs/>
                <w:color w:val="auto"/>
                <w:sz w:val="22"/>
                <w:szCs w:val="22"/>
                <w:lang w:val="en-US" w:eastAsia="zh-CN"/>
              </w:rPr>
              <w:t>平面布置图</w:t>
            </w:r>
          </w:p>
          <w:p w14:paraId="7A660562">
            <w:pPr>
              <w:numPr>
                <w:ilvl w:val="0"/>
                <w:numId w:val="0"/>
              </w:numPr>
              <w:spacing w:line="360" w:lineRule="auto"/>
              <w:ind w:left="-50" w:leftChars="0" w:firstLine="470" w:firstLineChars="0"/>
              <w:rPr>
                <w:rFonts w:hint="default"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kern w:val="2"/>
                <w:sz w:val="24"/>
                <w:szCs w:val="20"/>
                <w:lang w:val="en-US" w:eastAsia="zh-CN" w:bidi="ar-SA"/>
              </w:rPr>
              <w:t>三、</w:t>
            </w:r>
            <w:r>
              <w:rPr>
                <w:rFonts w:hint="eastAsia" w:ascii="Times New Roman" w:hAnsi="Times New Roman" w:eastAsia="宋体" w:cs="Times New Roman"/>
                <w:b/>
                <w:bCs/>
                <w:color w:val="auto"/>
                <w:sz w:val="24"/>
                <w:szCs w:val="20"/>
                <w:lang w:val="en-US" w:eastAsia="zh-CN"/>
              </w:rPr>
              <w:t>现有工程</w:t>
            </w:r>
            <w:r>
              <w:rPr>
                <w:rFonts w:hint="default" w:ascii="Times New Roman" w:hAnsi="Times New Roman" w:eastAsia="宋体" w:cs="Times New Roman"/>
                <w:b/>
                <w:bCs/>
                <w:color w:val="auto"/>
                <w:sz w:val="24"/>
                <w:szCs w:val="20"/>
                <w:lang w:val="en-US" w:eastAsia="zh-CN"/>
              </w:rPr>
              <w:t>污染物排放情况</w:t>
            </w:r>
          </w:p>
          <w:p w14:paraId="7B8647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（1）根据现有验收，濉溪县恒鑫再生资源有限公司原有污染物排放见下表。</w:t>
            </w:r>
          </w:p>
          <w:p w14:paraId="1FB2624C">
            <w:pPr>
              <w:spacing w:line="240" w:lineRule="auto"/>
              <w:ind w:firstLine="413" w:firstLineChars="196"/>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表2-7濉溪县恒鑫再生资源有限公司原有项目污染物排放一览表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19"/>
              <w:gridCol w:w="2779"/>
              <w:gridCol w:w="4253"/>
            </w:tblGrid>
            <w:tr w14:paraId="385E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517" w:type="dxa"/>
                  <w:noWrap w:val="0"/>
                  <w:vAlign w:val="center"/>
                </w:tcPr>
                <w:p w14:paraId="76D286CA">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污染源</w:t>
                  </w:r>
                </w:p>
              </w:tc>
              <w:tc>
                <w:tcPr>
                  <w:tcW w:w="2572" w:type="dxa"/>
                  <w:noWrap w:val="0"/>
                  <w:vAlign w:val="center"/>
                </w:tcPr>
                <w:p w14:paraId="0BE97F57">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污染物种类</w:t>
                  </w:r>
                </w:p>
              </w:tc>
              <w:tc>
                <w:tcPr>
                  <w:tcW w:w="3936" w:type="dxa"/>
                  <w:noWrap w:val="0"/>
                  <w:vAlign w:val="center"/>
                </w:tcPr>
                <w:p w14:paraId="1D8B2A68">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排放量t/a</w:t>
                  </w:r>
                </w:p>
              </w:tc>
            </w:tr>
            <w:tr w14:paraId="1565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517" w:type="dxa"/>
                  <w:noWrap w:val="0"/>
                  <w:vAlign w:val="center"/>
                </w:tcPr>
                <w:p w14:paraId="159BC61E">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大气</w:t>
                  </w:r>
                </w:p>
              </w:tc>
              <w:tc>
                <w:tcPr>
                  <w:tcW w:w="2572" w:type="dxa"/>
                  <w:noWrap w:val="0"/>
                  <w:vAlign w:val="center"/>
                </w:tcPr>
                <w:p w14:paraId="2DA7C613">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颗粒物</w:t>
                  </w:r>
                </w:p>
              </w:tc>
              <w:tc>
                <w:tcPr>
                  <w:tcW w:w="3936" w:type="dxa"/>
                  <w:noWrap w:val="0"/>
                  <w:vAlign w:val="center"/>
                </w:tcPr>
                <w:p w14:paraId="22850C7D">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color w:val="auto"/>
                    </w:rPr>
                    <w:t>0.549</w:t>
                  </w:r>
                </w:p>
              </w:tc>
            </w:tr>
            <w:tr w14:paraId="52FF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517" w:type="dxa"/>
                  <w:vMerge w:val="restart"/>
                  <w:noWrap w:val="0"/>
                  <w:vAlign w:val="center"/>
                </w:tcPr>
                <w:p w14:paraId="0375D175">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固废</w:t>
                  </w:r>
                </w:p>
              </w:tc>
              <w:tc>
                <w:tcPr>
                  <w:tcW w:w="2572" w:type="dxa"/>
                  <w:noWrap w:val="0"/>
                  <w:vAlign w:val="center"/>
                </w:tcPr>
                <w:p w14:paraId="2EB08E72">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生活垃圾</w:t>
                  </w:r>
                </w:p>
              </w:tc>
              <w:tc>
                <w:tcPr>
                  <w:tcW w:w="3936" w:type="dxa"/>
                  <w:noWrap w:val="0"/>
                  <w:vAlign w:val="center"/>
                </w:tcPr>
                <w:p w14:paraId="77094E41">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1.5</w:t>
                  </w:r>
                </w:p>
              </w:tc>
            </w:tr>
            <w:tr w14:paraId="712D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2517" w:type="dxa"/>
                  <w:vMerge w:val="continue"/>
                  <w:noWrap w:val="0"/>
                  <w:vAlign w:val="center"/>
                </w:tcPr>
                <w:p w14:paraId="03439B08">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p>
              </w:tc>
              <w:tc>
                <w:tcPr>
                  <w:tcW w:w="2572" w:type="dxa"/>
                  <w:shd w:val="clear" w:color="auto" w:fill="auto"/>
                  <w:noWrap w:val="0"/>
                  <w:vAlign w:val="center"/>
                </w:tcPr>
                <w:p w14:paraId="47ACF9C2">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废气处理收集粉尘</w:t>
                  </w:r>
                </w:p>
              </w:tc>
              <w:tc>
                <w:tcPr>
                  <w:tcW w:w="3936" w:type="dxa"/>
                  <w:noWrap w:val="0"/>
                  <w:vAlign w:val="center"/>
                </w:tcPr>
                <w:p w14:paraId="78C06803">
                  <w:pPr>
                    <w:keepNext w:val="0"/>
                    <w:keepLines w:val="0"/>
                    <w:pageBreakBefore w:val="0"/>
                    <w:widowControl w:val="0"/>
                    <w:kinsoku/>
                    <w:wordWrap/>
                    <w:topLinePunct w:val="0"/>
                    <w:bidi w:val="0"/>
                    <w:adjustRightInd w:val="0"/>
                    <w:snapToGrid w:val="0"/>
                    <w:spacing w:line="240" w:lineRule="auto"/>
                    <w:ind w:left="0" w:right="0"/>
                    <w:jc w:val="center"/>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110.80625</w:t>
                  </w:r>
                </w:p>
              </w:tc>
            </w:tr>
          </w:tbl>
          <w:p w14:paraId="1E7B0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1、废气</w:t>
            </w:r>
          </w:p>
          <w:p w14:paraId="56A230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通过2021年4月26日~27日连续两天的监测结果表明，有组织</w:t>
            </w:r>
            <w:r>
              <w:rPr>
                <w:rFonts w:hint="eastAsia" w:cs="Times New Roman"/>
                <w:color w:val="auto"/>
                <w:sz w:val="24"/>
                <w:szCs w:val="24"/>
                <w:lang w:val="en-US" w:eastAsia="zh-CN"/>
              </w:rPr>
              <w:t>废气</w:t>
            </w:r>
            <w:r>
              <w:rPr>
                <w:rFonts w:hint="default" w:ascii="Times New Roman" w:hAnsi="Times New Roman" w:eastAsia="宋体" w:cs="Times New Roman"/>
                <w:color w:val="auto"/>
                <w:sz w:val="24"/>
                <w:szCs w:val="24"/>
              </w:rPr>
              <w:t>颗粒物</w:t>
            </w:r>
            <w:r>
              <w:rPr>
                <w:rFonts w:hint="eastAsia" w:cs="Times New Roman"/>
                <w:color w:val="auto"/>
                <w:sz w:val="24"/>
                <w:szCs w:val="24"/>
                <w:lang w:val="en-US" w:eastAsia="zh-CN"/>
              </w:rPr>
              <w:t>排放</w:t>
            </w:r>
            <w:r>
              <w:rPr>
                <w:rFonts w:hint="default" w:ascii="Times New Roman" w:hAnsi="Times New Roman" w:eastAsia="宋体" w:cs="Times New Roman"/>
                <w:color w:val="auto"/>
                <w:sz w:val="24"/>
                <w:szCs w:val="24"/>
              </w:rPr>
              <w:t>浓度为</w:t>
            </w:r>
            <w:r>
              <w:rPr>
                <w:rFonts w:hint="eastAsia" w:cs="Times New Roman"/>
                <w:color w:val="auto"/>
                <w:sz w:val="24"/>
                <w:szCs w:val="24"/>
                <w:lang w:val="en-US" w:eastAsia="zh-CN"/>
              </w:rPr>
              <w:t>9.61</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，满足</w:t>
            </w:r>
            <w:r>
              <w:rPr>
                <w:rFonts w:hint="eastAsia" w:cs="Times New Roman"/>
                <w:color w:val="auto"/>
                <w:sz w:val="24"/>
                <w:lang w:eastAsia="zh-CN"/>
              </w:rPr>
              <w:t>《水泥工业大气污染物排放标准》（DB34/3576-2020）</w:t>
            </w:r>
            <w:r>
              <w:rPr>
                <w:rFonts w:hint="default" w:ascii="Times New Roman" w:hAnsi="Times New Roman" w:eastAsia="宋体" w:cs="Times New Roman"/>
                <w:color w:val="auto"/>
                <w:sz w:val="24"/>
                <w:szCs w:val="24"/>
              </w:rPr>
              <w:t>要求。</w:t>
            </w:r>
          </w:p>
          <w:p w14:paraId="3FB9AD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厂界无组织下风向三个监测点位颗粒物最大浓度为0.166mg/m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，监测结果满足满足</w:t>
            </w:r>
            <w:r>
              <w:rPr>
                <w:rFonts w:hint="eastAsia" w:cs="Times New Roman"/>
                <w:color w:val="auto"/>
                <w:sz w:val="24"/>
                <w:lang w:val="en-US" w:eastAsia="zh-CN"/>
              </w:rPr>
              <w:t>《水泥工业大气污染物排放标准》（DB34/3576-2020）</w:t>
            </w:r>
            <w:r>
              <w:rPr>
                <w:rFonts w:hint="default" w:ascii="Times New Roman" w:hAnsi="Times New Roman" w:eastAsia="宋体" w:cs="Times New Roman"/>
                <w:color w:val="auto"/>
                <w:sz w:val="24"/>
                <w:lang w:val="en-US" w:eastAsia="zh-CN"/>
              </w:rPr>
              <w:t>要求。</w:t>
            </w:r>
          </w:p>
          <w:p w14:paraId="15AA39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根据验收监测结果对本项目总量控制指标排放量进行了核算，颗粒物排放量为0.549t/a，满足环评报告表2.138t/a的总量控制要求。</w:t>
            </w:r>
          </w:p>
          <w:p w14:paraId="5B068B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2、厂界噪声</w:t>
            </w:r>
          </w:p>
          <w:p w14:paraId="59E015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通过2021年4月26日~27日连续两天的监测结果表明</w:t>
            </w:r>
            <w:r>
              <w:rPr>
                <w:rFonts w:hint="default" w:ascii="Times New Roman" w:hAnsi="Times New Roman" w:eastAsia="宋体" w:cs="Times New Roman"/>
                <w:color w:val="auto"/>
                <w:sz w:val="24"/>
                <w:lang w:val="en-US" w:eastAsia="zh-CN"/>
              </w:rPr>
              <w:t>，白天厂界噪声在54.1-56.2</w:t>
            </w:r>
            <w:r>
              <w:rPr>
                <w:rFonts w:hint="eastAsia" w:cs="Times New Roman"/>
                <w:color w:val="auto"/>
                <w:sz w:val="24"/>
                <w:lang w:val="en-US" w:eastAsia="zh-CN"/>
              </w:rPr>
              <w:t>dB</w:t>
            </w:r>
            <w:r>
              <w:rPr>
                <w:rFonts w:hint="default" w:ascii="Times New Roman" w:hAnsi="Times New Roman" w:eastAsia="宋体" w:cs="Times New Roman"/>
                <w:color w:val="auto"/>
                <w:sz w:val="24"/>
                <w:lang w:val="en-US" w:eastAsia="zh-CN"/>
              </w:rPr>
              <w:t>之间，夜间各厂界噪声在43.6-45.7</w:t>
            </w:r>
            <w:r>
              <w:rPr>
                <w:rFonts w:hint="eastAsia" w:cs="Times New Roman"/>
                <w:color w:val="auto"/>
                <w:sz w:val="24"/>
                <w:lang w:val="en-US" w:eastAsia="zh-CN"/>
              </w:rPr>
              <w:t>dB</w:t>
            </w:r>
            <w:r>
              <w:rPr>
                <w:rFonts w:hint="default" w:ascii="Times New Roman" w:hAnsi="Times New Roman" w:eastAsia="宋体" w:cs="Times New Roman"/>
                <w:color w:val="auto"/>
                <w:sz w:val="24"/>
                <w:lang w:val="en-US" w:eastAsia="zh-CN"/>
              </w:rPr>
              <w:t>之间均满足《工业企业厂界环境噪声排放标准》(GB12348-2008)2类标准要求。</w:t>
            </w:r>
          </w:p>
          <w:p w14:paraId="1EFDD6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3、固体废物</w:t>
            </w:r>
          </w:p>
          <w:p w14:paraId="14DB7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auto"/>
                <w:sz w:val="24"/>
                <w:lang w:val="en-US" w:eastAsia="zh-CN"/>
              </w:rPr>
              <w:t>本项目产生的一般固体废物主要为由布袋除尘器收集的粉尘，废气处理收集粉尘110.80625t/a，生活垃圾</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lang w:val="en-US" w:eastAsia="zh-CN"/>
              </w:rPr>
              <w:t>t/a。</w:t>
            </w:r>
          </w:p>
          <w:p w14:paraId="780EA6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由以上数据可知濉溪县恒鑫再生资源有限公司原有污染物有组织废气、无组织废气均满足</w:t>
            </w:r>
            <w:r>
              <w:rPr>
                <w:rFonts w:hint="eastAsia" w:cs="Times New Roman"/>
                <w:color w:val="auto"/>
                <w:sz w:val="24"/>
                <w:lang w:eastAsia="zh-CN"/>
              </w:rPr>
              <w:t>《水泥工业大气污染物排放标准》（DB34/3576-2020）</w:t>
            </w:r>
            <w:r>
              <w:rPr>
                <w:rFonts w:hint="default" w:ascii="Times New Roman" w:hAnsi="Times New Roman" w:eastAsia="宋体" w:cs="Times New Roman"/>
                <w:color w:val="auto"/>
                <w:sz w:val="24"/>
                <w:lang w:val="en-US" w:eastAsia="zh-CN"/>
              </w:rPr>
              <w:t>排放限值，噪声满足《工业企业厂界环境噪声排放标准》(GB12348-2008)2类标准要求。</w:t>
            </w:r>
          </w:p>
          <w:p w14:paraId="693F55F7">
            <w:pPr>
              <w:numPr>
                <w:ilvl w:val="0"/>
                <w:numId w:val="0"/>
              </w:numPr>
              <w:spacing w:line="360" w:lineRule="auto"/>
              <w:ind w:left="-50" w:leftChars="0" w:firstLine="470" w:firstLineChars="0"/>
              <w:rPr>
                <w:rFonts w:hint="eastAsia" w:ascii="Times New Roman" w:hAnsi="Times New Roman" w:eastAsia="宋体" w:cs="Times New Roman"/>
                <w:b/>
                <w:bCs/>
                <w:color w:val="auto"/>
                <w:kern w:val="2"/>
                <w:sz w:val="24"/>
                <w:szCs w:val="20"/>
                <w:lang w:val="en-US" w:eastAsia="zh-CN" w:bidi="ar-SA"/>
              </w:rPr>
            </w:pPr>
            <w:r>
              <w:rPr>
                <w:rFonts w:hint="eastAsia" w:ascii="Times New Roman" w:hAnsi="Times New Roman" w:eastAsia="宋体" w:cs="Times New Roman"/>
                <w:b/>
                <w:bCs/>
                <w:color w:val="auto"/>
                <w:kern w:val="2"/>
                <w:sz w:val="24"/>
                <w:szCs w:val="20"/>
                <w:lang w:val="en-US" w:eastAsia="zh-CN" w:bidi="ar-SA"/>
              </w:rPr>
              <w:t>四、在建工程污染物排放</w:t>
            </w:r>
          </w:p>
          <w:p w14:paraId="046AB6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kern w:val="2"/>
                <w:sz w:val="24"/>
                <w:szCs w:val="20"/>
                <w:lang w:val="en-US" w:eastAsia="zh-CN" w:bidi="ar-SA"/>
              </w:rPr>
              <w:t>验收产能为</w:t>
            </w:r>
            <w:r>
              <w:rPr>
                <w:rFonts w:hint="default" w:ascii="Times New Roman" w:hAnsi="Times New Roman" w:eastAsia="宋体" w:cs="Times New Roman"/>
                <w:color w:val="auto"/>
                <w:sz w:val="24"/>
                <w:szCs w:val="24"/>
                <w:lang w:val="en-US" w:eastAsia="zh-CN"/>
              </w:rPr>
              <w:t>年加工</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万吨煤矸石、建筑垃圾</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有组织</w:t>
            </w:r>
            <w:r>
              <w:rPr>
                <w:rFonts w:hint="eastAsia" w:cs="Times New Roman"/>
                <w:color w:val="auto"/>
                <w:sz w:val="24"/>
                <w:szCs w:val="24"/>
                <w:lang w:val="en-US" w:eastAsia="zh-CN"/>
              </w:rPr>
              <w:t>废气</w:t>
            </w:r>
            <w:r>
              <w:rPr>
                <w:rFonts w:hint="default" w:ascii="Times New Roman" w:hAnsi="Times New Roman" w:eastAsia="宋体" w:cs="Times New Roman"/>
                <w:color w:val="auto"/>
                <w:sz w:val="24"/>
                <w:szCs w:val="24"/>
              </w:rPr>
              <w:t>颗粒物</w:t>
            </w:r>
            <w:r>
              <w:rPr>
                <w:rFonts w:hint="eastAsia" w:cs="Times New Roman"/>
                <w:color w:val="auto"/>
                <w:sz w:val="24"/>
                <w:szCs w:val="24"/>
                <w:lang w:val="en-US" w:eastAsia="zh-CN"/>
              </w:rPr>
              <w:t>排放</w:t>
            </w:r>
            <w:r>
              <w:rPr>
                <w:rFonts w:hint="default" w:ascii="Times New Roman" w:hAnsi="Times New Roman" w:eastAsia="宋体" w:cs="Times New Roman"/>
                <w:color w:val="auto"/>
                <w:sz w:val="24"/>
                <w:szCs w:val="24"/>
              </w:rPr>
              <w:t>浓度为</w:t>
            </w:r>
            <w:r>
              <w:rPr>
                <w:rFonts w:hint="eastAsia" w:cs="Times New Roman"/>
                <w:color w:val="auto"/>
                <w:sz w:val="24"/>
                <w:szCs w:val="24"/>
                <w:lang w:val="en-US" w:eastAsia="zh-CN"/>
              </w:rPr>
              <w:t>9.61</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满足</w:t>
            </w:r>
            <w:r>
              <w:rPr>
                <w:rFonts w:hint="eastAsia" w:cs="Times New Roman"/>
                <w:color w:val="auto"/>
                <w:sz w:val="24"/>
                <w:lang w:eastAsia="zh-CN"/>
              </w:rPr>
              <w:t>《水泥工业大气污染物排放标准》（DB34/3576-2020）</w:t>
            </w:r>
            <w:r>
              <w:rPr>
                <w:rFonts w:hint="default" w:ascii="Times New Roman" w:hAnsi="Times New Roman" w:eastAsia="宋体" w:cs="Times New Roman"/>
                <w:color w:val="auto"/>
                <w:sz w:val="24"/>
                <w:szCs w:val="24"/>
              </w:rPr>
              <w:t>要求。</w:t>
            </w:r>
            <w:r>
              <w:rPr>
                <w:rFonts w:hint="eastAsia" w:eastAsia="宋体" w:cs="Times New Roman"/>
                <w:color w:val="auto"/>
                <w:sz w:val="24"/>
                <w:szCs w:val="24"/>
                <w:lang w:val="en-US" w:eastAsia="zh-CN"/>
              </w:rPr>
              <w:t>类比已验收工程</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lang w:val="en-US" w:eastAsia="zh-CN"/>
              </w:rPr>
              <w:t>颗粒物排放</w:t>
            </w:r>
            <w:r>
              <w:rPr>
                <w:rFonts w:hint="eastAsia" w:eastAsia="宋体" w:cs="Times New Roman"/>
                <w:color w:val="auto"/>
                <w:sz w:val="24"/>
                <w:lang w:val="en-US" w:eastAsia="zh-CN"/>
              </w:rPr>
              <w:t>总</w:t>
            </w:r>
            <w:r>
              <w:rPr>
                <w:rFonts w:hint="default" w:ascii="Times New Roman" w:hAnsi="Times New Roman" w:eastAsia="宋体" w:cs="Times New Roman"/>
                <w:color w:val="auto"/>
                <w:sz w:val="24"/>
                <w:lang w:val="en-US" w:eastAsia="zh-CN"/>
              </w:rPr>
              <w:t>量为</w:t>
            </w:r>
            <w:r>
              <w:rPr>
                <w:rFonts w:hint="eastAsia" w:eastAsia="宋体" w:cs="Times New Roman"/>
                <w:color w:val="auto"/>
                <w:sz w:val="24"/>
                <w:lang w:val="en-US" w:eastAsia="zh-CN"/>
              </w:rPr>
              <w:t>1.098</w:t>
            </w:r>
            <w:r>
              <w:rPr>
                <w:rFonts w:hint="default" w:ascii="Times New Roman" w:hAnsi="Times New Roman" w:eastAsia="宋体" w:cs="Times New Roman"/>
                <w:color w:val="auto"/>
                <w:sz w:val="24"/>
                <w:lang w:val="en-US" w:eastAsia="zh-CN"/>
              </w:rPr>
              <w:t>t/a，满足环评报告表2.138t/a的总量控制要求。</w:t>
            </w:r>
          </w:p>
          <w:p w14:paraId="672CF56A">
            <w:pPr>
              <w:numPr>
                <w:ilvl w:val="0"/>
                <w:numId w:val="0"/>
              </w:numPr>
              <w:spacing w:line="360" w:lineRule="auto"/>
              <w:ind w:firstLine="472" w:firstLineChars="196"/>
              <w:rPr>
                <w:rFonts w:hint="default" w:ascii="Times New Roman" w:hAnsi="Times New Roman" w:eastAsia="宋体" w:cs="Times New Roman"/>
                <w:b/>
                <w:bCs/>
                <w:color w:val="auto"/>
                <w:kern w:val="2"/>
                <w:sz w:val="24"/>
                <w:szCs w:val="20"/>
                <w:lang w:val="en-US" w:eastAsia="zh-CN" w:bidi="ar-SA"/>
              </w:rPr>
            </w:pPr>
            <w:r>
              <w:rPr>
                <w:rFonts w:hint="eastAsia" w:ascii="Times New Roman" w:hAnsi="Times New Roman" w:eastAsia="宋体" w:cs="Times New Roman"/>
                <w:b/>
                <w:bCs/>
                <w:color w:val="auto"/>
                <w:kern w:val="2"/>
                <w:sz w:val="24"/>
                <w:szCs w:val="20"/>
                <w:lang w:val="en-US" w:eastAsia="zh-CN" w:bidi="ar-SA"/>
              </w:rPr>
              <w:t>五</w:t>
            </w:r>
            <w:r>
              <w:rPr>
                <w:rFonts w:hint="default" w:ascii="Times New Roman" w:hAnsi="Times New Roman" w:eastAsia="宋体" w:cs="Times New Roman"/>
                <w:b/>
                <w:bCs/>
                <w:color w:val="auto"/>
                <w:kern w:val="2"/>
                <w:sz w:val="24"/>
                <w:szCs w:val="20"/>
                <w:lang w:val="en-US" w:eastAsia="zh-CN" w:bidi="ar-SA"/>
              </w:rPr>
              <w:t>、原有项目排污许可证相关信息</w:t>
            </w:r>
          </w:p>
          <w:p w14:paraId="38DA4B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濉溪县恒鑫再生资源有限公司于2020年11月24日进行排污登记，登记编号为：91340621MA2TAWT97H001X。</w:t>
            </w:r>
          </w:p>
          <w:p w14:paraId="384B2967">
            <w:pPr>
              <w:numPr>
                <w:ilvl w:val="0"/>
                <w:numId w:val="0"/>
              </w:numPr>
              <w:spacing w:line="360" w:lineRule="auto"/>
              <w:ind w:firstLine="472" w:firstLineChars="196"/>
              <w:rPr>
                <w:rFonts w:hint="default" w:ascii="Times New Roman" w:hAnsi="Times New Roman" w:eastAsia="宋体" w:cs="Times New Roman"/>
                <w:b/>
                <w:bCs/>
                <w:color w:val="auto"/>
                <w:kern w:val="2"/>
                <w:sz w:val="24"/>
                <w:szCs w:val="20"/>
                <w:lang w:val="en-US" w:eastAsia="zh-CN" w:bidi="ar-SA"/>
              </w:rPr>
            </w:pPr>
            <w:r>
              <w:rPr>
                <w:rFonts w:hint="eastAsia" w:ascii="Times New Roman" w:hAnsi="Times New Roman" w:eastAsia="宋体" w:cs="Times New Roman"/>
                <w:b/>
                <w:bCs/>
                <w:color w:val="auto"/>
                <w:kern w:val="2"/>
                <w:sz w:val="24"/>
                <w:szCs w:val="20"/>
                <w:lang w:val="en-US" w:eastAsia="zh-CN" w:bidi="ar-SA"/>
              </w:rPr>
              <w:t>六</w:t>
            </w:r>
            <w:r>
              <w:rPr>
                <w:rFonts w:hint="default" w:ascii="Times New Roman" w:hAnsi="Times New Roman" w:eastAsia="宋体" w:cs="Times New Roman"/>
                <w:b/>
                <w:bCs/>
                <w:color w:val="auto"/>
                <w:kern w:val="2"/>
                <w:sz w:val="24"/>
                <w:szCs w:val="20"/>
                <w:lang w:val="en-US" w:eastAsia="zh-CN" w:bidi="ar-SA"/>
              </w:rPr>
              <w:t>、原有项目环境问题</w:t>
            </w:r>
          </w:p>
          <w:p w14:paraId="17EB54AA">
            <w:pPr>
              <w:numPr>
                <w:ilvl w:val="0"/>
                <w:numId w:val="0"/>
              </w:numPr>
              <w:spacing w:line="360" w:lineRule="auto"/>
              <w:ind w:firstLine="470" w:firstLineChars="196"/>
              <w:rPr>
                <w:rFonts w:hint="default" w:ascii="Times New Roman" w:hAnsi="Times New Roman" w:eastAsia="宋体" w:cs="Times New Roman"/>
                <w:kern w:val="2"/>
                <w:sz w:val="24"/>
                <w:szCs w:val="24"/>
                <w:lang w:val="en-US" w:eastAsia="zh-CN" w:bidi="ar"/>
              </w:rPr>
            </w:pPr>
            <w:r>
              <w:rPr>
                <w:rFonts w:hint="eastAsia" w:ascii="Times New Roman" w:hAnsi="Times New Roman" w:eastAsia="宋体" w:cs="Times New Roman"/>
                <w:kern w:val="2"/>
                <w:sz w:val="24"/>
                <w:szCs w:val="24"/>
                <w:lang w:val="en-US" w:eastAsia="zh-CN" w:bidi="ar"/>
              </w:rPr>
              <w:t>根据对现有项目的实际调查，目前现有项目现场整体生产环境良好，</w:t>
            </w:r>
            <w:r>
              <w:rPr>
                <w:rFonts w:hint="eastAsia" w:cs="Times New Roman"/>
                <w:kern w:val="2"/>
                <w:sz w:val="24"/>
                <w:szCs w:val="24"/>
                <w:lang w:val="en-US" w:eastAsia="zh-CN" w:bidi="ar"/>
              </w:rPr>
              <w:t>原料库以及破碎</w:t>
            </w:r>
            <w:r>
              <w:rPr>
                <w:rFonts w:hint="eastAsia" w:ascii="Times New Roman" w:hAnsi="Times New Roman" w:eastAsia="宋体" w:cs="Times New Roman"/>
                <w:kern w:val="2"/>
                <w:sz w:val="24"/>
                <w:szCs w:val="24"/>
                <w:lang w:val="en-US" w:eastAsia="zh-CN" w:bidi="ar"/>
              </w:rPr>
              <w:t>粉尘控制较好。但厂区进厂路面仍存在偶发性的起尘，企业应继续加强现场管理，对厂区路面及时硬化、清理、洒水抑尘。</w:t>
            </w:r>
            <w:r>
              <w:rPr>
                <w:rFonts w:hint="default" w:ascii="Times New Roman" w:hAnsi="Times New Roman" w:eastAsia="宋体" w:cs="Times New Roman"/>
                <w:kern w:val="2"/>
                <w:sz w:val="24"/>
                <w:szCs w:val="24"/>
                <w:lang w:val="en-US" w:eastAsia="zh-CN" w:bidi="ar"/>
              </w:rPr>
              <w:t>整改建议：</w:t>
            </w:r>
          </w:p>
          <w:p w14:paraId="0C389D0F">
            <w:pPr>
              <w:numPr>
                <w:ilvl w:val="0"/>
                <w:numId w:val="5"/>
              </w:numPr>
              <w:spacing w:line="360" w:lineRule="auto"/>
              <w:ind w:firstLine="470" w:firstLineChars="196"/>
              <w:rPr>
                <w:rFonts w:hint="eastAsia" w:cs="Times New Roman"/>
                <w:kern w:val="2"/>
                <w:sz w:val="24"/>
                <w:szCs w:val="24"/>
                <w:lang w:val="en-US" w:eastAsia="zh-CN" w:bidi="ar"/>
              </w:rPr>
            </w:pPr>
            <w:r>
              <w:rPr>
                <w:rFonts w:hint="eastAsia" w:cs="Times New Roman"/>
                <w:kern w:val="2"/>
                <w:sz w:val="24"/>
                <w:szCs w:val="24"/>
                <w:lang w:val="en-US" w:eastAsia="zh-CN" w:bidi="ar"/>
              </w:rPr>
              <w:t>需要尽快将进厂道路附近杂物进行清理；</w:t>
            </w:r>
          </w:p>
          <w:p w14:paraId="18B1BF1A">
            <w:pPr>
              <w:numPr>
                <w:ilvl w:val="0"/>
                <w:numId w:val="5"/>
              </w:numPr>
              <w:spacing w:line="360" w:lineRule="auto"/>
              <w:ind w:firstLine="470" w:firstLineChars="196"/>
              <w:rPr>
                <w:rFonts w:hint="default" w:cs="Times New Roman"/>
                <w:kern w:val="2"/>
                <w:sz w:val="24"/>
                <w:szCs w:val="24"/>
                <w:lang w:val="en-US" w:eastAsia="zh-CN" w:bidi="ar"/>
              </w:rPr>
            </w:pPr>
            <w:r>
              <w:rPr>
                <w:rFonts w:hint="eastAsia" w:ascii="Times New Roman" w:hAnsi="Times New Roman" w:eastAsia="宋体" w:cs="Times New Roman"/>
                <w:kern w:val="2"/>
                <w:sz w:val="24"/>
                <w:szCs w:val="24"/>
                <w:lang w:val="en-US" w:eastAsia="zh-CN" w:bidi="ar"/>
              </w:rPr>
              <w:t>本项目验收前需要对进厂道路进行硬化</w:t>
            </w:r>
            <w:r>
              <w:rPr>
                <w:rFonts w:hint="eastAsia" w:cs="Times New Roman"/>
                <w:kern w:val="2"/>
                <w:sz w:val="24"/>
                <w:szCs w:val="24"/>
                <w:lang w:val="en-US" w:eastAsia="zh-CN" w:bidi="ar"/>
              </w:rPr>
              <w:t>；</w:t>
            </w:r>
          </w:p>
          <w:p w14:paraId="4A7529C0">
            <w:pPr>
              <w:numPr>
                <w:ilvl w:val="0"/>
                <w:numId w:val="5"/>
              </w:numPr>
              <w:spacing w:line="360" w:lineRule="auto"/>
              <w:ind w:firstLine="470" w:firstLineChars="196"/>
              <w:rPr>
                <w:rFonts w:hint="default" w:cs="Times New Roman"/>
                <w:kern w:val="2"/>
                <w:sz w:val="24"/>
                <w:szCs w:val="24"/>
                <w:lang w:val="en-US" w:eastAsia="zh-CN" w:bidi="ar"/>
              </w:rPr>
            </w:pPr>
            <w:r>
              <w:rPr>
                <w:rFonts w:hint="eastAsia" w:cs="Times New Roman"/>
                <w:kern w:val="2"/>
                <w:sz w:val="24"/>
                <w:szCs w:val="24"/>
                <w:lang w:val="en-US" w:eastAsia="zh-CN" w:bidi="ar"/>
              </w:rPr>
              <w:t>建议对进厂道路每天清扫、</w:t>
            </w:r>
            <w:r>
              <w:rPr>
                <w:rFonts w:hint="eastAsia" w:ascii="Times New Roman" w:hAnsi="Times New Roman" w:eastAsia="宋体" w:cs="Times New Roman"/>
                <w:kern w:val="2"/>
                <w:sz w:val="24"/>
                <w:szCs w:val="24"/>
                <w:lang w:val="en-US" w:eastAsia="zh-CN" w:bidi="ar"/>
              </w:rPr>
              <w:t>洒水抑尘</w:t>
            </w:r>
            <w:r>
              <w:rPr>
                <w:rFonts w:hint="eastAsia" w:cs="Times New Roman"/>
                <w:kern w:val="2"/>
                <w:sz w:val="24"/>
                <w:szCs w:val="24"/>
                <w:lang w:val="en-US" w:eastAsia="zh-CN" w:bidi="ar"/>
              </w:rPr>
              <w:t>。</w:t>
            </w:r>
          </w:p>
          <w:p w14:paraId="32D10A8B">
            <w:pPr>
              <w:pStyle w:val="33"/>
              <w:numPr>
                <w:ilvl w:val="0"/>
                <w:numId w:val="0"/>
              </w:numPr>
              <w:rPr>
                <w:rFonts w:hint="default"/>
                <w:lang w:val="en-US"/>
              </w:rPr>
            </w:pPr>
          </w:p>
          <w:p w14:paraId="3DFD251B">
            <w:pPr>
              <w:rPr>
                <w:rFonts w:hint="default"/>
                <w:lang w:val="en-US"/>
              </w:rPr>
            </w:pPr>
          </w:p>
          <w:p w14:paraId="0B4FFB60">
            <w:pPr>
              <w:rPr>
                <w:rFonts w:hint="default"/>
                <w:lang w:val="en-US"/>
              </w:rPr>
            </w:pPr>
          </w:p>
          <w:p w14:paraId="0183BE96">
            <w:pPr>
              <w:rPr>
                <w:rFonts w:hint="default"/>
                <w:lang w:val="en-US"/>
              </w:rPr>
            </w:pPr>
          </w:p>
          <w:p w14:paraId="6DBDDB14">
            <w:pPr>
              <w:rPr>
                <w:rFonts w:hint="default"/>
                <w:lang w:val="en-US"/>
              </w:rPr>
            </w:pPr>
          </w:p>
          <w:p w14:paraId="6167140E">
            <w:pPr>
              <w:rPr>
                <w:rFonts w:hint="default"/>
                <w:lang w:val="en-US"/>
              </w:rPr>
            </w:pPr>
          </w:p>
          <w:p w14:paraId="0E584524">
            <w:pPr>
              <w:rPr>
                <w:rFonts w:hint="default"/>
                <w:lang w:val="en-US"/>
              </w:rPr>
            </w:pPr>
          </w:p>
          <w:p w14:paraId="372A8F27">
            <w:pPr>
              <w:rPr>
                <w:rFonts w:hint="default"/>
                <w:lang w:val="en-US"/>
              </w:rPr>
            </w:pPr>
          </w:p>
        </w:tc>
      </w:tr>
    </w:tbl>
    <w:p w14:paraId="187E539D">
      <w:pPr>
        <w:pStyle w:val="43"/>
        <w:keepLines w:val="0"/>
        <w:pageBreakBefore w:val="0"/>
        <w:kinsoku/>
        <w:topLinePunct w:val="0"/>
        <w:bidi w:val="0"/>
        <w:adjustRightInd w:val="0"/>
        <w:snapToGrid w:val="0"/>
        <w:jc w:val="center"/>
        <w:rPr>
          <w:rFonts w:hint="default" w:ascii="Times New Roman" w:hAnsi="Times New Roman" w:eastAsia="宋体" w:cs="Times New Roman"/>
          <w:snapToGrid w:val="0"/>
          <w:sz w:val="36"/>
          <w:szCs w:val="36"/>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42AAEAF9">
      <w:pPr>
        <w:pStyle w:val="43"/>
        <w:keepLines w:val="0"/>
        <w:pageBreakBefore w:val="0"/>
        <w:kinsoku/>
        <w:topLinePunct w:val="0"/>
        <w:bidi w:val="0"/>
        <w:adjustRightInd w:val="0"/>
        <w:snapToGrid w:val="0"/>
        <w:spacing w:before="0" w:beforeAutospacing="0" w:after="0" w:afterAutospacing="0"/>
        <w:jc w:val="center"/>
        <w:outlineLvl w:val="0"/>
        <w:rPr>
          <w:rFonts w:hint="default" w:ascii="Times New Roman" w:hAnsi="Times New Roman" w:eastAsia="宋体" w:cs="Times New Roman"/>
          <w:snapToGrid w:val="0"/>
          <w:sz w:val="30"/>
          <w:szCs w:val="30"/>
        </w:rPr>
      </w:pPr>
      <w:r>
        <w:rPr>
          <w:rFonts w:hint="default" w:ascii="Times New Roman" w:hAnsi="Times New Roman" w:eastAsia="宋体" w:cs="Times New Roman"/>
          <w:snapToGrid w:val="0"/>
          <w:sz w:val="30"/>
          <w:szCs w:val="30"/>
        </w:rPr>
        <w:t>三、区域环境质量现状、环境保护目标及评价标准</w:t>
      </w:r>
    </w:p>
    <w:tbl>
      <w:tblPr>
        <w:tblStyle w:val="47"/>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6"/>
        <w:gridCol w:w="8145"/>
      </w:tblGrid>
      <w:tr w14:paraId="6CC0D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37B7FCF7">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w:t>
            </w:r>
          </w:p>
          <w:p w14:paraId="7A6E9A60">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14:paraId="31152FB4">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质量</w:t>
            </w:r>
          </w:p>
          <w:p w14:paraId="56C8DAB6">
            <w:pPr>
              <w:keepLines w:val="0"/>
              <w:pageBreakBefore w:val="0"/>
              <w:kinsoku/>
              <w:topLinePunct w:val="0"/>
              <w:bidi w:val="0"/>
              <w:adjustRightInd w:val="0"/>
              <w:snapToGrid w:val="0"/>
              <w:jc w:val="center"/>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现状</w:t>
            </w:r>
          </w:p>
        </w:tc>
        <w:tc>
          <w:tcPr>
            <w:tcW w:w="8190" w:type="dxa"/>
            <w:noWrap w:val="0"/>
            <w:vAlign w:val="center"/>
          </w:tcPr>
          <w:p w14:paraId="73D2272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建设项目所在地区域环境质量现状及主要环境问题（环境空气、地面水、地下水、声环境、生态环境等）：</w:t>
            </w:r>
          </w:p>
          <w:p w14:paraId="63313328">
            <w:pPr>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bookmarkStart w:id="2" w:name="_Toc92187699"/>
            <w:r>
              <w:rPr>
                <w:rFonts w:hint="default" w:ascii="Times New Roman" w:hAnsi="Times New Roman" w:eastAsia="宋体" w:cs="Times New Roman"/>
                <w:color w:val="auto"/>
                <w:sz w:val="24"/>
                <w:szCs w:val="24"/>
                <w:lang w:val="en-US" w:eastAsia="zh-CN"/>
              </w:rPr>
              <w:t>本项目引用淮北市202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年度环境公报，进行本项目的环境质量现状评价。</w:t>
            </w:r>
          </w:p>
          <w:bookmarkEnd w:id="2"/>
          <w:p w14:paraId="06DE982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一、环境空气质量现状</w:t>
            </w:r>
          </w:p>
          <w:p w14:paraId="694A0AC5">
            <w:pPr>
              <w:widowControl/>
              <w:spacing w:line="360" w:lineRule="auto"/>
              <w:ind w:firstLine="480" w:firstLineChars="200"/>
              <w:jc w:val="left"/>
              <w:rPr>
                <w:sz w:val="24"/>
              </w:rPr>
            </w:pPr>
            <w:r>
              <w:rPr>
                <w:sz w:val="24"/>
              </w:rPr>
              <w:t>（1）项目所在区域达标判断</w:t>
            </w:r>
          </w:p>
          <w:p w14:paraId="3FC87548">
            <w:pPr>
              <w:spacing w:line="360" w:lineRule="auto"/>
              <w:ind w:firstLine="480" w:firstLineChars="200"/>
              <w:rPr>
                <w:sz w:val="24"/>
              </w:rPr>
            </w:pPr>
            <w:r>
              <w:rPr>
                <w:sz w:val="24"/>
              </w:rPr>
              <w:t>根据《环境影响评价技术导则-大气环境》（HJ2.2-2018）</w:t>
            </w:r>
            <w:r>
              <w:rPr>
                <w:rFonts w:hint="eastAsia"/>
                <w:sz w:val="24"/>
              </w:rPr>
              <w:t>：“</w:t>
            </w:r>
            <w:r>
              <w:rPr>
                <w:sz w:val="24"/>
              </w:rPr>
              <w:t>6.2.1.1项目所在区域达标判定，优先采用国家或地方生态环境主管部门公开发布的评价基准年环境质量公告或环境质量报告中</w:t>
            </w:r>
            <w:r>
              <w:rPr>
                <w:rFonts w:hint="eastAsia"/>
                <w:sz w:val="24"/>
              </w:rPr>
              <w:t>的数据或结论。”</w:t>
            </w:r>
          </w:p>
          <w:p w14:paraId="256F7009">
            <w:pPr>
              <w:spacing w:line="360" w:lineRule="auto"/>
              <w:ind w:firstLine="480" w:firstLineChars="200"/>
              <w:rPr>
                <w:sz w:val="24"/>
              </w:rPr>
            </w:pPr>
            <w:r>
              <w:rPr>
                <w:sz w:val="24"/>
              </w:rPr>
              <w:t>本次评价基准年取</w:t>
            </w:r>
            <w:r>
              <w:rPr>
                <w:rFonts w:hint="eastAsia"/>
                <w:sz w:val="24"/>
              </w:rPr>
              <w:t>202</w:t>
            </w:r>
            <w:r>
              <w:rPr>
                <w:rFonts w:hint="eastAsia"/>
                <w:sz w:val="24"/>
                <w:lang w:val="en-US" w:eastAsia="zh-CN"/>
              </w:rPr>
              <w:t>4</w:t>
            </w:r>
            <w:r>
              <w:rPr>
                <w:sz w:val="24"/>
              </w:rPr>
              <w:t>年，城市环境空气质量达标情况评价指标中SO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、CO和O</w:t>
            </w:r>
            <w:r>
              <w:rPr>
                <w:sz w:val="24"/>
                <w:vertAlign w:val="subscript"/>
              </w:rPr>
              <w:t>3</w:t>
            </w:r>
            <w:r>
              <w:rPr>
                <w:sz w:val="24"/>
              </w:rPr>
              <w:t>引用</w:t>
            </w:r>
            <w:r>
              <w:rPr>
                <w:rFonts w:hint="eastAsia"/>
                <w:sz w:val="24"/>
              </w:rPr>
              <w:t>202</w:t>
            </w:r>
            <w:r>
              <w:rPr>
                <w:rFonts w:hint="eastAsia"/>
                <w:sz w:val="24"/>
                <w:lang w:val="en-US" w:eastAsia="zh-CN"/>
              </w:rPr>
              <w:t>4</w:t>
            </w:r>
            <w:r>
              <w:rPr>
                <w:sz w:val="24"/>
              </w:rPr>
              <w:t>年淮北市环境质量状况公报中数据。项目区域环境空气执行《环境空气质量标准》（GB3095-2012）中二级标准及修改单</w:t>
            </w:r>
            <w:r>
              <w:rPr>
                <w:rFonts w:hint="eastAsia"/>
                <w:sz w:val="24"/>
                <w:lang w:val="en-US" w:eastAsia="zh-CN"/>
              </w:rPr>
              <w:t>要求</w:t>
            </w:r>
            <w:r>
              <w:rPr>
                <w:sz w:val="24"/>
              </w:rPr>
              <w:t>。</w:t>
            </w:r>
          </w:p>
          <w:p w14:paraId="534BFB89">
            <w:pPr>
              <w:pStyle w:val="57"/>
              <w:spacing w:line="360" w:lineRule="auto"/>
              <w:ind w:firstLine="480" w:firstLineChars="200"/>
              <w:rPr>
                <w:rFonts w:hint="eastAsia"/>
                <w:color w:val="auto"/>
              </w:rPr>
            </w:pPr>
            <w:r>
              <w:rPr>
                <w:rFonts w:hint="eastAsia"/>
                <w:color w:val="auto"/>
              </w:rPr>
              <w:t>淮北市</w:t>
            </w: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eastAsia"/>
                <w:color w:val="auto"/>
              </w:rPr>
              <w:t>年环境空气质量现状评价如下表：</w:t>
            </w:r>
          </w:p>
          <w:p w14:paraId="4DF619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r>
              <w:rPr>
                <w:rFonts w:ascii="Times New Roman" w:hAnsi="Times New Roman"/>
                <w:b/>
                <w:bCs/>
                <w:sz w:val="21"/>
                <w:szCs w:val="21"/>
                <w:lang w:val="zh-CN"/>
              </w:rPr>
              <w:t>表</w:t>
            </w:r>
            <w:r>
              <w:rPr>
                <w:rFonts w:ascii="Times New Roman" w:hAnsi="Times New Roman"/>
                <w:b/>
                <w:bCs/>
                <w:sz w:val="21"/>
                <w:szCs w:val="21"/>
              </w:rPr>
              <w:t>3</w:t>
            </w:r>
            <w:r>
              <w:rPr>
                <w:rFonts w:hint="eastAsia" w:ascii="Times New Roman" w:hAnsi="Times New Roman"/>
                <w:b/>
                <w:bCs/>
                <w:sz w:val="21"/>
                <w:szCs w:val="21"/>
                <w:lang w:val="en-US" w:eastAsia="zh-CN"/>
              </w:rPr>
              <w:t>-</w:t>
            </w:r>
            <w:r>
              <w:rPr>
                <w:rFonts w:ascii="Times New Roman" w:hAnsi="Times New Roman"/>
                <w:b/>
                <w:bCs/>
                <w:sz w:val="21"/>
                <w:szCs w:val="21"/>
              </w:rPr>
              <w:t>1</w:t>
            </w:r>
            <w:r>
              <w:rPr>
                <w:rFonts w:hint="default" w:ascii="Times New Roman" w:hAnsi="Times New Roman" w:eastAsia="宋体" w:cs="Times New Roman"/>
                <w:b/>
                <w:bCs/>
                <w:color w:val="auto"/>
                <w:sz w:val="22"/>
                <w:szCs w:val="22"/>
                <w:lang w:val="en-US" w:eastAsia="zh-CN"/>
              </w:rPr>
              <w:t>大气基本污染物环境质量现状</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150"/>
              <w:gridCol w:w="1297"/>
              <w:gridCol w:w="1332"/>
              <w:gridCol w:w="1226"/>
            </w:tblGrid>
            <w:tr w14:paraId="7E59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75" w:type="pct"/>
                  <w:noWrap w:val="0"/>
                  <w:vAlign w:val="center"/>
                </w:tcPr>
                <w:p w14:paraId="3077B8E0">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污染物</w:t>
                  </w:r>
                </w:p>
              </w:tc>
              <w:tc>
                <w:tcPr>
                  <w:tcW w:w="1989" w:type="pct"/>
                  <w:noWrap w:val="0"/>
                  <w:vAlign w:val="center"/>
                </w:tcPr>
                <w:p w14:paraId="1713FAEE">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年评价指标</w:t>
                  </w:r>
                </w:p>
              </w:tc>
              <w:tc>
                <w:tcPr>
                  <w:tcW w:w="819" w:type="pct"/>
                  <w:noWrap w:val="0"/>
                  <w:vAlign w:val="center"/>
                </w:tcPr>
                <w:p w14:paraId="403C7ADF">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现状浓度/（μg/m³）</w:t>
                  </w:r>
                </w:p>
              </w:tc>
              <w:tc>
                <w:tcPr>
                  <w:tcW w:w="841" w:type="pct"/>
                  <w:noWrap w:val="0"/>
                  <w:vAlign w:val="center"/>
                </w:tcPr>
                <w:p w14:paraId="2E57D7D7">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标准值（μg/m³）</w:t>
                  </w:r>
                </w:p>
              </w:tc>
              <w:tc>
                <w:tcPr>
                  <w:tcW w:w="774" w:type="pct"/>
                  <w:noWrap w:val="0"/>
                  <w:vAlign w:val="center"/>
                </w:tcPr>
                <w:p w14:paraId="45CA9220">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达标情况</w:t>
                  </w:r>
                </w:p>
              </w:tc>
            </w:tr>
            <w:tr w14:paraId="527E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35BFC836">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SO</w:t>
                  </w:r>
                  <w:r>
                    <w:rPr>
                      <w:rFonts w:hint="default" w:ascii="Times New Roman" w:hAnsi="Times New Roman" w:eastAsia="宋体" w:cs="Times New Roman"/>
                      <w:color w:val="000000"/>
                      <w:kern w:val="0"/>
                      <w:sz w:val="21"/>
                      <w:szCs w:val="21"/>
                      <w:highlight w:val="none"/>
                      <w:vertAlign w:val="subscript"/>
                      <w:lang w:val="en-US" w:eastAsia="zh-CN" w:bidi="ar-SA"/>
                    </w:rPr>
                    <w:t>2</w:t>
                  </w:r>
                </w:p>
              </w:tc>
              <w:tc>
                <w:tcPr>
                  <w:tcW w:w="1989" w:type="pct"/>
                  <w:noWrap w:val="0"/>
                  <w:vAlign w:val="center"/>
                </w:tcPr>
                <w:p w14:paraId="06E7D608">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年平均浓度</w:t>
                  </w:r>
                </w:p>
              </w:tc>
              <w:tc>
                <w:tcPr>
                  <w:tcW w:w="819" w:type="pct"/>
                  <w:noWrap w:val="0"/>
                  <w:vAlign w:val="center"/>
                </w:tcPr>
                <w:p w14:paraId="111442E3">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6</w:t>
                  </w:r>
                </w:p>
              </w:tc>
              <w:tc>
                <w:tcPr>
                  <w:tcW w:w="841" w:type="pct"/>
                  <w:noWrap w:val="0"/>
                  <w:vAlign w:val="center"/>
                </w:tcPr>
                <w:p w14:paraId="436796C6">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60</w:t>
                  </w:r>
                </w:p>
              </w:tc>
              <w:tc>
                <w:tcPr>
                  <w:tcW w:w="774" w:type="pct"/>
                  <w:noWrap w:val="0"/>
                  <w:vAlign w:val="center"/>
                </w:tcPr>
                <w:p w14:paraId="0FAA2FDA">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达标</w:t>
                  </w:r>
                </w:p>
              </w:tc>
            </w:tr>
            <w:tr w14:paraId="7E36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65B51AFF">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NO</w:t>
                  </w:r>
                  <w:r>
                    <w:rPr>
                      <w:rFonts w:hint="default" w:ascii="Times New Roman" w:hAnsi="Times New Roman" w:eastAsia="宋体" w:cs="Times New Roman"/>
                      <w:color w:val="000000"/>
                      <w:kern w:val="0"/>
                      <w:sz w:val="21"/>
                      <w:szCs w:val="21"/>
                      <w:highlight w:val="none"/>
                      <w:vertAlign w:val="subscript"/>
                      <w:lang w:val="en-US" w:eastAsia="zh-CN" w:bidi="ar-SA"/>
                    </w:rPr>
                    <w:t>2</w:t>
                  </w:r>
                </w:p>
              </w:tc>
              <w:tc>
                <w:tcPr>
                  <w:tcW w:w="1989" w:type="pct"/>
                  <w:noWrap w:val="0"/>
                  <w:vAlign w:val="center"/>
                </w:tcPr>
                <w:p w14:paraId="036BEE5E">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年平均浓度</w:t>
                  </w:r>
                </w:p>
              </w:tc>
              <w:tc>
                <w:tcPr>
                  <w:tcW w:w="819" w:type="pct"/>
                  <w:noWrap w:val="0"/>
                  <w:vAlign w:val="center"/>
                </w:tcPr>
                <w:p w14:paraId="6AE6DB70">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19</w:t>
                  </w:r>
                </w:p>
              </w:tc>
              <w:tc>
                <w:tcPr>
                  <w:tcW w:w="841" w:type="pct"/>
                  <w:noWrap w:val="0"/>
                  <w:vAlign w:val="center"/>
                </w:tcPr>
                <w:p w14:paraId="29836721">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40</w:t>
                  </w:r>
                </w:p>
              </w:tc>
              <w:tc>
                <w:tcPr>
                  <w:tcW w:w="774" w:type="pct"/>
                  <w:noWrap w:val="0"/>
                  <w:vAlign w:val="center"/>
                </w:tcPr>
                <w:p w14:paraId="61CDFDC0">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达标</w:t>
                  </w:r>
                </w:p>
              </w:tc>
            </w:tr>
            <w:tr w14:paraId="6718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2C990E52">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PM</w:t>
                  </w:r>
                  <w:r>
                    <w:rPr>
                      <w:rFonts w:hint="default" w:ascii="Times New Roman" w:hAnsi="Times New Roman" w:eastAsia="宋体" w:cs="Times New Roman"/>
                      <w:color w:val="000000"/>
                      <w:kern w:val="0"/>
                      <w:sz w:val="21"/>
                      <w:szCs w:val="21"/>
                      <w:highlight w:val="none"/>
                      <w:vertAlign w:val="subscript"/>
                      <w:lang w:val="en-US" w:eastAsia="zh-CN" w:bidi="ar-SA"/>
                    </w:rPr>
                    <w:t>10</w:t>
                  </w:r>
                </w:p>
              </w:tc>
              <w:tc>
                <w:tcPr>
                  <w:tcW w:w="1989" w:type="pct"/>
                  <w:noWrap w:val="0"/>
                  <w:vAlign w:val="center"/>
                </w:tcPr>
                <w:p w14:paraId="227B1F86">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年平均浓度</w:t>
                  </w:r>
                </w:p>
              </w:tc>
              <w:tc>
                <w:tcPr>
                  <w:tcW w:w="819" w:type="pct"/>
                  <w:noWrap w:val="0"/>
                  <w:vAlign w:val="center"/>
                </w:tcPr>
                <w:p w14:paraId="042F5C5E">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70</w:t>
                  </w:r>
                </w:p>
              </w:tc>
              <w:tc>
                <w:tcPr>
                  <w:tcW w:w="841" w:type="pct"/>
                  <w:noWrap w:val="0"/>
                  <w:vAlign w:val="center"/>
                </w:tcPr>
                <w:p w14:paraId="1DB1F79E">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70</w:t>
                  </w:r>
                </w:p>
              </w:tc>
              <w:tc>
                <w:tcPr>
                  <w:tcW w:w="774" w:type="pct"/>
                  <w:noWrap w:val="0"/>
                  <w:vAlign w:val="center"/>
                </w:tcPr>
                <w:p w14:paraId="6E92DB7E">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达标</w:t>
                  </w:r>
                </w:p>
              </w:tc>
            </w:tr>
            <w:tr w14:paraId="7833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2458928B">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CO</w:t>
                  </w:r>
                </w:p>
              </w:tc>
              <w:tc>
                <w:tcPr>
                  <w:tcW w:w="1989" w:type="pct"/>
                  <w:noWrap w:val="0"/>
                  <w:vAlign w:val="center"/>
                </w:tcPr>
                <w:p w14:paraId="22D1E738">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24h平均浓度第95百分位数</w:t>
                  </w:r>
                </w:p>
              </w:tc>
              <w:tc>
                <w:tcPr>
                  <w:tcW w:w="819" w:type="pct"/>
                  <w:noWrap w:val="0"/>
                  <w:vAlign w:val="center"/>
                </w:tcPr>
                <w:p w14:paraId="48FF1360">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1.0</w:t>
                  </w:r>
                  <w:r>
                    <w:rPr>
                      <w:rFonts w:hint="default" w:ascii="Times New Roman" w:hAnsi="Times New Roman" w:eastAsia="宋体" w:cs="Times New Roman"/>
                      <w:color w:val="000000"/>
                      <w:kern w:val="0"/>
                      <w:sz w:val="21"/>
                      <w:szCs w:val="21"/>
                      <w:highlight w:val="none"/>
                      <w:lang w:val="en-US" w:eastAsia="zh-CN" w:bidi="ar-SA"/>
                    </w:rPr>
                    <w:t>mg/m³</w:t>
                  </w:r>
                </w:p>
              </w:tc>
              <w:tc>
                <w:tcPr>
                  <w:tcW w:w="841" w:type="pct"/>
                  <w:noWrap w:val="0"/>
                  <w:vAlign w:val="center"/>
                </w:tcPr>
                <w:p w14:paraId="54A8B228">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4mg/m³</w:t>
                  </w:r>
                </w:p>
              </w:tc>
              <w:tc>
                <w:tcPr>
                  <w:tcW w:w="774" w:type="pct"/>
                  <w:noWrap w:val="0"/>
                  <w:vAlign w:val="center"/>
                </w:tcPr>
                <w:p w14:paraId="329A7191">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达标</w:t>
                  </w:r>
                </w:p>
              </w:tc>
            </w:tr>
            <w:tr w14:paraId="586B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14:paraId="34C85165">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O</w:t>
                  </w:r>
                  <w:r>
                    <w:rPr>
                      <w:rFonts w:hint="default" w:ascii="Times New Roman" w:hAnsi="Times New Roman" w:eastAsia="宋体" w:cs="Times New Roman"/>
                      <w:color w:val="000000"/>
                      <w:kern w:val="0"/>
                      <w:sz w:val="21"/>
                      <w:szCs w:val="21"/>
                      <w:highlight w:val="none"/>
                      <w:vertAlign w:val="subscript"/>
                      <w:lang w:val="en-US" w:eastAsia="zh-CN" w:bidi="ar-SA"/>
                    </w:rPr>
                    <w:t>3</w:t>
                  </w:r>
                </w:p>
              </w:tc>
              <w:tc>
                <w:tcPr>
                  <w:tcW w:w="1989" w:type="pct"/>
                  <w:noWrap w:val="0"/>
                  <w:vAlign w:val="center"/>
                </w:tcPr>
                <w:p w14:paraId="797EAAB1">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最大8h平均浓度第90百分位数</w:t>
                  </w:r>
                </w:p>
              </w:tc>
              <w:tc>
                <w:tcPr>
                  <w:tcW w:w="819" w:type="pct"/>
                  <w:noWrap w:val="0"/>
                  <w:vAlign w:val="center"/>
                </w:tcPr>
                <w:p w14:paraId="4B93A39F">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175</w:t>
                  </w:r>
                </w:p>
              </w:tc>
              <w:tc>
                <w:tcPr>
                  <w:tcW w:w="841" w:type="pct"/>
                  <w:noWrap w:val="0"/>
                  <w:vAlign w:val="center"/>
                </w:tcPr>
                <w:p w14:paraId="7E08C39E">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160</w:t>
                  </w:r>
                </w:p>
              </w:tc>
              <w:tc>
                <w:tcPr>
                  <w:tcW w:w="774" w:type="pct"/>
                  <w:noWrap w:val="0"/>
                  <w:vAlign w:val="center"/>
                </w:tcPr>
                <w:p w14:paraId="4623180C">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不达标</w:t>
                  </w:r>
                </w:p>
              </w:tc>
            </w:tr>
            <w:tr w14:paraId="4103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75" w:type="pct"/>
                  <w:noWrap w:val="0"/>
                  <w:vAlign w:val="center"/>
                </w:tcPr>
                <w:p w14:paraId="7751CCD3">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PM</w:t>
                  </w:r>
                  <w:r>
                    <w:rPr>
                      <w:rFonts w:hint="default" w:ascii="Times New Roman" w:hAnsi="Times New Roman" w:eastAsia="宋体" w:cs="Times New Roman"/>
                      <w:color w:val="000000"/>
                      <w:kern w:val="0"/>
                      <w:sz w:val="21"/>
                      <w:szCs w:val="21"/>
                      <w:highlight w:val="none"/>
                      <w:vertAlign w:val="subscript"/>
                      <w:lang w:val="en-US" w:eastAsia="zh-CN" w:bidi="ar-SA"/>
                    </w:rPr>
                    <w:t>2.5</w:t>
                  </w:r>
                </w:p>
              </w:tc>
              <w:tc>
                <w:tcPr>
                  <w:tcW w:w="1989" w:type="pct"/>
                  <w:noWrap w:val="0"/>
                  <w:vAlign w:val="center"/>
                </w:tcPr>
                <w:p w14:paraId="61B93965">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年平均浓度</w:t>
                  </w:r>
                </w:p>
              </w:tc>
              <w:tc>
                <w:tcPr>
                  <w:tcW w:w="819" w:type="pct"/>
                  <w:noWrap w:val="0"/>
                  <w:vAlign w:val="center"/>
                </w:tcPr>
                <w:p w14:paraId="6EB4BC99">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4</w:t>
                  </w:r>
                  <w:r>
                    <w:rPr>
                      <w:rFonts w:hint="eastAsia" w:cs="Times New Roman"/>
                      <w:color w:val="000000"/>
                      <w:kern w:val="0"/>
                      <w:sz w:val="21"/>
                      <w:szCs w:val="21"/>
                      <w:highlight w:val="none"/>
                      <w:lang w:val="en-US" w:eastAsia="zh-CN" w:bidi="ar-SA"/>
                    </w:rPr>
                    <w:t>3</w:t>
                  </w:r>
                </w:p>
              </w:tc>
              <w:tc>
                <w:tcPr>
                  <w:tcW w:w="841" w:type="pct"/>
                  <w:noWrap w:val="0"/>
                  <w:vAlign w:val="center"/>
                </w:tcPr>
                <w:p w14:paraId="192DE575">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35</w:t>
                  </w:r>
                </w:p>
              </w:tc>
              <w:tc>
                <w:tcPr>
                  <w:tcW w:w="774" w:type="pct"/>
                  <w:noWrap w:val="0"/>
                  <w:vAlign w:val="center"/>
                </w:tcPr>
                <w:p w14:paraId="53358B55">
                  <w:pPr>
                    <w:keepLines w:val="0"/>
                    <w:pageBreakBefore w:val="0"/>
                    <w:widowControl w:val="0"/>
                    <w:tabs>
                      <w:tab w:val="left" w:pos="893"/>
                    </w:tabs>
                    <w:kinsoku/>
                    <w:topLinePunct w:val="0"/>
                    <w:bidi w:val="0"/>
                    <w:adjustRightInd w:val="0"/>
                    <w:snapToGrid w:val="0"/>
                    <w:spacing w:before="60" w:beforeLines="0" w:after="100" w:afterLines="0" w:line="240" w:lineRule="auto"/>
                    <w:ind w:left="0" w:leftChars="0" w:firstLine="0" w:firstLineChars="0"/>
                    <w:jc w:val="center"/>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不达标</w:t>
                  </w:r>
                </w:p>
              </w:tc>
            </w:tr>
          </w:tbl>
          <w:p w14:paraId="27D5F7A2">
            <w:pPr>
              <w:keepNext w:val="0"/>
              <w:keepLines w:val="0"/>
              <w:pageBreakBefore w:val="0"/>
              <w:widowControl w:val="0"/>
              <w:kinsoku/>
              <w:wordWrap/>
              <w:overflowPunct/>
              <w:topLinePunct w:val="0"/>
              <w:autoSpaceDE/>
              <w:autoSpaceDN/>
              <w:bidi w:val="0"/>
              <w:adjustRightInd/>
              <w:snapToGrid/>
              <w:spacing w:beforeLines="0" w:afterLines="0" w:line="360" w:lineRule="auto"/>
              <w:ind w:firstLine="470" w:firstLineChars="196"/>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由上述数据可见，SO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、NO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、PM</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年平均浓度、CO</w:t>
            </w:r>
            <w:r>
              <w:rPr>
                <w:rFonts w:hint="eastAsia" w:cs="Times New Roman"/>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24小时平均浓度均能满足《环境空气质量标准》（GB3095-2012）二级标准；PM</w:t>
            </w:r>
            <w:r>
              <w:rPr>
                <w:rFonts w:hint="default" w:ascii="Times New Roman" w:hAnsi="Times New Roman" w:eastAsia="宋体" w:cs="Times New Roman"/>
                <w:color w:val="auto"/>
                <w:kern w:val="2"/>
                <w:sz w:val="24"/>
                <w:szCs w:val="24"/>
                <w:highlight w:val="none"/>
                <w:vertAlign w:val="subscript"/>
                <w:lang w:val="en-US" w:eastAsia="zh-CN" w:bidi="ar-SA"/>
              </w:rPr>
              <w:t>2.5</w:t>
            </w:r>
            <w:r>
              <w:rPr>
                <w:rFonts w:hint="default" w:ascii="Times New Roman" w:hAnsi="Times New Roman" w:eastAsia="宋体" w:cs="Times New Roman"/>
                <w:color w:val="auto"/>
                <w:kern w:val="2"/>
                <w:sz w:val="24"/>
                <w:szCs w:val="24"/>
                <w:highlight w:val="none"/>
                <w:lang w:val="en-US" w:eastAsia="zh-CN" w:bidi="ar-SA"/>
              </w:rPr>
              <w:t>年平均浓度</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O</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最大8h平均浓度均不能满足《环境空气质量标准》（GB3095-2012）</w:t>
            </w:r>
            <w:r>
              <w:rPr>
                <w:sz w:val="24"/>
              </w:rPr>
              <w:t>中二级标准</w:t>
            </w:r>
            <w:r>
              <w:rPr>
                <w:rFonts w:hint="default" w:ascii="Times New Roman" w:hAnsi="Times New Roman" w:eastAsia="宋体" w:cs="Times New Roman"/>
                <w:color w:val="auto"/>
                <w:kern w:val="2"/>
                <w:sz w:val="24"/>
                <w:szCs w:val="24"/>
                <w:highlight w:val="none"/>
                <w:lang w:val="en-US" w:eastAsia="zh-CN" w:bidi="ar-SA"/>
              </w:rPr>
              <w:t>及修改单</w:t>
            </w:r>
            <w:r>
              <w:rPr>
                <w:rFonts w:hint="eastAsia" w:cs="Times New Roman"/>
                <w:color w:val="auto"/>
                <w:kern w:val="2"/>
                <w:sz w:val="24"/>
                <w:szCs w:val="24"/>
                <w:highlight w:val="none"/>
                <w:lang w:val="en-US" w:eastAsia="zh-CN" w:bidi="ar-SA"/>
              </w:rPr>
              <w:t>要求</w:t>
            </w:r>
            <w:r>
              <w:rPr>
                <w:rFonts w:hint="default" w:ascii="Times New Roman" w:hAnsi="Times New Roman" w:eastAsia="宋体" w:cs="Times New Roman"/>
                <w:color w:val="auto"/>
                <w:kern w:val="2"/>
                <w:sz w:val="24"/>
                <w:szCs w:val="24"/>
                <w:highlight w:val="none"/>
                <w:lang w:val="en-US" w:eastAsia="zh-CN" w:bidi="ar-SA"/>
              </w:rPr>
              <w:t>。该区域为环境空气质量不达标区</w:t>
            </w:r>
            <w:r>
              <w:rPr>
                <w:rFonts w:hint="eastAsia" w:eastAsia="宋体" w:cs="Times New Roman"/>
                <w:color w:val="auto"/>
                <w:kern w:val="2"/>
                <w:sz w:val="24"/>
                <w:szCs w:val="24"/>
                <w:highlight w:val="none"/>
                <w:lang w:val="en-US" w:eastAsia="zh-CN" w:bidi="ar-SA"/>
              </w:rPr>
              <w:t>。</w:t>
            </w:r>
          </w:p>
          <w:p w14:paraId="364AB0CB">
            <w:pPr>
              <w:keepNext w:val="0"/>
              <w:keepLines w:val="0"/>
              <w:pageBreakBefore w:val="0"/>
              <w:widowControl w:val="0"/>
              <w:kinsoku/>
              <w:wordWrap/>
              <w:overflowPunct/>
              <w:topLinePunct w:val="0"/>
              <w:autoSpaceDE/>
              <w:autoSpaceDN/>
              <w:bidi w:val="0"/>
              <w:adjustRightInd/>
              <w:snapToGrid/>
              <w:spacing w:beforeLines="0" w:afterLines="0" w:line="360" w:lineRule="auto"/>
              <w:ind w:firstLine="470" w:firstLineChars="196"/>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（2）区域大气环境达标方案</w:t>
            </w:r>
          </w:p>
          <w:p w14:paraId="506C9236">
            <w:pPr>
              <w:keepNext w:val="0"/>
              <w:keepLines w:val="0"/>
              <w:pageBreakBefore w:val="0"/>
              <w:widowControl w:val="0"/>
              <w:kinsoku/>
              <w:wordWrap/>
              <w:overflowPunct/>
              <w:topLinePunct w:val="0"/>
              <w:autoSpaceDE/>
              <w:autoSpaceDN/>
              <w:bidi w:val="0"/>
              <w:adjustRightInd/>
              <w:snapToGrid/>
              <w:spacing w:beforeLines="0" w:afterLines="0" w:line="360" w:lineRule="auto"/>
              <w:ind w:firstLine="470" w:firstLineChars="196"/>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淮北市国民经济和社会发展第十四个五年规划和2035年远景目标纲要》提出：强化控煤、控气、控车、控尘、控烧措施，持续开展大气污染防治四个专项行动和秋冬季大气污染综合治理攻坚行动，推动大气主要污染物排放总量持续下降，加强大气污染物与温室气体协同减排，减轻臭氧污染危害。实施城市空气质量达标规划，推进PM</w:t>
            </w:r>
            <w:r>
              <w:rPr>
                <w:rFonts w:hint="default" w:ascii="Times New Roman" w:hAnsi="Times New Roman" w:cs="Times New Roman" w:eastAsiaTheme="minorEastAsia"/>
                <w:color w:val="auto"/>
                <w:sz w:val="24"/>
                <w:szCs w:val="24"/>
                <w:vertAlign w:val="subscript"/>
                <w:lang w:val="en-US" w:eastAsia="zh-CN"/>
              </w:rPr>
              <w:t>2.5</w:t>
            </w:r>
            <w:r>
              <w:rPr>
                <w:rFonts w:hint="default" w:ascii="Times New Roman" w:hAnsi="Times New Roman" w:cs="Times New Roman" w:eastAsiaTheme="minorEastAsia"/>
                <w:color w:val="auto"/>
                <w:sz w:val="24"/>
                <w:szCs w:val="24"/>
                <w:lang w:val="en-US" w:eastAsia="zh-CN"/>
              </w:rPr>
              <w:t>浓度持续下降。系统加强能源、工业、建设、交通农业等领域治理，督促企业加强除尘、脱硫、脱硝、VOCs污染治理设施建设运行维护和管理。加快推动重污染企业搬迁，推进重点企业污染治理升级改造持续推动消耗臭氧层物质淘汰管理。推进天然气利用，开展燃气锅炉低氮改造禁止建设企业自备燃煤设施。加强道路和生活小区的道路保洁，对露土区实施绿化覆盖。加强大气污染联防联控，加强细颗粒物和臭氧协同控制，建立监测预警体系，强化空气污染应急管理，积极应对气候变化，基本消除重污染天气。</w:t>
            </w:r>
          </w:p>
          <w:p w14:paraId="669376D9">
            <w:pPr>
              <w:keepNext w:val="0"/>
              <w:keepLines w:val="0"/>
              <w:pageBreakBefore w:val="0"/>
              <w:widowControl w:val="0"/>
              <w:kinsoku/>
              <w:wordWrap/>
              <w:overflowPunct/>
              <w:topLinePunct w:val="0"/>
              <w:autoSpaceDE/>
              <w:autoSpaceDN/>
              <w:bidi w:val="0"/>
              <w:adjustRightInd/>
              <w:snapToGrid/>
              <w:spacing w:beforeLines="0" w:afterLines="0" w:line="360" w:lineRule="auto"/>
              <w:ind w:firstLine="470" w:firstLineChars="19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特征污染物现状数据</w:t>
            </w:r>
          </w:p>
          <w:p w14:paraId="2839E4C0">
            <w:pPr>
              <w:keepNext w:val="0"/>
              <w:keepLines w:val="0"/>
              <w:pageBreakBefore w:val="0"/>
              <w:widowControl w:val="0"/>
              <w:kinsoku/>
              <w:wordWrap/>
              <w:overflowPunct/>
              <w:topLinePunct w:val="0"/>
              <w:autoSpaceDE/>
              <w:autoSpaceDN/>
              <w:bidi w:val="0"/>
              <w:adjustRightInd/>
              <w:snapToGrid/>
              <w:spacing w:beforeLines="0" w:afterLines="0" w:line="360" w:lineRule="auto"/>
              <w:ind w:firstLine="470" w:firstLineChars="19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本项目特征污染因子为</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color w:val="auto"/>
                <w:sz w:val="24"/>
                <w:szCs w:val="24"/>
              </w:rPr>
              <w:t>，根据《建设项目环境影响报告表编制技术指南（污染影响类）（试行）》</w:t>
            </w:r>
            <w:r>
              <w:rPr>
                <w:rFonts w:hint="default" w:ascii="Times New Roman" w:hAnsi="Times New Roman" w:eastAsia="宋体" w:cs="Times New Roman"/>
                <w:color w:val="auto"/>
                <w:sz w:val="24"/>
                <w:szCs w:val="24"/>
                <w:lang w:val="en-US" w:eastAsia="zh-CN"/>
              </w:rPr>
              <w:t>要求，</w:t>
            </w:r>
            <w:r>
              <w:rPr>
                <w:rFonts w:hint="default" w:ascii="Times New Roman" w:hAnsi="Times New Roman" w:eastAsia="宋体" w:cs="Times New Roman"/>
                <w:color w:val="auto"/>
                <w:sz w:val="24"/>
                <w:szCs w:val="24"/>
              </w:rPr>
              <w:t>排放国家、地方环境空气质量标准中有标准限值要求的特征污染物时，引用建设项目周边5千米范围内近3年的现有监测数据，无相关数据的选择当季主导风向下风向1个点位补充不少于3天的监测数据。</w:t>
            </w:r>
          </w:p>
          <w:p w14:paraId="58D3B6B2">
            <w:pPr>
              <w:keepNext w:val="0"/>
              <w:keepLines w:val="0"/>
              <w:pageBreakBefore w:val="0"/>
              <w:widowControl w:val="0"/>
              <w:kinsoku/>
              <w:wordWrap/>
              <w:overflowPunct/>
              <w:topLinePunct w:val="0"/>
              <w:autoSpaceDE/>
              <w:autoSpaceDN/>
              <w:bidi w:val="0"/>
              <w:adjustRightInd/>
              <w:snapToGrid/>
              <w:spacing w:beforeLines="0" w:afterLines="0" w:line="360" w:lineRule="auto"/>
              <w:ind w:firstLine="470" w:firstLineChars="19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特征</w:t>
            </w:r>
            <w:r>
              <w:rPr>
                <w:rFonts w:hint="default" w:ascii="Times New Roman" w:hAnsi="Times New Roman" w:eastAsia="宋体" w:cs="Times New Roman"/>
                <w:color w:val="auto"/>
                <w:sz w:val="24"/>
                <w:szCs w:val="24"/>
              </w:rPr>
              <w:t>污染物</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color w:val="auto"/>
                <w:sz w:val="24"/>
                <w:szCs w:val="24"/>
              </w:rPr>
              <w:t>现状数据引用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淮北市祥生阀门有限责任公司年产120万套阀门项目</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eastAsia="zh-CN"/>
              </w:rPr>
              <w:t>环境质量</w:t>
            </w:r>
            <w:r>
              <w:rPr>
                <w:rFonts w:hint="default" w:ascii="Times New Roman" w:hAnsi="Times New Roman" w:eastAsia="宋体" w:cs="Times New Roman"/>
                <w:color w:val="auto"/>
                <w:sz w:val="24"/>
                <w:szCs w:val="24"/>
                <w:lang w:val="en-US" w:eastAsia="zh-CN"/>
              </w:rPr>
              <w:t>监测数据。淮北市祥生阀门有限责任公司年产120万套阀门项目检测位置为李马庄（G1）距本项目距离约为4.1km，监测</w:t>
            </w:r>
            <w:r>
              <w:rPr>
                <w:rFonts w:hint="default" w:ascii="Times New Roman" w:hAnsi="Times New Roman" w:eastAsia="宋体" w:cs="Times New Roman"/>
                <w:color w:val="auto"/>
                <w:sz w:val="24"/>
                <w:szCs w:val="24"/>
              </w:rPr>
              <w:t>时间为202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13日~2025年1月15日</w:t>
            </w:r>
            <w:r>
              <w:rPr>
                <w:rFonts w:hint="default" w:ascii="Times New Roman" w:hAnsi="Times New Roman" w:eastAsia="宋体" w:cs="Times New Roman"/>
                <w:color w:val="auto"/>
                <w:sz w:val="24"/>
                <w:szCs w:val="24"/>
              </w:rPr>
              <w:t>，符合现状数据引用要求。</w:t>
            </w:r>
          </w:p>
          <w:p w14:paraId="294C71F4">
            <w:pPr>
              <w:keepNext w:val="0"/>
              <w:keepLines w:val="0"/>
              <w:pageBreakBefore w:val="0"/>
              <w:widowControl w:val="0"/>
              <w:kinsoku/>
              <w:wordWrap/>
              <w:overflowPunct/>
              <w:topLinePunct w:val="0"/>
              <w:autoSpaceDE/>
              <w:autoSpaceDN/>
              <w:bidi w:val="0"/>
              <w:adjustRightInd/>
              <w:snapToGrid/>
              <w:spacing w:beforeLines="0" w:afterLines="0" w:line="360" w:lineRule="auto"/>
              <w:ind w:firstLine="470" w:firstLineChars="196"/>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本次评价引用的</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color w:val="auto"/>
                <w:sz w:val="24"/>
                <w:szCs w:val="24"/>
              </w:rPr>
              <w:t>现状数据的监测点位均在本项目周边5 km范围内，且监测时间在3年内。因此，本次评价引用的</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color w:val="auto"/>
                <w:sz w:val="24"/>
                <w:szCs w:val="24"/>
              </w:rPr>
              <w:t>现状数据是可行的。监测结果如下表：</w:t>
            </w:r>
          </w:p>
          <w:p w14:paraId="5F937C7A">
            <w:pPr>
              <w:spacing w:line="240" w:lineRule="auto"/>
              <w:jc w:val="center"/>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表3-2</w:t>
            </w:r>
            <w:r>
              <w:rPr>
                <w:rFonts w:hint="eastAsia" w:cs="Times New Roman"/>
                <w:b/>
                <w:bCs w:val="0"/>
                <w:color w:val="auto"/>
                <w:kern w:val="2"/>
                <w:sz w:val="24"/>
                <w:szCs w:val="24"/>
                <w:lang w:val="en-US" w:eastAsia="zh-CN" w:bidi="ar-SA"/>
              </w:rPr>
              <w:t xml:space="preserve"> </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b/>
                <w:bCs w:val="0"/>
                <w:color w:val="auto"/>
                <w:kern w:val="2"/>
                <w:sz w:val="24"/>
                <w:szCs w:val="24"/>
                <w:lang w:val="en-US" w:eastAsia="zh-CN" w:bidi="ar-SA"/>
              </w:rPr>
              <w:t>检测结果单位：mg/m</w:t>
            </w:r>
            <w:r>
              <w:rPr>
                <w:rFonts w:hint="default" w:ascii="Times New Roman" w:hAnsi="Times New Roman" w:eastAsia="宋体" w:cs="Times New Roman"/>
                <w:b/>
                <w:bCs w:val="0"/>
                <w:color w:val="auto"/>
                <w:kern w:val="2"/>
                <w:sz w:val="24"/>
                <w:szCs w:val="24"/>
                <w:vertAlign w:val="superscript"/>
                <w:lang w:val="en-US" w:eastAsia="zh-CN" w:bidi="ar-SA"/>
              </w:rPr>
              <w:t>3</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319"/>
              <w:gridCol w:w="1319"/>
              <w:gridCol w:w="1320"/>
              <w:gridCol w:w="1320"/>
              <w:gridCol w:w="1321"/>
            </w:tblGrid>
            <w:tr w14:paraId="0D49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 w:hRule="atLeast"/>
                <w:jc w:val="center"/>
              </w:trPr>
              <w:tc>
                <w:tcPr>
                  <w:tcW w:w="1393" w:type="dxa"/>
                  <w:noWrap w:val="0"/>
                  <w:vAlign w:val="center"/>
                </w:tcPr>
                <w:p w14:paraId="0336A6F8">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监测点位</w:t>
                  </w:r>
                </w:p>
              </w:tc>
              <w:tc>
                <w:tcPr>
                  <w:tcW w:w="1396" w:type="dxa"/>
                  <w:noWrap w:val="0"/>
                  <w:vAlign w:val="center"/>
                </w:tcPr>
                <w:p w14:paraId="039C39E2">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检测时间</w:t>
                  </w:r>
                </w:p>
              </w:tc>
              <w:tc>
                <w:tcPr>
                  <w:tcW w:w="1396" w:type="dxa"/>
                  <w:noWrap w:val="0"/>
                  <w:vAlign w:val="center"/>
                </w:tcPr>
                <w:p w14:paraId="5ECE09E6">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检测项目</w:t>
                  </w:r>
                </w:p>
              </w:tc>
              <w:tc>
                <w:tcPr>
                  <w:tcW w:w="1397" w:type="dxa"/>
                  <w:noWrap w:val="0"/>
                  <w:vAlign w:val="center"/>
                </w:tcPr>
                <w:p w14:paraId="75AB5C88">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检测结果</w:t>
                  </w:r>
                </w:p>
              </w:tc>
              <w:tc>
                <w:tcPr>
                  <w:tcW w:w="1397" w:type="dxa"/>
                  <w:noWrap w:val="0"/>
                  <w:vAlign w:val="center"/>
                </w:tcPr>
                <w:p w14:paraId="07009CE1">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最大浓度占标率%</w:t>
                  </w:r>
                </w:p>
              </w:tc>
              <w:tc>
                <w:tcPr>
                  <w:tcW w:w="1397" w:type="dxa"/>
                  <w:noWrap w:val="0"/>
                  <w:vAlign w:val="center"/>
                </w:tcPr>
                <w:p w14:paraId="7E860217">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超标率%</w:t>
                  </w:r>
                </w:p>
              </w:tc>
            </w:tr>
            <w:tr w14:paraId="26B7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1393" w:type="dxa"/>
                  <w:vMerge w:val="restart"/>
                  <w:noWrap w:val="0"/>
                  <w:vAlign w:val="center"/>
                </w:tcPr>
                <w:p w14:paraId="7C412A04">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李马庄</w:t>
                  </w:r>
                </w:p>
              </w:tc>
              <w:tc>
                <w:tcPr>
                  <w:tcW w:w="1396" w:type="dxa"/>
                  <w:noWrap w:val="0"/>
                  <w:vAlign w:val="center"/>
                </w:tcPr>
                <w:p w14:paraId="0CF2E775">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01月13日</w:t>
                  </w:r>
                </w:p>
              </w:tc>
              <w:tc>
                <w:tcPr>
                  <w:tcW w:w="1396" w:type="dxa"/>
                  <w:vMerge w:val="restart"/>
                  <w:noWrap w:val="0"/>
                  <w:vAlign w:val="center"/>
                </w:tcPr>
                <w:p w14:paraId="0CEAAD9F">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TSP（μg/m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3</w:t>
                  </w:r>
                  <w:r>
                    <w:rPr>
                      <w:rFonts w:hint="default" w:ascii="Times New Roman" w:hAnsi="Times New Roman" w:eastAsia="宋体" w:cs="Times New Roman"/>
                      <w:b w:val="0"/>
                      <w:bCs w:val="0"/>
                      <w:color w:val="auto"/>
                      <w:kern w:val="0"/>
                      <w:sz w:val="21"/>
                      <w:szCs w:val="21"/>
                      <w:highlight w:val="none"/>
                      <w:lang w:val="en-US" w:eastAsia="zh-CN" w:bidi="ar-SA"/>
                    </w:rPr>
                    <w:t>）</w:t>
                  </w:r>
                </w:p>
              </w:tc>
              <w:tc>
                <w:tcPr>
                  <w:tcW w:w="1397" w:type="dxa"/>
                  <w:noWrap w:val="0"/>
                  <w:vAlign w:val="center"/>
                </w:tcPr>
                <w:p w14:paraId="3035B956">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124</w:t>
                  </w:r>
                </w:p>
              </w:tc>
              <w:tc>
                <w:tcPr>
                  <w:tcW w:w="1397" w:type="dxa"/>
                  <w:vMerge w:val="restart"/>
                  <w:noWrap w:val="0"/>
                  <w:vAlign w:val="center"/>
                </w:tcPr>
                <w:p w14:paraId="1740034C">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45.3</w:t>
                  </w:r>
                </w:p>
              </w:tc>
              <w:tc>
                <w:tcPr>
                  <w:tcW w:w="1397" w:type="dxa"/>
                  <w:vMerge w:val="restart"/>
                  <w:noWrap w:val="0"/>
                  <w:vAlign w:val="center"/>
                </w:tcPr>
                <w:p w14:paraId="5661B09B">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0</w:t>
                  </w:r>
                </w:p>
              </w:tc>
            </w:tr>
            <w:tr w14:paraId="7611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93" w:type="dxa"/>
                  <w:vMerge w:val="continue"/>
                  <w:noWrap w:val="0"/>
                  <w:vAlign w:val="center"/>
                </w:tcPr>
                <w:p w14:paraId="1B76173E">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1396" w:type="dxa"/>
                  <w:noWrap w:val="0"/>
                  <w:vAlign w:val="center"/>
                </w:tcPr>
                <w:p w14:paraId="746B982D">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01月14日</w:t>
                  </w:r>
                </w:p>
              </w:tc>
              <w:tc>
                <w:tcPr>
                  <w:tcW w:w="1396" w:type="dxa"/>
                  <w:vMerge w:val="continue"/>
                  <w:noWrap w:val="0"/>
                  <w:vAlign w:val="center"/>
                </w:tcPr>
                <w:p w14:paraId="21D1E233">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1397" w:type="dxa"/>
                  <w:noWrap w:val="0"/>
                  <w:vAlign w:val="center"/>
                </w:tcPr>
                <w:p w14:paraId="5816B294">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136</w:t>
                  </w:r>
                </w:p>
              </w:tc>
              <w:tc>
                <w:tcPr>
                  <w:tcW w:w="1397" w:type="dxa"/>
                  <w:vMerge w:val="continue"/>
                  <w:noWrap w:val="0"/>
                  <w:vAlign w:val="center"/>
                </w:tcPr>
                <w:p w14:paraId="79176796">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1397" w:type="dxa"/>
                  <w:vMerge w:val="continue"/>
                  <w:noWrap w:val="0"/>
                  <w:vAlign w:val="center"/>
                </w:tcPr>
                <w:p w14:paraId="77C71F54">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p>
              </w:tc>
            </w:tr>
            <w:tr w14:paraId="4DDF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93" w:type="dxa"/>
                  <w:vMerge w:val="continue"/>
                  <w:noWrap w:val="0"/>
                  <w:vAlign w:val="center"/>
                </w:tcPr>
                <w:p w14:paraId="15F34DEA">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1396" w:type="dxa"/>
                  <w:noWrap w:val="0"/>
                  <w:vAlign w:val="center"/>
                </w:tcPr>
                <w:p w14:paraId="5164EC2F">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01月15日</w:t>
                  </w:r>
                </w:p>
              </w:tc>
              <w:tc>
                <w:tcPr>
                  <w:tcW w:w="1396" w:type="dxa"/>
                  <w:vMerge w:val="continue"/>
                  <w:noWrap w:val="0"/>
                  <w:vAlign w:val="center"/>
                </w:tcPr>
                <w:p w14:paraId="5498E01C">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1397" w:type="dxa"/>
                  <w:noWrap w:val="0"/>
                  <w:vAlign w:val="center"/>
                </w:tcPr>
                <w:p w14:paraId="2D64E19C">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130</w:t>
                  </w:r>
                </w:p>
              </w:tc>
              <w:tc>
                <w:tcPr>
                  <w:tcW w:w="1397" w:type="dxa"/>
                  <w:vMerge w:val="continue"/>
                  <w:noWrap w:val="0"/>
                  <w:vAlign w:val="center"/>
                </w:tcPr>
                <w:p w14:paraId="6E24350A">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1397" w:type="dxa"/>
                  <w:vMerge w:val="continue"/>
                  <w:noWrap w:val="0"/>
                  <w:vAlign w:val="center"/>
                </w:tcPr>
                <w:p w14:paraId="77560739">
                  <w:pPr>
                    <w:keepLines w:val="0"/>
                    <w:pageBreakBefore w:val="0"/>
                    <w:widowControl w:val="0"/>
                    <w:tabs>
                      <w:tab w:val="left" w:pos="893"/>
                    </w:tabs>
                    <w:kinsoku/>
                    <w:topLinePunct w:val="0"/>
                    <w:bidi w:val="0"/>
                    <w:adjustRightInd w:val="0"/>
                    <w:snapToGrid w:val="0"/>
                    <w:spacing w:before="60" w:beforeLines="0" w:after="100" w:afterLines="0" w:line="240" w:lineRule="auto"/>
                    <w:ind w:lef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p>
              </w:tc>
            </w:tr>
          </w:tbl>
          <w:p w14:paraId="54FA3E29">
            <w:pPr>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由上表可知，监测期间评价区TSP的日均浓度均能够满足《环境空气质量标准》（GB 3095-2012）及2018年修改单中二级标准中相关限值的要求。</w:t>
            </w:r>
          </w:p>
          <w:p w14:paraId="42BAE0C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二、地表水</w:t>
            </w:r>
          </w:p>
          <w:p w14:paraId="5066A38B">
            <w:pPr>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根据《202</w:t>
            </w:r>
            <w:r>
              <w:rPr>
                <w:rFonts w:hint="eastAsia"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年度淮北市生态环境状况公报》：</w:t>
            </w:r>
            <w:r>
              <w:rPr>
                <w:rFonts w:hint="default" w:ascii="Times New Roman" w:hAnsi="Times New Roman" w:eastAsia="宋体" w:cs="Times New Roman"/>
                <w:color w:val="auto"/>
                <w:sz w:val="24"/>
                <w:szCs w:val="24"/>
                <w:lang w:val="en-US" w:eastAsia="zh-CN"/>
              </w:rPr>
              <w:t>2024年淮北市地表水共监测27个断面，地表水环境质量总体为轻度污染，水质指数为4.8313。水质达到Ⅲ类比例为29.6%（8个），Ⅳ类水质断面占66.7%（18个），Ⅴ类水质断面占3.7%（1个），无劣Ⅴ类断面，主要污染指标为化学需氧量、氟化物和高锰酸盐指数。</w:t>
            </w:r>
          </w:p>
          <w:p w14:paraId="219C5D7B">
            <w:pPr>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auto"/>
                <w:sz w:val="24"/>
                <w:szCs w:val="24"/>
                <w:lang w:val="en-US" w:eastAsia="zh-CN"/>
              </w:rPr>
              <w:t>2024年水污染防治考核目标责任书确定的淮北市4个国控地表水考核断面中，扣除氟化物本底值影响后，水质达标率为50%。浍河东坪集断面水质（出境，Ⅲ类）和澥河李大桥闸断面水质（出境，Ⅲ类）达标，萧濉新河符离闸断面水质（出境，Ⅳ类）和沱河后常桥断面水质（出境，Ⅳ类）未达标。</w:t>
            </w:r>
          </w:p>
          <w:p w14:paraId="5A8F422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三、地下水</w:t>
            </w:r>
          </w:p>
          <w:p w14:paraId="428540C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本项目区域地下水现状数据引用《淮北市202</w:t>
            </w:r>
            <w:r>
              <w:rPr>
                <w:rFonts w:hint="eastAsia" w:cs="Times New Roman"/>
                <w:sz w:val="24"/>
                <w:szCs w:val="24"/>
                <w:lang w:val="en-US" w:eastAsia="zh-CN"/>
              </w:rPr>
              <w:t>4</w:t>
            </w:r>
            <w:r>
              <w:rPr>
                <w:rFonts w:hint="default" w:ascii="Times New Roman" w:hAnsi="Times New Roman" w:cs="Times New Roman"/>
                <w:sz w:val="24"/>
                <w:szCs w:val="24"/>
                <w:lang w:val="en-US" w:eastAsia="zh-CN"/>
              </w:rPr>
              <w:t>年度生态环境状况公报》，具体数据如下：</w:t>
            </w:r>
          </w:p>
          <w:p w14:paraId="1ED1D386">
            <w:pPr>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2024年淮北市城市集中饮用水源地（地下水）监测指标均达到《地下水质量标准》GB/T14848-2017中Ⅲ类标准，2024年淮北市饮用水源地（地下水）取水总量为1416万吨，饮用水源地（地下水）水质达标率为100%。</w:t>
            </w:r>
          </w:p>
          <w:p w14:paraId="20D8B60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四、噪声环境</w:t>
            </w:r>
          </w:p>
          <w:p w14:paraId="0FCFA282">
            <w:pPr>
              <w:pageBreakBefore w:val="0"/>
              <w:kinsoku/>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lang w:val="en-US" w:eastAsia="zh-CN"/>
              </w:rPr>
            </w:pPr>
            <w:r>
              <w:rPr>
                <w:rFonts w:hint="default" w:ascii="Times New Roman" w:hAnsi="Times New Roman" w:eastAsia="宋体" w:cs="Times New Roman"/>
                <w:b w:val="0"/>
                <w:bCs w:val="0"/>
                <w:color w:val="auto"/>
                <w:kern w:val="0"/>
                <w:sz w:val="24"/>
                <w:lang w:val="en-US" w:eastAsia="zh-CN"/>
              </w:rPr>
              <w:t>本评价项目所在区域为《声环境质量标准》（GB3096-2008）中的2类区。项目厂界外周边50米范围内无民房，无声环境保护目标，根据指南要求，无需进行声环境现状评价。</w:t>
            </w:r>
          </w:p>
          <w:p w14:paraId="5BCA02E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五、生态环境</w:t>
            </w:r>
          </w:p>
          <w:p w14:paraId="3AAF4AD9">
            <w:pPr>
              <w:keepLines w:val="0"/>
              <w:pageBreakBefore w:val="0"/>
              <w:kinsoku/>
              <w:topLinePunct w:val="0"/>
              <w:bidi w:val="0"/>
              <w:adjustRightInd w:val="0"/>
              <w:snapToGrid w:val="0"/>
              <w:spacing w:line="360" w:lineRule="auto"/>
              <w:ind w:firstLine="480" w:firstLineChars="200"/>
              <w:jc w:val="both"/>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sz w:val="24"/>
                <w:szCs w:val="24"/>
                <w:lang w:val="en-US" w:eastAsia="zh-CN"/>
              </w:rPr>
              <w:t>本项目位于淮北市濉溪县，用地范围内不涉及野生保护动植物等生态环境保护目标。</w:t>
            </w:r>
          </w:p>
        </w:tc>
      </w:tr>
      <w:tr w14:paraId="1D478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14:paraId="32CB978B">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14:paraId="66D1BFC0">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14:paraId="454224C3">
            <w:pPr>
              <w:keepLines w:val="0"/>
              <w:pageBreakBefore w:val="0"/>
              <w:kinsoku/>
              <w:topLinePunct w:val="0"/>
              <w:bidi w:val="0"/>
              <w:adjustRightInd w:val="0"/>
              <w:snapToGrid w:val="0"/>
              <w:jc w:val="center"/>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目标</w:t>
            </w:r>
          </w:p>
        </w:tc>
        <w:tc>
          <w:tcPr>
            <w:tcW w:w="8190" w:type="dxa"/>
            <w:noWrap w:val="0"/>
            <w:vAlign w:val="top"/>
          </w:tcPr>
          <w:p w14:paraId="56ABD0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本项目位于安徽省淮北市濉溪县双堆集镇陈桥村，根据现场踏勘，确定项目环境保护目标见表3-</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。本项目周边状况图，详见附图8。</w:t>
            </w:r>
          </w:p>
          <w:p w14:paraId="06C65E98">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1、大气环境</w:t>
            </w:r>
          </w:p>
          <w:p w14:paraId="536FAE03">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项目厂界外500米范围内无自然保护区、风景名胜区、文化区等环境保护目标；项目厂界500米范围存在居住区</w:t>
            </w:r>
            <w:r>
              <w:rPr>
                <w:rFonts w:hint="default" w:ascii="Times New Roman" w:hAnsi="Times New Roman" w:eastAsia="宋体" w:cs="Times New Roman"/>
                <w:color w:val="auto"/>
                <w:sz w:val="24"/>
                <w:lang w:val="en-US" w:eastAsia="zh-CN"/>
              </w:rPr>
              <w:t>芦沟村</w:t>
            </w:r>
            <w:r>
              <w:rPr>
                <w:rFonts w:hint="eastAsia" w:cs="Times New Roman"/>
                <w:color w:val="auto"/>
                <w:sz w:val="24"/>
                <w:lang w:val="en-US" w:eastAsia="zh-CN"/>
              </w:rPr>
              <w:t>和朱醩坊</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属于大气环境保护目标</w:t>
            </w:r>
            <w:r>
              <w:rPr>
                <w:rFonts w:hint="default" w:ascii="Times New Roman" w:hAnsi="Times New Roman" w:eastAsia="宋体" w:cs="Times New Roman"/>
                <w:color w:val="auto"/>
                <w:sz w:val="24"/>
              </w:rPr>
              <w:t>。</w:t>
            </w:r>
          </w:p>
          <w:p w14:paraId="7093BB6F">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2、声环境</w:t>
            </w:r>
          </w:p>
          <w:p w14:paraId="17E8C02D">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项目厂界外50米范围内无声环境保护目标。</w:t>
            </w:r>
          </w:p>
          <w:p w14:paraId="6E707D3A">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3、地下水环境</w:t>
            </w:r>
          </w:p>
          <w:p w14:paraId="0AFD81CD">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项目厂界外500米范围内无地下水集中式饮用水水源和热水、矿泉水、温泉等特殊地下水资源。</w:t>
            </w:r>
          </w:p>
          <w:p w14:paraId="60A52CE7">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4、地表水</w:t>
            </w:r>
            <w:r>
              <w:rPr>
                <w:rFonts w:hint="default" w:ascii="Times New Roman" w:hAnsi="Times New Roman" w:eastAsia="宋体" w:cs="Times New Roman"/>
                <w:color w:val="auto"/>
                <w:sz w:val="24"/>
              </w:rPr>
              <w:t>环境</w:t>
            </w:r>
          </w:p>
          <w:p w14:paraId="0769CEBF">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区域地表水为澥河，澥河距离本项目约1800m。</w:t>
            </w:r>
          </w:p>
          <w:p w14:paraId="4931E0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表3-3主要环境保护目标表</w:t>
            </w:r>
          </w:p>
          <w:tbl>
            <w:tblPr>
              <w:tblStyle w:val="4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695"/>
              <w:gridCol w:w="696"/>
              <w:gridCol w:w="759"/>
              <w:gridCol w:w="884"/>
              <w:gridCol w:w="2107"/>
              <w:gridCol w:w="941"/>
              <w:gridCol w:w="1139"/>
            </w:tblGrid>
            <w:tr w14:paraId="0F57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37" w:type="pct"/>
                  <w:vMerge w:val="restart"/>
                  <w:noWrap w:val="0"/>
                  <w:vAlign w:val="center"/>
                </w:tcPr>
                <w:p w14:paraId="598A93F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类别</w:t>
                  </w:r>
                </w:p>
              </w:tc>
              <w:tc>
                <w:tcPr>
                  <w:tcW w:w="878" w:type="pct"/>
                  <w:gridSpan w:val="2"/>
                  <w:noWrap w:val="0"/>
                  <w:vAlign w:val="center"/>
                </w:tcPr>
                <w:p w14:paraId="44037FB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经纬度</w:t>
                  </w:r>
                </w:p>
              </w:tc>
              <w:tc>
                <w:tcPr>
                  <w:tcW w:w="479" w:type="pct"/>
                  <w:vMerge w:val="restart"/>
                  <w:noWrap w:val="0"/>
                  <w:vAlign w:val="center"/>
                </w:tcPr>
                <w:p w14:paraId="2C302B95">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名称</w:t>
                  </w:r>
                </w:p>
              </w:tc>
              <w:tc>
                <w:tcPr>
                  <w:tcW w:w="558" w:type="pct"/>
                  <w:vMerge w:val="restart"/>
                  <w:noWrap w:val="0"/>
                  <w:vAlign w:val="center"/>
                </w:tcPr>
                <w:p w14:paraId="01A00D4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保护对象</w:t>
                  </w:r>
                </w:p>
              </w:tc>
              <w:tc>
                <w:tcPr>
                  <w:tcW w:w="1331" w:type="pct"/>
                  <w:vMerge w:val="restart"/>
                  <w:noWrap w:val="0"/>
                  <w:vAlign w:val="center"/>
                </w:tcPr>
                <w:p w14:paraId="4954C127">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环境功能区</w:t>
                  </w:r>
                </w:p>
              </w:tc>
              <w:tc>
                <w:tcPr>
                  <w:tcW w:w="594" w:type="pct"/>
                  <w:vMerge w:val="restart"/>
                  <w:noWrap w:val="0"/>
                  <w:vAlign w:val="center"/>
                </w:tcPr>
                <w:p w14:paraId="33587D64">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相对厂址方位</w:t>
                  </w:r>
                </w:p>
              </w:tc>
              <w:tc>
                <w:tcPr>
                  <w:tcW w:w="719" w:type="pct"/>
                  <w:vMerge w:val="restart"/>
                  <w:noWrap w:val="0"/>
                  <w:vAlign w:val="center"/>
                </w:tcPr>
                <w:p w14:paraId="0F9F49A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相对厂界距离/m</w:t>
                  </w:r>
                </w:p>
              </w:tc>
            </w:tr>
            <w:tr w14:paraId="5EA2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29531A07">
                  <w:pPr>
                    <w:jc w:val="center"/>
                    <w:rPr>
                      <w:rFonts w:hint="default" w:ascii="Times New Roman" w:hAnsi="Times New Roman" w:eastAsia="宋体" w:cs="Times New Roman"/>
                      <w:color w:val="auto"/>
                      <w:lang w:val="en-US" w:eastAsia="zh-CN"/>
                    </w:rPr>
                  </w:pPr>
                </w:p>
              </w:tc>
              <w:tc>
                <w:tcPr>
                  <w:tcW w:w="439" w:type="pct"/>
                  <w:noWrap w:val="0"/>
                  <w:vAlign w:val="center"/>
                </w:tcPr>
                <w:p w14:paraId="39CF69B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经度</w:t>
                  </w:r>
                </w:p>
              </w:tc>
              <w:tc>
                <w:tcPr>
                  <w:tcW w:w="439" w:type="pct"/>
                  <w:noWrap w:val="0"/>
                  <w:vAlign w:val="center"/>
                </w:tcPr>
                <w:p w14:paraId="2BCFD6A4">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纬度</w:t>
                  </w:r>
                </w:p>
              </w:tc>
              <w:tc>
                <w:tcPr>
                  <w:tcW w:w="479" w:type="pct"/>
                  <w:vMerge w:val="continue"/>
                  <w:noWrap w:val="0"/>
                  <w:vAlign w:val="center"/>
                </w:tcPr>
                <w:p w14:paraId="51CE66BF">
                  <w:pPr>
                    <w:jc w:val="center"/>
                    <w:rPr>
                      <w:rFonts w:hint="default" w:ascii="Times New Roman" w:hAnsi="Times New Roman" w:eastAsia="宋体" w:cs="Times New Roman"/>
                      <w:color w:val="auto"/>
                      <w:lang w:val="en-US" w:eastAsia="zh-CN"/>
                    </w:rPr>
                  </w:pPr>
                </w:p>
              </w:tc>
              <w:tc>
                <w:tcPr>
                  <w:tcW w:w="558" w:type="pct"/>
                  <w:vMerge w:val="continue"/>
                  <w:noWrap w:val="0"/>
                  <w:vAlign w:val="center"/>
                </w:tcPr>
                <w:p w14:paraId="0BB6BFDB">
                  <w:pPr>
                    <w:jc w:val="center"/>
                    <w:rPr>
                      <w:rFonts w:hint="default" w:ascii="Times New Roman" w:hAnsi="Times New Roman" w:eastAsia="宋体" w:cs="Times New Roman"/>
                      <w:color w:val="auto"/>
                      <w:lang w:val="en-US" w:eastAsia="zh-CN"/>
                    </w:rPr>
                  </w:pPr>
                </w:p>
              </w:tc>
              <w:tc>
                <w:tcPr>
                  <w:tcW w:w="1331" w:type="pct"/>
                  <w:vMerge w:val="continue"/>
                  <w:noWrap w:val="0"/>
                  <w:vAlign w:val="center"/>
                </w:tcPr>
                <w:p w14:paraId="3028FF95">
                  <w:pPr>
                    <w:jc w:val="center"/>
                    <w:rPr>
                      <w:rFonts w:hint="default" w:ascii="Times New Roman" w:hAnsi="Times New Roman" w:eastAsia="宋体" w:cs="Times New Roman"/>
                      <w:color w:val="auto"/>
                      <w:lang w:val="en-US" w:eastAsia="zh-CN"/>
                    </w:rPr>
                  </w:pPr>
                </w:p>
              </w:tc>
              <w:tc>
                <w:tcPr>
                  <w:tcW w:w="594" w:type="pct"/>
                  <w:vMerge w:val="continue"/>
                  <w:noWrap w:val="0"/>
                  <w:vAlign w:val="center"/>
                </w:tcPr>
                <w:p w14:paraId="7B004074">
                  <w:pPr>
                    <w:jc w:val="center"/>
                    <w:rPr>
                      <w:rFonts w:hint="default" w:ascii="Times New Roman" w:hAnsi="Times New Roman" w:eastAsia="宋体" w:cs="Times New Roman"/>
                      <w:color w:val="auto"/>
                      <w:lang w:val="en-US" w:eastAsia="zh-CN"/>
                    </w:rPr>
                  </w:pPr>
                </w:p>
              </w:tc>
              <w:tc>
                <w:tcPr>
                  <w:tcW w:w="719" w:type="pct"/>
                  <w:vMerge w:val="continue"/>
                  <w:noWrap w:val="0"/>
                  <w:vAlign w:val="center"/>
                </w:tcPr>
                <w:p w14:paraId="54684575">
                  <w:pPr>
                    <w:jc w:val="center"/>
                    <w:rPr>
                      <w:rFonts w:hint="default" w:ascii="Times New Roman" w:hAnsi="Times New Roman" w:eastAsia="宋体" w:cs="Times New Roman"/>
                      <w:color w:val="auto"/>
                      <w:lang w:val="en-US" w:eastAsia="zh-CN"/>
                    </w:rPr>
                  </w:pPr>
                </w:p>
              </w:tc>
            </w:tr>
            <w:tr w14:paraId="58AA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restart"/>
                  <w:noWrap w:val="0"/>
                  <w:vAlign w:val="center"/>
                </w:tcPr>
                <w:p w14:paraId="0F991E88">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大气环境</w:t>
                  </w:r>
                </w:p>
              </w:tc>
              <w:tc>
                <w:tcPr>
                  <w:tcW w:w="439" w:type="pct"/>
                  <w:noWrap w:val="0"/>
                  <w:vAlign w:val="center"/>
                </w:tcPr>
                <w:p w14:paraId="0D34EE52">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116.49483</w:t>
                  </w:r>
                </w:p>
              </w:tc>
              <w:tc>
                <w:tcPr>
                  <w:tcW w:w="439" w:type="pct"/>
                  <w:noWrap w:val="0"/>
                  <w:vAlign w:val="center"/>
                </w:tcPr>
                <w:p w14:paraId="10BD5AA3">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33.26226</w:t>
                  </w:r>
                </w:p>
              </w:tc>
              <w:tc>
                <w:tcPr>
                  <w:tcW w:w="479" w:type="pct"/>
                  <w:noWrap w:val="0"/>
                  <w:vAlign w:val="center"/>
                </w:tcPr>
                <w:p w14:paraId="271343DF">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芦沟村</w:t>
                  </w:r>
                </w:p>
              </w:tc>
              <w:tc>
                <w:tcPr>
                  <w:tcW w:w="558" w:type="pct"/>
                  <w:noWrap w:val="0"/>
                  <w:vAlign w:val="center"/>
                </w:tcPr>
                <w:p w14:paraId="07C829B9">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居民约</w:t>
                  </w:r>
                  <w:r>
                    <w:rPr>
                      <w:rFonts w:hint="eastAsia" w:ascii="Times New Roman" w:hAnsi="Times New Roman" w:eastAsia="宋体" w:cs="Times New Roman"/>
                      <w:color w:val="auto"/>
                      <w:lang w:val="en-US" w:eastAsia="zh-CN"/>
                    </w:rPr>
                    <w:t>500</w:t>
                  </w:r>
                  <w:r>
                    <w:rPr>
                      <w:rFonts w:hint="default" w:ascii="Times New Roman" w:hAnsi="Times New Roman" w:eastAsia="宋体" w:cs="Times New Roman"/>
                      <w:color w:val="auto"/>
                      <w:lang w:val="en-US" w:eastAsia="zh-CN"/>
                    </w:rPr>
                    <w:t>人</w:t>
                  </w:r>
                </w:p>
              </w:tc>
              <w:tc>
                <w:tcPr>
                  <w:tcW w:w="1331" w:type="pct"/>
                  <w:noWrap w:val="0"/>
                  <w:vAlign w:val="center"/>
                </w:tcPr>
                <w:p w14:paraId="1CEE441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二类环境空气功能区</w:t>
                  </w:r>
                </w:p>
              </w:tc>
              <w:tc>
                <w:tcPr>
                  <w:tcW w:w="594" w:type="pct"/>
                  <w:noWrap w:val="0"/>
                  <w:vAlign w:val="center"/>
                </w:tcPr>
                <w:p w14:paraId="7C8E830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北</w:t>
                  </w:r>
                </w:p>
              </w:tc>
              <w:tc>
                <w:tcPr>
                  <w:tcW w:w="719" w:type="pct"/>
                  <w:noWrap w:val="0"/>
                  <w:vAlign w:val="center"/>
                </w:tcPr>
                <w:p w14:paraId="7103552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20</w:t>
                  </w:r>
                </w:p>
              </w:tc>
            </w:tr>
            <w:tr w14:paraId="4C7E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14:paraId="444AFE2A">
                  <w:pPr>
                    <w:jc w:val="center"/>
                    <w:rPr>
                      <w:rFonts w:hint="default" w:ascii="Times New Roman" w:hAnsi="Times New Roman" w:eastAsia="宋体" w:cs="Times New Roman"/>
                      <w:color w:val="auto"/>
                      <w:lang w:val="en-US" w:eastAsia="zh-CN"/>
                    </w:rPr>
                  </w:pPr>
                </w:p>
              </w:tc>
              <w:tc>
                <w:tcPr>
                  <w:tcW w:w="439" w:type="pct"/>
                  <w:noWrap w:val="0"/>
                  <w:vAlign w:val="center"/>
                </w:tcPr>
                <w:p w14:paraId="15142962">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116.49409</w:t>
                  </w:r>
                </w:p>
              </w:tc>
              <w:tc>
                <w:tcPr>
                  <w:tcW w:w="439" w:type="pct"/>
                  <w:noWrap w:val="0"/>
                  <w:vAlign w:val="center"/>
                </w:tcPr>
                <w:p w14:paraId="19852DBE">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33.25566</w:t>
                  </w:r>
                </w:p>
              </w:tc>
              <w:tc>
                <w:tcPr>
                  <w:tcW w:w="479" w:type="pct"/>
                  <w:noWrap w:val="0"/>
                  <w:vAlign w:val="center"/>
                </w:tcPr>
                <w:p w14:paraId="0F232418">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朱醩坊</w:t>
                  </w:r>
                </w:p>
              </w:tc>
              <w:tc>
                <w:tcPr>
                  <w:tcW w:w="558" w:type="pct"/>
                  <w:noWrap w:val="0"/>
                  <w:vAlign w:val="center"/>
                </w:tcPr>
                <w:p w14:paraId="6F4538A5">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居民约</w:t>
                  </w:r>
                  <w:r>
                    <w:rPr>
                      <w:rFonts w:hint="eastAsia" w:ascii="Times New Roman" w:hAnsi="Times New Roman" w:eastAsia="宋体" w:cs="Times New Roman"/>
                      <w:color w:val="auto"/>
                      <w:lang w:val="en-US" w:eastAsia="zh-CN"/>
                    </w:rPr>
                    <w:t>500</w:t>
                  </w:r>
                  <w:r>
                    <w:rPr>
                      <w:rFonts w:hint="default" w:ascii="Times New Roman" w:hAnsi="Times New Roman" w:eastAsia="宋体" w:cs="Times New Roman"/>
                      <w:color w:val="auto"/>
                      <w:lang w:val="en-US" w:eastAsia="zh-CN"/>
                    </w:rPr>
                    <w:t>人</w:t>
                  </w:r>
                </w:p>
              </w:tc>
              <w:tc>
                <w:tcPr>
                  <w:tcW w:w="2107" w:type="dxa"/>
                  <w:noWrap w:val="0"/>
                  <w:vAlign w:val="center"/>
                </w:tcPr>
                <w:p w14:paraId="6E28BBE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二类环境空气功能区</w:t>
                  </w:r>
                </w:p>
              </w:tc>
              <w:tc>
                <w:tcPr>
                  <w:tcW w:w="941" w:type="dxa"/>
                  <w:noWrap w:val="0"/>
                  <w:vAlign w:val="center"/>
                </w:tcPr>
                <w:p w14:paraId="737EA498">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东南</w:t>
                  </w:r>
                </w:p>
              </w:tc>
              <w:tc>
                <w:tcPr>
                  <w:tcW w:w="1139" w:type="dxa"/>
                  <w:noWrap w:val="0"/>
                  <w:vAlign w:val="center"/>
                </w:tcPr>
                <w:p w14:paraId="1F7C69F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40</w:t>
                  </w:r>
                </w:p>
              </w:tc>
            </w:tr>
            <w:tr w14:paraId="6CD1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vMerge w:val="restart"/>
                  <w:noWrap w:val="0"/>
                  <w:vAlign w:val="center"/>
                </w:tcPr>
                <w:p w14:paraId="30D7CD8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地表水</w:t>
                  </w:r>
                </w:p>
              </w:tc>
              <w:tc>
                <w:tcPr>
                  <w:tcW w:w="439" w:type="pct"/>
                  <w:noWrap w:val="0"/>
                  <w:vAlign w:val="center"/>
                </w:tcPr>
                <w:p w14:paraId="1DDA34B2">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116.48560</w:t>
                  </w:r>
                </w:p>
              </w:tc>
              <w:tc>
                <w:tcPr>
                  <w:tcW w:w="439" w:type="pct"/>
                  <w:noWrap w:val="0"/>
                  <w:vAlign w:val="center"/>
                </w:tcPr>
                <w:p w14:paraId="0095B9AF">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33.25180</w:t>
                  </w:r>
                </w:p>
              </w:tc>
              <w:tc>
                <w:tcPr>
                  <w:tcW w:w="1038" w:type="pct"/>
                  <w:gridSpan w:val="2"/>
                  <w:noWrap w:val="0"/>
                  <w:vAlign w:val="center"/>
                </w:tcPr>
                <w:p w14:paraId="6D93212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澥河</w:t>
                  </w:r>
                </w:p>
              </w:tc>
              <w:tc>
                <w:tcPr>
                  <w:tcW w:w="1331" w:type="pct"/>
                  <w:noWrap w:val="0"/>
                  <w:vAlign w:val="center"/>
                </w:tcPr>
                <w:p w14:paraId="5D5672D2">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《地表水环境质量标准》（GB3838-2002）中Ⅲ类水质标准</w:t>
                  </w:r>
                </w:p>
              </w:tc>
              <w:tc>
                <w:tcPr>
                  <w:tcW w:w="594" w:type="pct"/>
                  <w:noWrap w:val="0"/>
                  <w:vAlign w:val="center"/>
                </w:tcPr>
                <w:p w14:paraId="6AEBE12D">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w:t>
                  </w:r>
                </w:p>
              </w:tc>
              <w:tc>
                <w:tcPr>
                  <w:tcW w:w="719" w:type="pct"/>
                  <w:noWrap w:val="0"/>
                  <w:vAlign w:val="center"/>
                </w:tcPr>
                <w:p w14:paraId="1BB9F766">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1800</w:t>
                  </w:r>
                </w:p>
              </w:tc>
            </w:tr>
            <w:tr w14:paraId="207F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vMerge w:val="continue"/>
                  <w:noWrap w:val="0"/>
                  <w:vAlign w:val="center"/>
                </w:tcPr>
                <w:p w14:paraId="2A3C9A4B">
                  <w:pPr>
                    <w:jc w:val="center"/>
                    <w:rPr>
                      <w:rFonts w:hint="default" w:ascii="Times New Roman" w:hAnsi="Times New Roman" w:eastAsia="宋体" w:cs="Times New Roman"/>
                      <w:color w:val="auto"/>
                      <w:lang w:val="en-US" w:eastAsia="zh-CN"/>
                    </w:rPr>
                  </w:pPr>
                </w:p>
              </w:tc>
              <w:tc>
                <w:tcPr>
                  <w:tcW w:w="439" w:type="pct"/>
                  <w:noWrap w:val="0"/>
                  <w:vAlign w:val="center"/>
                </w:tcPr>
                <w:p w14:paraId="09BD1F44">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116.49295</w:t>
                  </w:r>
                </w:p>
              </w:tc>
              <w:tc>
                <w:tcPr>
                  <w:tcW w:w="439" w:type="pct"/>
                  <w:noWrap w:val="0"/>
                  <w:vAlign w:val="center"/>
                </w:tcPr>
                <w:p w14:paraId="6F7F0771">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33.26110</w:t>
                  </w:r>
                </w:p>
              </w:tc>
              <w:tc>
                <w:tcPr>
                  <w:tcW w:w="1038" w:type="pct"/>
                  <w:gridSpan w:val="2"/>
                  <w:noWrap w:val="0"/>
                  <w:vAlign w:val="center"/>
                </w:tcPr>
                <w:p w14:paraId="676E5593">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宿蒙沟</w:t>
                  </w:r>
                </w:p>
              </w:tc>
              <w:tc>
                <w:tcPr>
                  <w:tcW w:w="1331" w:type="pct"/>
                  <w:noWrap w:val="0"/>
                  <w:vAlign w:val="center"/>
                </w:tcPr>
                <w:p w14:paraId="1B9CD958">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《地表水环境质量标准》（GB3838-2002）中Ⅲ类水质标准</w:t>
                  </w:r>
                </w:p>
              </w:tc>
              <w:tc>
                <w:tcPr>
                  <w:tcW w:w="594" w:type="pct"/>
                  <w:noWrap w:val="0"/>
                  <w:vAlign w:val="center"/>
                </w:tcPr>
                <w:p w14:paraId="5DD950D7">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西</w:t>
                  </w:r>
                </w:p>
              </w:tc>
              <w:tc>
                <w:tcPr>
                  <w:tcW w:w="719" w:type="pct"/>
                  <w:noWrap w:val="0"/>
                  <w:vAlign w:val="center"/>
                </w:tcPr>
                <w:p w14:paraId="43F29F23">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w:t>
                  </w:r>
                </w:p>
              </w:tc>
            </w:tr>
            <w:tr w14:paraId="1EAC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437" w:type="pct"/>
                  <w:noWrap w:val="0"/>
                  <w:vAlign w:val="center"/>
                </w:tcPr>
                <w:p w14:paraId="14D7EA25">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地下水</w:t>
                  </w:r>
                </w:p>
              </w:tc>
              <w:tc>
                <w:tcPr>
                  <w:tcW w:w="439" w:type="pct"/>
                  <w:noWrap w:val="0"/>
                  <w:vAlign w:val="center"/>
                </w:tcPr>
                <w:p w14:paraId="0D42132E">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439" w:type="pct"/>
                  <w:noWrap w:val="0"/>
                  <w:vAlign w:val="center"/>
                </w:tcPr>
                <w:p w14:paraId="3A5FB605">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038" w:type="pct"/>
                  <w:gridSpan w:val="2"/>
                  <w:noWrap w:val="0"/>
                  <w:vAlign w:val="center"/>
                </w:tcPr>
                <w:p w14:paraId="3017344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331" w:type="pct"/>
                  <w:noWrap w:val="0"/>
                  <w:vAlign w:val="center"/>
                </w:tcPr>
                <w:p w14:paraId="43A802B5">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《地下水质量标准》</w:t>
                  </w:r>
                </w:p>
                <w:p w14:paraId="6FCC2B2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（GB/T14848—2017）中Ⅲ类标准</w:t>
                  </w:r>
                </w:p>
              </w:tc>
              <w:tc>
                <w:tcPr>
                  <w:tcW w:w="1314" w:type="pct"/>
                  <w:gridSpan w:val="2"/>
                  <w:noWrap w:val="0"/>
                  <w:vAlign w:val="center"/>
                </w:tcPr>
                <w:p w14:paraId="31734807">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厂界外500m范围内无地下水集中式饮用水源等特殊地下水资源</w:t>
                  </w:r>
                </w:p>
              </w:tc>
            </w:tr>
            <w:tr w14:paraId="531E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37" w:type="pct"/>
                  <w:noWrap w:val="0"/>
                  <w:vAlign w:val="center"/>
                </w:tcPr>
                <w:p w14:paraId="4E2BC2D5">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声环境</w:t>
                  </w:r>
                </w:p>
              </w:tc>
              <w:tc>
                <w:tcPr>
                  <w:tcW w:w="878" w:type="pct"/>
                  <w:gridSpan w:val="2"/>
                  <w:noWrap w:val="0"/>
                  <w:vAlign w:val="center"/>
                </w:tcPr>
                <w:p w14:paraId="10088FB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038" w:type="pct"/>
                  <w:gridSpan w:val="2"/>
                  <w:noWrap w:val="0"/>
                  <w:vAlign w:val="center"/>
                </w:tcPr>
                <w:p w14:paraId="11C530A9">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331" w:type="pct"/>
                  <w:noWrap w:val="0"/>
                  <w:vAlign w:val="center"/>
                </w:tcPr>
                <w:p w14:paraId="5140F842">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《声环境质量标准》（GB3096-2008）中的2类标准</w:t>
                  </w:r>
                </w:p>
              </w:tc>
              <w:tc>
                <w:tcPr>
                  <w:tcW w:w="1314" w:type="pct"/>
                  <w:gridSpan w:val="2"/>
                  <w:noWrap w:val="0"/>
                  <w:vAlign w:val="center"/>
                </w:tcPr>
                <w:p w14:paraId="49542CA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厂界外50m内无敏感目标</w:t>
                  </w:r>
                </w:p>
              </w:tc>
            </w:tr>
          </w:tbl>
          <w:p w14:paraId="608AD8DB">
            <w:pPr>
              <w:keepLines w:val="0"/>
              <w:pageBreakBefore w:val="0"/>
              <w:kinsoku/>
              <w:topLinePunct w:val="0"/>
              <w:bidi w:val="0"/>
              <w:adjustRightInd w:val="0"/>
              <w:snapToGrid w:val="0"/>
              <w:spacing w:line="500" w:lineRule="exact"/>
              <w:rPr>
                <w:rFonts w:hint="default" w:ascii="Times New Roman" w:hAnsi="Times New Roman" w:eastAsia="宋体" w:cs="Times New Roman"/>
                <w:color w:val="FF0000"/>
                <w:kern w:val="0"/>
                <w:sz w:val="24"/>
                <w:szCs w:val="24"/>
              </w:rPr>
            </w:pPr>
          </w:p>
        </w:tc>
      </w:tr>
      <w:tr w14:paraId="000FC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00" w:type="dxa"/>
            <w:noWrap w:val="0"/>
            <w:tcMar>
              <w:left w:w="28" w:type="dxa"/>
              <w:right w:w="28" w:type="dxa"/>
            </w:tcMar>
            <w:vAlign w:val="center"/>
          </w:tcPr>
          <w:p w14:paraId="5FDB1EAB">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14:paraId="04444C9A">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14:paraId="36649914">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14:paraId="0DBE9B2D">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14:paraId="566C8F45">
            <w:pPr>
              <w:keepLines w:val="0"/>
              <w:pageBreakBefore w:val="0"/>
              <w:kinsoku/>
              <w:topLinePunct w:val="0"/>
              <w:bidi w:val="0"/>
              <w:adjustRightInd w:val="0"/>
              <w:snapToGrid w:val="0"/>
              <w:jc w:val="center"/>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kern w:val="0"/>
                <w:sz w:val="24"/>
                <w:szCs w:val="24"/>
              </w:rPr>
              <w:t>准</w:t>
            </w:r>
          </w:p>
        </w:tc>
        <w:tc>
          <w:tcPr>
            <w:tcW w:w="8190" w:type="dxa"/>
            <w:noWrap w:val="0"/>
            <w:vAlign w:val="center"/>
          </w:tcPr>
          <w:p w14:paraId="2C6B537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1、大气污染物排放标准</w:t>
            </w:r>
          </w:p>
          <w:p w14:paraId="098F8292">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eastAsia" w:cs="Times New Roman"/>
                <w:color w:val="auto"/>
                <w:sz w:val="24"/>
                <w:lang w:val="en-US" w:eastAsia="zh-CN"/>
              </w:rPr>
              <w:t>本项目</w:t>
            </w:r>
            <w:r>
              <w:rPr>
                <w:rFonts w:hint="eastAsia" w:ascii="Times New Roman" w:hAnsi="Times New Roman" w:cs="Times New Roman"/>
                <w:color w:val="auto"/>
                <w:sz w:val="24"/>
                <w:lang w:val="en-US" w:eastAsia="zh-CN"/>
              </w:rPr>
              <w:t>粉尘排放参照执行《水泥工业大气污染物排放标准》（</w:t>
            </w:r>
            <w:r>
              <w:rPr>
                <w:rFonts w:hint="default" w:ascii="Times New Roman" w:hAnsi="Times New Roman" w:cs="Times New Roman"/>
                <w:color w:val="auto"/>
                <w:sz w:val="24"/>
                <w:lang w:val="en-US" w:eastAsia="zh-CN"/>
              </w:rPr>
              <w:t>DB34/3576-2020</w:t>
            </w:r>
            <w:r>
              <w:rPr>
                <w:rFonts w:hint="eastAsia" w:ascii="Times New Roman" w:hAnsi="Times New Roman" w:cs="Times New Roman"/>
                <w:color w:val="auto"/>
                <w:sz w:val="24"/>
                <w:lang w:val="en-US" w:eastAsia="zh-CN"/>
              </w:rPr>
              <w:t>）表1大气污染物最高允许排放浓度限值及表2中无组织排放限值要求，具体内容详见下表</w:t>
            </w:r>
            <w:r>
              <w:rPr>
                <w:rFonts w:hint="default" w:ascii="Times New Roman" w:hAnsi="Times New Roman" w:eastAsia="宋体" w:cs="Times New Roman"/>
                <w:color w:val="auto"/>
                <w:sz w:val="24"/>
                <w:szCs w:val="24"/>
              </w:rPr>
              <w:t>。具体限值见表3-</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p>
          <w:p w14:paraId="7B9E2A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p>
          <w:p w14:paraId="45C60A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p>
          <w:p w14:paraId="0BAF49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p>
          <w:p w14:paraId="00C7F0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p>
          <w:p w14:paraId="1D491F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p>
          <w:p w14:paraId="4008DC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表3-4</w:t>
            </w:r>
            <w:r>
              <w:rPr>
                <w:rFonts w:hint="default" w:ascii="Times New Roman" w:hAnsi="Times New Roman" w:cs="Times New Roman"/>
                <w:b/>
                <w:bCs/>
                <w:color w:val="auto"/>
                <w:sz w:val="21"/>
                <w:szCs w:val="16"/>
                <w:lang w:val="en-US" w:eastAsia="zh-CN"/>
              </w:rPr>
              <w:t>水泥工业大气污染物排放标准</w:t>
            </w:r>
          </w:p>
          <w:tbl>
            <w:tblPr>
              <w:tblStyle w:val="4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69"/>
              <w:gridCol w:w="1239"/>
              <w:gridCol w:w="1101"/>
              <w:gridCol w:w="2354"/>
              <w:gridCol w:w="1263"/>
            </w:tblGrid>
            <w:tr w14:paraId="7444F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12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6B655">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生产过程</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3F1F89">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污染物</w:t>
                  </w:r>
                  <w:r>
                    <w:rPr>
                      <w:rFonts w:hint="default" w:ascii="Times New Roman" w:hAnsi="Times New Roman" w:cs="Times New Roman"/>
                      <w:sz w:val="21"/>
                      <w:lang w:val="en-US" w:eastAsia="zh-CN"/>
                    </w:rPr>
                    <w:br w:type="textWrapping"/>
                  </w:r>
                  <w:r>
                    <w:rPr>
                      <w:rFonts w:hint="default" w:ascii="Times New Roman" w:hAnsi="Times New Roman" w:cs="Times New Roman"/>
                      <w:sz w:val="21"/>
                      <w:lang w:val="en-US" w:eastAsia="zh-CN"/>
                    </w:rPr>
                    <w:t>名称</w:t>
                  </w:r>
                </w:p>
              </w:tc>
              <w:tc>
                <w:tcPr>
                  <w:tcW w:w="6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E7EF60">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排放浓度</w:t>
                  </w:r>
                  <w:r>
                    <w:rPr>
                      <w:rFonts w:hint="default" w:ascii="Times New Roman" w:hAnsi="Times New Roman" w:cs="Times New Roman"/>
                      <w:sz w:val="21"/>
                      <w:lang w:val="en-US" w:eastAsia="zh-CN"/>
                    </w:rPr>
                    <w:br w:type="textWrapping"/>
                  </w:r>
                  <w:r>
                    <w:rPr>
                      <w:rFonts w:hint="default" w:ascii="Times New Roman" w:hAnsi="Times New Roman" w:cs="Times New Roman"/>
                      <w:sz w:val="21"/>
                      <w:lang w:val="en-US" w:eastAsia="zh-CN"/>
                    </w:rPr>
                    <w:t>mg/m³</w:t>
                  </w:r>
                </w:p>
              </w:tc>
              <w:tc>
                <w:tcPr>
                  <w:tcW w:w="22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55FF3">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无组织排放监控浓度限值</w:t>
                  </w:r>
                </w:p>
              </w:tc>
            </w:tr>
            <w:tr w14:paraId="5EE3B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 w:hRule="atLeast"/>
                <w:jc w:val="center"/>
              </w:trPr>
              <w:tc>
                <w:tcPr>
                  <w:tcW w:w="12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9788E">
                  <w:pPr>
                    <w:pStyle w:val="19"/>
                    <w:keepNext w:val="0"/>
                    <w:keepLines w:val="0"/>
                    <w:suppressLineNumbers w:val="0"/>
                    <w:spacing w:before="0" w:beforeAutospacing="0" w:afterAutospacing="0"/>
                    <w:ind w:left="0" w:leftChars="0" w:right="0" w:firstLine="0" w:firstLineChars="0"/>
                    <w:jc w:val="center"/>
                    <w:rPr>
                      <w:rFonts w:hint="eastAsia" w:ascii="Times New Roman" w:hAnsi="Times New Roman" w:cs="Times New Roman"/>
                      <w:sz w:val="21"/>
                      <w:lang w:val="en-US" w:eastAsia="zh-CN"/>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FEDFD">
                  <w:pPr>
                    <w:pStyle w:val="19"/>
                    <w:keepNext w:val="0"/>
                    <w:keepLines w:val="0"/>
                    <w:suppressLineNumbers w:val="0"/>
                    <w:spacing w:before="0" w:beforeAutospacing="0" w:afterAutospacing="0"/>
                    <w:ind w:left="0" w:leftChars="0" w:right="0" w:firstLine="0" w:firstLineChars="0"/>
                    <w:jc w:val="center"/>
                    <w:rPr>
                      <w:rFonts w:hint="eastAsia" w:ascii="Times New Roman" w:hAnsi="Times New Roman" w:cs="Times New Roman"/>
                      <w:sz w:val="21"/>
                      <w:lang w:val="en-US" w:eastAsia="zh-CN"/>
                    </w:rPr>
                  </w:pPr>
                </w:p>
              </w:tc>
              <w:tc>
                <w:tcPr>
                  <w:tcW w:w="6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65143">
                  <w:pPr>
                    <w:pStyle w:val="19"/>
                    <w:keepNext w:val="0"/>
                    <w:keepLines w:val="0"/>
                    <w:suppressLineNumbers w:val="0"/>
                    <w:spacing w:before="0" w:beforeAutospacing="0" w:afterAutospacing="0"/>
                    <w:ind w:left="0" w:leftChars="0" w:right="0" w:firstLine="0" w:firstLineChars="0"/>
                    <w:jc w:val="center"/>
                    <w:rPr>
                      <w:rFonts w:hint="eastAsia" w:ascii="Times New Roman" w:hAnsi="Times New Roman" w:cs="Times New Roman"/>
                      <w:sz w:val="21"/>
                      <w:lang w:val="en-US" w:eastAsia="zh-CN"/>
                    </w:rPr>
                  </w:pP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F450">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限值</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A1967">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浓度mg/m³</w:t>
                  </w:r>
                </w:p>
              </w:tc>
            </w:tr>
            <w:tr w14:paraId="0EBA4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12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0970C">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散装水泥中转站</w:t>
                  </w:r>
                  <w:r>
                    <w:rPr>
                      <w:rFonts w:hint="default" w:ascii="Times New Roman" w:hAnsi="Times New Roman" w:cs="Times New Roman"/>
                      <w:sz w:val="21"/>
                      <w:lang w:val="en-US" w:eastAsia="zh-CN"/>
                    </w:rPr>
                    <w:br w:type="textWrapping"/>
                  </w:r>
                  <w:r>
                    <w:rPr>
                      <w:rFonts w:hint="default" w:ascii="Times New Roman" w:hAnsi="Times New Roman" w:cs="Times New Roman"/>
                      <w:sz w:val="21"/>
                      <w:lang w:val="en-US" w:eastAsia="zh-CN"/>
                    </w:rPr>
                    <w:t>及水泥制品生产</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0612F">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颗粒物</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4DB7C">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10</w:t>
                  </w:r>
                </w:p>
              </w:tc>
              <w:tc>
                <w:tcPr>
                  <w:tcW w:w="1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5901F">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监控点与参照点颗粒</w:t>
                  </w:r>
                  <w:r>
                    <w:rPr>
                      <w:rFonts w:hint="default" w:ascii="Times New Roman" w:hAnsi="Times New Roman" w:cs="Times New Roman"/>
                      <w:sz w:val="21"/>
                      <w:lang w:val="en-US" w:eastAsia="zh-CN"/>
                    </w:rPr>
                    <w:br w:type="textWrapping"/>
                  </w:r>
                  <w:r>
                    <w:rPr>
                      <w:rFonts w:hint="default" w:ascii="Times New Roman" w:hAnsi="Times New Roman" w:cs="Times New Roman"/>
                      <w:sz w:val="21"/>
                      <w:lang w:val="en-US" w:eastAsia="zh-CN"/>
                    </w:rPr>
                    <w:t>物1小时浓度值的差值</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1E78D">
                  <w:pPr>
                    <w:pStyle w:val="19"/>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0.5</w:t>
                  </w:r>
                </w:p>
              </w:tc>
            </w:tr>
          </w:tbl>
          <w:p w14:paraId="32B5536E">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kern w:val="2"/>
                <w:sz w:val="24"/>
                <w:szCs w:val="24"/>
                <w:lang w:val="en-US" w:eastAsia="zh-CN" w:bidi="ar-SA"/>
              </w:rPr>
              <w:t>2、</w:t>
            </w:r>
            <w:r>
              <w:rPr>
                <w:rFonts w:hint="default" w:ascii="Times New Roman" w:hAnsi="Times New Roman" w:eastAsia="宋体" w:cs="Times New Roman"/>
                <w:b/>
                <w:color w:val="auto"/>
                <w:sz w:val="24"/>
                <w:szCs w:val="24"/>
                <w:lang w:val="en-US" w:eastAsia="zh-CN"/>
              </w:rPr>
              <w:t>水污染物排放标准</w:t>
            </w:r>
          </w:p>
          <w:p w14:paraId="5D3136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本项目无新增</w:t>
            </w:r>
            <w:r>
              <w:rPr>
                <w:rFonts w:hint="default" w:ascii="Times New Roman" w:hAnsi="Times New Roman" w:eastAsia="宋体" w:cs="Times New Roman"/>
                <w:color w:val="auto"/>
                <w:sz w:val="24"/>
                <w:szCs w:val="24"/>
                <w:lang w:val="en-US" w:eastAsia="zh-CN"/>
              </w:rPr>
              <w:t>生产废水</w:t>
            </w:r>
            <w:r>
              <w:rPr>
                <w:rFonts w:hint="eastAsia"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lang w:val="en-US" w:eastAsia="zh-CN"/>
              </w:rPr>
              <w:t>生活污水，</w:t>
            </w:r>
            <w:r>
              <w:rPr>
                <w:rFonts w:hint="eastAsia" w:ascii="Times New Roman" w:hAnsi="Times New Roman" w:eastAsia="宋体" w:cs="Times New Roman"/>
                <w:color w:val="auto"/>
                <w:sz w:val="24"/>
                <w:szCs w:val="24"/>
                <w:lang w:val="en-US" w:eastAsia="zh-CN"/>
              </w:rPr>
              <w:t>原有</w:t>
            </w:r>
            <w:r>
              <w:rPr>
                <w:rFonts w:hint="default" w:ascii="Times New Roman" w:hAnsi="Times New Roman" w:eastAsia="宋体" w:cs="Times New Roman"/>
                <w:color w:val="auto"/>
                <w:sz w:val="24"/>
                <w:szCs w:val="24"/>
                <w:lang w:val="en-US" w:eastAsia="zh-CN"/>
              </w:rPr>
              <w:t>生活污水经化粪池处理后定期清掏不外排。车辆清洗废水经沉淀池处理后循环使用不外排。</w:t>
            </w:r>
          </w:p>
          <w:p w14:paraId="6B6347E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3、环境噪声排放标准</w:t>
            </w:r>
          </w:p>
          <w:p w14:paraId="0BFE3B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施工期厂界噪声执行《建筑施工场界环境噪声排放标准》（GB12523-20</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），运营期噪声执行《工业企业厂界环境噪声排放标准》（GB12348-2008）中2类标准。其标准限值见下表。</w:t>
            </w:r>
          </w:p>
          <w:p w14:paraId="74E10F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表3</w:t>
            </w:r>
            <w:r>
              <w:rPr>
                <w:rFonts w:hint="default" w:ascii="Times New Roman" w:hAnsi="Times New Roman" w:eastAsia="宋体" w:cs="Times New Roman"/>
                <w:b/>
                <w:bCs/>
                <w:color w:val="auto"/>
                <w:sz w:val="22"/>
                <w:szCs w:val="22"/>
                <w:lang w:val="en-US" w:eastAsia="zh-CN"/>
              </w:rPr>
              <w:t>-</w:t>
            </w:r>
            <w:r>
              <w:rPr>
                <w:rFonts w:hint="eastAsia" w:cs="Times New Roman"/>
                <w:b/>
                <w:bCs/>
                <w:color w:val="auto"/>
                <w:sz w:val="22"/>
                <w:szCs w:val="22"/>
                <w:lang w:val="en-US" w:eastAsia="zh-CN"/>
              </w:rPr>
              <w:t>5</w:t>
            </w:r>
            <w:r>
              <w:rPr>
                <w:rFonts w:hint="default" w:ascii="Times New Roman" w:hAnsi="Times New Roman" w:eastAsia="宋体" w:cs="Times New Roman"/>
                <w:b/>
                <w:bCs/>
                <w:color w:val="auto"/>
                <w:sz w:val="22"/>
                <w:szCs w:val="22"/>
                <w:lang w:val="zh-CN" w:eastAsia="zh-CN"/>
              </w:rPr>
              <w:t>施工期厂界噪声排放标准单位：dB（A）</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604"/>
              <w:gridCol w:w="2369"/>
              <w:gridCol w:w="1956"/>
            </w:tblGrid>
            <w:tr w14:paraId="318CCB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035" w:type="dxa"/>
                  <w:tcBorders>
                    <w:top w:val="single" w:color="auto" w:sz="8" w:space="0"/>
                    <w:left w:val="single" w:color="auto" w:sz="8" w:space="0"/>
                    <w:bottom w:val="single" w:color="auto" w:sz="8" w:space="0"/>
                  </w:tcBorders>
                  <w:vAlign w:val="center"/>
                </w:tcPr>
                <w:p w14:paraId="1786DD0A">
                  <w:pPr>
                    <w:autoSpaceDE w:val="0"/>
                    <w:autoSpaceDN w:val="0"/>
                    <w:adjustRightInd w:val="0"/>
                    <w:snapToGrid w:val="0"/>
                    <w:spacing w:before="48" w:beforeLines="2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排放标准</w:t>
                  </w:r>
                </w:p>
              </w:tc>
              <w:tc>
                <w:tcPr>
                  <w:tcW w:w="2643" w:type="dxa"/>
                  <w:tcBorders>
                    <w:top w:val="single" w:color="auto" w:sz="8" w:space="0"/>
                    <w:bottom w:val="single" w:color="auto" w:sz="8" w:space="0"/>
                  </w:tcBorders>
                  <w:vAlign w:val="center"/>
                </w:tcPr>
                <w:p w14:paraId="270FF887">
                  <w:pPr>
                    <w:autoSpaceDE w:val="0"/>
                    <w:autoSpaceDN w:val="0"/>
                    <w:adjustRightInd w:val="0"/>
                    <w:snapToGrid w:val="0"/>
                    <w:spacing w:before="48" w:beforeLines="20" w:line="240" w:lineRule="auto"/>
                    <w:jc w:val="center"/>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昼间</w:t>
                  </w:r>
                </w:p>
              </w:tc>
              <w:tc>
                <w:tcPr>
                  <w:tcW w:w="2177" w:type="dxa"/>
                  <w:tcBorders>
                    <w:top w:val="single" w:color="auto" w:sz="8" w:space="0"/>
                    <w:bottom w:val="single" w:color="auto" w:sz="8" w:space="0"/>
                    <w:right w:val="single" w:color="auto" w:sz="8" w:space="0"/>
                  </w:tcBorders>
                  <w:vAlign w:val="center"/>
                </w:tcPr>
                <w:p w14:paraId="4002D5A3">
                  <w:pPr>
                    <w:autoSpaceDE w:val="0"/>
                    <w:autoSpaceDN w:val="0"/>
                    <w:adjustRightInd w:val="0"/>
                    <w:snapToGrid w:val="0"/>
                    <w:spacing w:before="48" w:beforeLines="20" w:line="240" w:lineRule="auto"/>
                    <w:jc w:val="center"/>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夜间</w:t>
                  </w:r>
                </w:p>
              </w:tc>
            </w:tr>
            <w:tr w14:paraId="5A657B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035" w:type="dxa"/>
                  <w:tcBorders>
                    <w:top w:val="single" w:color="auto" w:sz="8" w:space="0"/>
                    <w:left w:val="single" w:color="auto" w:sz="8" w:space="0"/>
                    <w:bottom w:val="single" w:color="auto" w:sz="8" w:space="0"/>
                  </w:tcBorders>
                  <w:vAlign w:val="center"/>
                </w:tcPr>
                <w:p w14:paraId="138359B2">
                  <w:pPr>
                    <w:autoSpaceDE w:val="0"/>
                    <w:autoSpaceDN w:val="0"/>
                    <w:adjustRightInd w:val="0"/>
                    <w:snapToGrid w:val="0"/>
                    <w:spacing w:before="48" w:beforeLines="20" w:line="240" w:lineRule="auto"/>
                    <w:jc w:val="center"/>
                    <w:rPr>
                      <w:rFonts w:hint="default" w:ascii="Times New Roman" w:hAnsi="Times New Roman" w:eastAsia="宋体" w:cs="Times New Roman"/>
                      <w:bCs/>
                      <w:color w:val="auto"/>
                      <w:sz w:val="21"/>
                      <w:szCs w:val="21"/>
                      <w:lang w:val="zh-CN"/>
                    </w:rPr>
                  </w:pPr>
                  <w:r>
                    <w:rPr>
                      <w:rFonts w:hint="default" w:ascii="Times New Roman" w:hAnsi="Times New Roman" w:eastAsia="宋体" w:cs="Times New Roman"/>
                      <w:bCs/>
                      <w:color w:val="auto"/>
                      <w:sz w:val="21"/>
                      <w:szCs w:val="21"/>
                      <w:lang w:val="zh-CN"/>
                    </w:rPr>
                    <w:t>建筑施工场界环境噪声排放标准</w:t>
                  </w:r>
                </w:p>
              </w:tc>
              <w:tc>
                <w:tcPr>
                  <w:tcW w:w="2643" w:type="dxa"/>
                  <w:tcBorders>
                    <w:top w:val="single" w:color="auto" w:sz="8" w:space="0"/>
                    <w:bottom w:val="single" w:color="auto" w:sz="8" w:space="0"/>
                  </w:tcBorders>
                  <w:vAlign w:val="center"/>
                </w:tcPr>
                <w:p w14:paraId="46E3F18A">
                  <w:pPr>
                    <w:autoSpaceDE w:val="0"/>
                    <w:autoSpaceDN w:val="0"/>
                    <w:adjustRightInd w:val="0"/>
                    <w:snapToGrid w:val="0"/>
                    <w:spacing w:before="48" w:beforeLines="2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70</w:t>
                  </w:r>
                </w:p>
              </w:tc>
              <w:tc>
                <w:tcPr>
                  <w:tcW w:w="2177" w:type="dxa"/>
                  <w:tcBorders>
                    <w:top w:val="single" w:color="auto" w:sz="8" w:space="0"/>
                    <w:bottom w:val="single" w:color="auto" w:sz="8" w:space="0"/>
                    <w:right w:val="single" w:color="auto" w:sz="8" w:space="0"/>
                  </w:tcBorders>
                  <w:vAlign w:val="center"/>
                </w:tcPr>
                <w:p w14:paraId="73B17E3A">
                  <w:pPr>
                    <w:autoSpaceDE w:val="0"/>
                    <w:autoSpaceDN w:val="0"/>
                    <w:adjustRightInd w:val="0"/>
                    <w:snapToGrid w:val="0"/>
                    <w:spacing w:before="48" w:beforeLines="2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55</w:t>
                  </w:r>
                </w:p>
              </w:tc>
            </w:tr>
          </w:tbl>
          <w:p w14:paraId="161207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表3-</w:t>
            </w:r>
            <w:r>
              <w:rPr>
                <w:rFonts w:hint="eastAsia" w:cs="Times New Roman"/>
                <w:b/>
                <w:bCs/>
                <w:color w:val="auto"/>
                <w:sz w:val="22"/>
                <w:szCs w:val="22"/>
                <w:lang w:val="en-US" w:eastAsia="zh-CN"/>
              </w:rPr>
              <w:t>6</w:t>
            </w:r>
            <w:r>
              <w:rPr>
                <w:rFonts w:hint="default" w:ascii="Times New Roman" w:hAnsi="Times New Roman" w:eastAsia="宋体" w:cs="Times New Roman"/>
                <w:b/>
                <w:bCs/>
                <w:color w:val="auto"/>
                <w:sz w:val="22"/>
                <w:szCs w:val="22"/>
                <w:lang w:val="en-US" w:eastAsia="zh-CN"/>
              </w:rPr>
              <w:t>运营期</w:t>
            </w:r>
            <w:r>
              <w:rPr>
                <w:rFonts w:hint="default" w:ascii="Times New Roman" w:hAnsi="Times New Roman" w:eastAsia="宋体" w:cs="Times New Roman"/>
                <w:b/>
                <w:bCs/>
                <w:color w:val="auto"/>
                <w:sz w:val="22"/>
                <w:szCs w:val="22"/>
                <w:lang w:val="zh-CN" w:eastAsia="zh-CN"/>
              </w:rPr>
              <w:t>噪声执行标准限值单位：dB（A）</w:t>
            </w:r>
          </w:p>
          <w:tbl>
            <w:tblPr>
              <w:tblStyle w:val="4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38"/>
              <w:gridCol w:w="2635"/>
              <w:gridCol w:w="2636"/>
            </w:tblGrid>
            <w:tr w14:paraId="3BE85B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1" w:type="dxa"/>
                  <w:tcBorders>
                    <w:tl2br w:val="nil"/>
                    <w:tr2bl w:val="nil"/>
                  </w:tcBorders>
                  <w:noWrap w:val="0"/>
                  <w:vAlign w:val="center"/>
                </w:tcPr>
                <w:p w14:paraId="1B51E094">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1699" w:type="dxa"/>
                  <w:tcBorders>
                    <w:tl2br w:val="nil"/>
                    <w:tr2bl w:val="nil"/>
                  </w:tcBorders>
                  <w:noWrap w:val="0"/>
                  <w:vAlign w:val="center"/>
                </w:tcPr>
                <w:p w14:paraId="603572A3">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699" w:type="dxa"/>
                  <w:tcBorders>
                    <w:tl2br w:val="nil"/>
                    <w:tr2bl w:val="nil"/>
                  </w:tcBorders>
                  <w:noWrap w:val="0"/>
                  <w:vAlign w:val="center"/>
                </w:tcPr>
                <w:p w14:paraId="6A76488E">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14:paraId="31A986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1" w:type="dxa"/>
                  <w:tcBorders>
                    <w:tl2br w:val="nil"/>
                    <w:tr2bl w:val="nil"/>
                  </w:tcBorders>
                  <w:noWrap w:val="0"/>
                  <w:vAlign w:val="center"/>
                </w:tcPr>
                <w:p w14:paraId="719729C6">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1699" w:type="dxa"/>
                  <w:tcBorders>
                    <w:tl2br w:val="nil"/>
                    <w:tr2bl w:val="nil"/>
                  </w:tcBorders>
                  <w:noWrap w:val="0"/>
                  <w:vAlign w:val="center"/>
                </w:tcPr>
                <w:p w14:paraId="69DDE0C2">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699" w:type="dxa"/>
                  <w:tcBorders>
                    <w:tl2br w:val="nil"/>
                    <w:tr2bl w:val="nil"/>
                  </w:tcBorders>
                  <w:noWrap w:val="0"/>
                  <w:vAlign w:val="center"/>
                </w:tcPr>
                <w:p w14:paraId="67711A7C">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bl>
          <w:p w14:paraId="558037D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4、固体废物排放标准</w:t>
            </w:r>
          </w:p>
          <w:p w14:paraId="788108F6">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FF0000"/>
                <w:kern w:val="0"/>
                <w:sz w:val="24"/>
                <w:szCs w:val="24"/>
              </w:rPr>
            </w:pPr>
            <w:r>
              <w:rPr>
                <w:rFonts w:hint="default" w:ascii="Times New Roman" w:hAnsi="Times New Roman" w:eastAsia="宋体" w:cs="Times New Roman"/>
                <w:color w:val="auto"/>
                <w:sz w:val="24"/>
                <w:szCs w:val="24"/>
              </w:rPr>
              <w:t>一般固体废弃物</w:t>
            </w:r>
            <w:r>
              <w:rPr>
                <w:rFonts w:hint="eastAsia" w:cs="Times New Roman"/>
                <w:color w:val="auto"/>
                <w:sz w:val="24"/>
                <w:szCs w:val="24"/>
                <w:lang w:val="en-US" w:eastAsia="zh-CN"/>
              </w:rPr>
              <w:t>参照</w:t>
            </w:r>
            <w:r>
              <w:rPr>
                <w:rFonts w:hint="default" w:ascii="Times New Roman" w:hAnsi="Times New Roman" w:eastAsia="宋体" w:cs="Times New Roman"/>
                <w:color w:val="auto"/>
                <w:sz w:val="24"/>
                <w:szCs w:val="24"/>
              </w:rPr>
              <w:t>执行《一般工业固体废物贮存和填埋污染控制标准》（GB 18599-2020）的相关要求。危险固废执行《危险废物贮存污染控制标准》（GB 18597-20</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w:t>
            </w:r>
          </w:p>
        </w:tc>
      </w:tr>
      <w:tr w14:paraId="782D4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800" w:type="dxa"/>
            <w:noWrap w:val="0"/>
            <w:vAlign w:val="center"/>
          </w:tcPr>
          <w:p w14:paraId="38986FA4">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14:paraId="5D14FFA6">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14:paraId="1B32F9F5">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指标</w:t>
            </w:r>
          </w:p>
        </w:tc>
        <w:tc>
          <w:tcPr>
            <w:tcW w:w="8190" w:type="dxa"/>
            <w:noWrap w:val="0"/>
            <w:vAlign w:val="top"/>
          </w:tcPr>
          <w:p w14:paraId="652487DB">
            <w:pPr>
              <w:pStyle w:val="12"/>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根据国家对污染物排放总量控制指标和《安徽省环保厅关于进一步加强建设项目新增大气主要污染物总量指标管理工作的通知》（皖环发</w:t>
            </w:r>
            <w:r>
              <w:rPr>
                <w:rFonts w:hint="default" w:ascii="Times New Roman" w:hAnsi="Times New Roman" w:eastAsia="宋体" w:cs="Times New Roman"/>
                <w:color w:val="auto"/>
                <w:sz w:val="24"/>
                <w:szCs w:val="24"/>
                <w:lang w:eastAsia="zh-CN"/>
              </w:rPr>
              <w:t>〔2017〕19号</w:t>
            </w:r>
            <w:r>
              <w:rPr>
                <w:rFonts w:hint="default" w:ascii="Times New Roman" w:hAnsi="Times New Roman" w:eastAsia="宋体" w:cs="Times New Roman"/>
                <w:color w:val="auto"/>
                <w:sz w:val="24"/>
                <w:szCs w:val="24"/>
              </w:rPr>
              <w:t>）的要求，规定总量控制因子为COD、氨氮、二氧化硫、氮氧化物、烟（粉）尘和挥发性有机物（</w:t>
            </w:r>
            <w:r>
              <w:rPr>
                <w:rFonts w:hint="default" w:ascii="Times New Roman" w:hAnsi="Times New Roman" w:eastAsia="宋体" w:cs="Times New Roman"/>
                <w:color w:val="auto"/>
                <w:sz w:val="24"/>
                <w:szCs w:val="24"/>
                <w:lang w:val="en-US" w:eastAsia="zh-CN"/>
              </w:rPr>
              <w:t>VOCs</w:t>
            </w:r>
            <w:r>
              <w:rPr>
                <w:rFonts w:hint="default" w:ascii="Times New Roman" w:hAnsi="Times New Roman" w:eastAsia="宋体" w:cs="Times New Roman"/>
                <w:color w:val="auto"/>
                <w:sz w:val="24"/>
                <w:szCs w:val="24"/>
              </w:rPr>
              <w:t>）。</w:t>
            </w:r>
          </w:p>
          <w:p w14:paraId="3A2DB520">
            <w:pPr>
              <w:pStyle w:val="12"/>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根据生态环境部和安徽省生态环境厅要求对建设项目排放污染物实施总量控制的要求，针对本项目的具体排污情况，结合本项目排污特征，确定总量控制因子为：</w:t>
            </w:r>
            <w:r>
              <w:rPr>
                <w:rFonts w:hint="default" w:ascii="Times New Roman" w:hAnsi="Times New Roman" w:eastAsia="宋体" w:cs="Times New Roman"/>
                <w:color w:val="auto"/>
                <w:sz w:val="24"/>
                <w:szCs w:val="24"/>
                <w:lang w:val="en-US" w:eastAsia="zh-CN"/>
              </w:rPr>
              <w:t>颗粒物。</w:t>
            </w:r>
          </w:p>
          <w:p w14:paraId="54335EA8">
            <w:pPr>
              <w:pStyle w:val="12"/>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濉溪县恒鑫再生资源有限公司原项目污染物核发总量为颗粒物为2.138t/a。</w:t>
            </w:r>
          </w:p>
          <w:p w14:paraId="4BF73CBC">
            <w:pPr>
              <w:pStyle w:val="12"/>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次技改</w:t>
            </w:r>
            <w:r>
              <w:rPr>
                <w:rFonts w:hint="default" w:ascii="Times New Roman" w:hAnsi="Times New Roman" w:eastAsia="宋体" w:cs="Times New Roman"/>
                <w:color w:val="auto"/>
                <w:sz w:val="24"/>
                <w:szCs w:val="24"/>
                <w:lang w:val="en-US" w:eastAsia="zh-CN"/>
              </w:rPr>
              <w:t>颗粒物排放量为</w:t>
            </w:r>
            <w:r>
              <w:rPr>
                <w:rFonts w:hint="eastAsia" w:ascii="Times New Roman" w:hAnsi="Times New Roman" w:eastAsia="宋体" w:cs="Times New Roman"/>
                <w:color w:val="auto"/>
                <w:sz w:val="24"/>
                <w:szCs w:val="24"/>
                <w:lang w:val="en-US" w:eastAsia="zh-CN"/>
              </w:rPr>
              <w:t>0.12</w:t>
            </w:r>
            <w:r>
              <w:rPr>
                <w:rFonts w:hint="default" w:ascii="Times New Roman" w:hAnsi="Times New Roman" w:eastAsia="宋体" w:cs="Times New Roman"/>
                <w:color w:val="auto"/>
                <w:sz w:val="24"/>
                <w:szCs w:val="24"/>
                <w:lang w:val="en-US" w:eastAsia="zh-CN"/>
              </w:rPr>
              <w:t>t/a。本项目建成后另需要申请污染物排放量颗粒物</w:t>
            </w:r>
            <w:r>
              <w:rPr>
                <w:rFonts w:hint="eastAsia" w:ascii="Times New Roman" w:hAnsi="Times New Roman" w:eastAsia="宋体" w:cs="Times New Roman"/>
                <w:color w:val="auto"/>
                <w:sz w:val="24"/>
                <w:szCs w:val="24"/>
                <w:lang w:val="en-US" w:eastAsia="zh-CN"/>
              </w:rPr>
              <w:t>0.12</w:t>
            </w:r>
            <w:r>
              <w:rPr>
                <w:rFonts w:hint="default" w:ascii="Times New Roman" w:hAnsi="Times New Roman" w:eastAsia="宋体" w:cs="Times New Roman"/>
                <w:color w:val="auto"/>
                <w:sz w:val="24"/>
                <w:szCs w:val="24"/>
                <w:lang w:val="en-US" w:eastAsia="zh-CN"/>
              </w:rPr>
              <w:t>t/a。</w:t>
            </w:r>
          </w:p>
        </w:tc>
      </w:tr>
    </w:tbl>
    <w:p w14:paraId="654EF57B">
      <w:pPr>
        <w:pStyle w:val="43"/>
        <w:keepLines w:val="0"/>
        <w:pageBreakBefore w:val="0"/>
        <w:kinsoku/>
        <w:topLinePunct w:val="0"/>
        <w:bidi w:val="0"/>
        <w:adjustRightInd w:val="0"/>
        <w:snapToGrid w:val="0"/>
        <w:spacing w:before="0" w:beforeAutospacing="0" w:after="0" w:afterAutospacing="0"/>
        <w:jc w:val="center"/>
        <w:outlineLvl w:val="0"/>
        <w:rPr>
          <w:rFonts w:hint="default" w:ascii="Times New Roman" w:hAnsi="Times New Roman" w:eastAsia="宋体" w:cs="Times New Roman"/>
          <w:snapToGrid w:val="0"/>
          <w:sz w:val="30"/>
          <w:szCs w:val="30"/>
        </w:rPr>
      </w:pPr>
      <w:r>
        <w:rPr>
          <w:rFonts w:hint="default" w:ascii="Times New Roman" w:hAnsi="Times New Roman" w:eastAsia="宋体" w:cs="Times New Roman"/>
          <w:snapToGrid w:val="0"/>
          <w:sz w:val="36"/>
          <w:szCs w:val="36"/>
        </w:rPr>
        <w:br w:type="page"/>
      </w:r>
      <w:r>
        <w:rPr>
          <w:rFonts w:hint="default" w:ascii="Times New Roman" w:hAnsi="Times New Roman" w:eastAsia="宋体" w:cs="Times New Roman"/>
          <w:snapToGrid w:val="0"/>
          <w:sz w:val="30"/>
          <w:szCs w:val="30"/>
        </w:rPr>
        <w:t>四、主要环境影响和保护措施</w:t>
      </w:r>
    </w:p>
    <w:tbl>
      <w:tblPr>
        <w:tblStyle w:val="47"/>
        <w:tblW w:w="55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7"/>
        <w:gridCol w:w="8500"/>
      </w:tblGrid>
      <w:tr w14:paraId="71C30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noWrap w:val="0"/>
            <w:tcMar>
              <w:left w:w="28" w:type="dxa"/>
              <w:right w:w="28" w:type="dxa"/>
            </w:tcMar>
            <w:vAlign w:val="center"/>
          </w:tcPr>
          <w:p w14:paraId="702770E4">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14:paraId="595A6C0B">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14:paraId="48470AC3">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14:paraId="59CD5717">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14:paraId="18A42122">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FF0000"/>
                <w:kern w:val="2"/>
                <w:sz w:val="24"/>
                <w:szCs w:val="24"/>
              </w:rPr>
            </w:pPr>
            <w:r>
              <w:rPr>
                <w:rFonts w:hint="default" w:ascii="Times New Roman" w:hAnsi="Times New Roman" w:eastAsia="宋体" w:cs="Times New Roman"/>
                <w:color w:val="auto"/>
                <w:kern w:val="2"/>
                <w:sz w:val="24"/>
                <w:szCs w:val="24"/>
              </w:rPr>
              <w:t>施</w:t>
            </w:r>
          </w:p>
        </w:tc>
        <w:tc>
          <w:tcPr>
            <w:tcW w:w="8426" w:type="dxa"/>
            <w:gridSpan w:val="2"/>
            <w:noWrap w:val="0"/>
            <w:vAlign w:val="center"/>
          </w:tcPr>
          <w:p w14:paraId="1101459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一、施工期环境影响简要分析：</w:t>
            </w:r>
          </w:p>
          <w:p w14:paraId="70A297DD">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本项目施工工期为</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个月。</w:t>
            </w:r>
            <w:r>
              <w:rPr>
                <w:rFonts w:hint="default" w:ascii="Times New Roman" w:hAnsi="Times New Roman" w:eastAsia="宋体" w:cs="Times New Roman"/>
                <w:color w:val="auto"/>
                <w:sz w:val="24"/>
                <w:szCs w:val="24"/>
              </w:rPr>
              <w:t>根据本项目的场地情况、施工特点和周围环境，确定本项目施工期间引起的环境污染主要包括：</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噪声：主要为施工机械产生的噪声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废气：土建施工、材料堆置、汽车运输等产生的扬尘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废水：施工人员排放的生活污水</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建筑施工废水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固体废物：主要为建筑垃圾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施工人员</w:t>
            </w:r>
            <w:r>
              <w:rPr>
                <w:rFonts w:hint="default" w:ascii="Times New Roman" w:hAnsi="Times New Roman" w:eastAsia="宋体" w:cs="Times New Roman"/>
                <w:color w:val="auto"/>
                <w:sz w:val="24"/>
                <w:szCs w:val="24"/>
                <w:lang w:val="en-US" w:eastAsia="zh-CN"/>
              </w:rPr>
              <w:t>的生活垃圾及装修时产生的建筑垃圾等</w:t>
            </w:r>
            <w:r>
              <w:rPr>
                <w:rFonts w:hint="default" w:ascii="Times New Roman" w:hAnsi="Times New Roman" w:eastAsia="宋体" w:cs="Times New Roman"/>
                <w:color w:val="auto"/>
                <w:sz w:val="24"/>
                <w:szCs w:val="24"/>
              </w:rPr>
              <w:t>。</w:t>
            </w:r>
          </w:p>
          <w:p w14:paraId="41F55F2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1、施工废气</w:t>
            </w:r>
          </w:p>
          <w:p w14:paraId="05639EF3">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（1）道路运输扬尘防治措施</w:t>
            </w:r>
          </w:p>
          <w:p w14:paraId="55E65191">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①采取密闭或者其他措施防止抛洒、扬尘；</w:t>
            </w:r>
          </w:p>
          <w:p w14:paraId="1AD1CC5C">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②除泥、冲洗干净后方可驶出作业场所；</w:t>
            </w:r>
          </w:p>
          <w:p w14:paraId="5DD6538B">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③按照规定的时间和路线行驶。</w:t>
            </w:r>
          </w:p>
          <w:p w14:paraId="14F1C4A1">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④运送土石方和建筑原料的车辆应实行密闭运输，车辆进出、装卸场地时应限速行驶，并做到净车上路，减少扬尘量。</w:t>
            </w:r>
          </w:p>
          <w:p w14:paraId="52109084">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⑤运输车辆的载重等应符合《城市道路管理条例》有关规定，防止超载，防止路面破损引起运输过程颠簸遗撒。</w:t>
            </w:r>
          </w:p>
          <w:p w14:paraId="42FB7F11">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（2）施工场内施工扬尘防治措施</w:t>
            </w:r>
          </w:p>
          <w:p w14:paraId="25E10387">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施工现场实行围挡封闭。施工现场必须采用连续、密闭的彩钢板围挡，高度不得低于2.5米，围挡落尘应当定期清洗。做到“6个百分百”，即施工工地周边100%围挡；物料堆放100%覆盖；出入车辆100%冲洗；施工现场地面100%硬化；拆迁工地100%湿法作业；渣土车辆100%密闭运输；</w:t>
            </w:r>
          </w:p>
          <w:p w14:paraId="40E52068">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②施工期间，建筑结构脚手架外侧设置密闭式安全立网；</w:t>
            </w:r>
          </w:p>
          <w:p w14:paraId="7D5B058D">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施工工地内生活区、办公区、作业区加工场、材料堆场地面、车行道路应当进行硬化等防尘处理。应有专人负责逸散性材料、垃圾、渣土、裸地等密闭、覆盖、洒水作业以及车辆清洗作业等，并记录扬尘控制措施的实施情况；</w:t>
            </w:r>
          </w:p>
          <w:p w14:paraId="30961633">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④建筑垃圾、工程渣土、废弃物料以及易产生扬尘的建筑材料等，采取有效防尘覆盖等降尘措施；</w:t>
            </w:r>
          </w:p>
          <w:p w14:paraId="0056AA32">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⑤进行木材、石材加工等易产生扬尘的作业，采取湿法作业或设置专用封闭式作业间等降尘措施；</w:t>
            </w:r>
          </w:p>
          <w:p w14:paraId="2DCFA631">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⑥使用预拌混凝土和预拌砂浆，确需现场搅拌混凝土、砂浆的，对搅拌区域采取有效防尘措施；</w:t>
            </w:r>
          </w:p>
          <w:p w14:paraId="47F6472B">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⑦施工工地作业产生泥浆的，设置相应的泥浆池、泥浆沟，防止泥浆外溢，外运泥浆时采用密封式罐车；</w:t>
            </w:r>
          </w:p>
          <w:p w14:paraId="41A40435">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⑧施工车辆及机械设备尾气排放符合国家及地方规定的排放标准要求；</w:t>
            </w:r>
          </w:p>
          <w:p w14:paraId="268351F6">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⑨启动Ⅲ级（黄色）预警或者气象预报风速达到四级以上时，停止进行土方挖填、转运和拆除等易产生扬尘的作业。</w:t>
            </w:r>
          </w:p>
          <w:p w14:paraId="4DCAFA97">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（3）堆场扬尘防治措施</w:t>
            </w:r>
          </w:p>
          <w:p w14:paraId="4180A3DC">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①若在工地内露天堆置砂石，则应采取覆盖防尘布、覆盖防尘网等措施，必要时进行喷淋，防止风蚀起尘。</w:t>
            </w:r>
          </w:p>
          <w:p w14:paraId="70E366DE">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②对于散装粉状建筑材料利用仓库、封闭堆场、储藏罐等形式，并堆放在下风向，避免作业起尘和风蚀起尘。</w:t>
            </w:r>
          </w:p>
          <w:p w14:paraId="42464328">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③采用商品混凝土，避免现场搅拌混凝土产生的废气与粉尘，并减少建筑材料堆存量及扬尘的产生。</w:t>
            </w:r>
          </w:p>
          <w:p w14:paraId="06499A5F">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（4）房屋建筑施工应当采取下列扬尘污染防治措施：</w:t>
            </w:r>
          </w:p>
          <w:p w14:paraId="52FC0D3F">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①围挡上部设置朝向场内区域的喷雾装置，保证喷雾装置的正常使用；</w:t>
            </w:r>
          </w:p>
          <w:p w14:paraId="3685358D">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②车辆冲洗设施应当配套建设沉淀池，沉淀池做防渗处理；</w:t>
            </w:r>
          </w:p>
          <w:p w14:paraId="34C3021B">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③土方开挖时采取分区、分段作业，对易产生扬尘的非作业面进行覆盖；</w:t>
            </w:r>
          </w:p>
          <w:p w14:paraId="402FF273">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④脚手架外侧设置符合标准的密闭式安全网或其他具有同等防尘作用的设施；</w:t>
            </w:r>
          </w:p>
          <w:p w14:paraId="003597DE">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⑤现场喷涂、涂装面打磨等作业时，设置有效遮挡，减少粉尘飞扬；</w:t>
            </w:r>
          </w:p>
          <w:p w14:paraId="64E408CD">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⑥在建（构）筑物上清运散装物料、建筑垃圾和渣土，采取有效防尘措施，不得高空抛掷、扬撒；</w:t>
            </w:r>
          </w:p>
          <w:p w14:paraId="137CEC62">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⑦按技术规范要求设置扬尘在线监测设施，并与主管部门联网。</w:t>
            </w:r>
          </w:p>
          <w:p w14:paraId="1B2A8C6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2、施工废水</w:t>
            </w:r>
          </w:p>
          <w:p w14:paraId="20305249">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本项目施工期产生的废水主要为施工人员的生活污水和施工废水。</w:t>
            </w:r>
          </w:p>
          <w:p w14:paraId="02E31BFF">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（1）施工现场应设立隔油沉淀池，施工生产废水均通过排水沟流入隔油沉淀池中，经隔油沉淀后将上清液用于场地洒水抑尘，不外排。</w:t>
            </w:r>
          </w:p>
          <w:p w14:paraId="1144B660">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（2）固体废物应及时清理并运走，建筑材料应妥善存放并用篷布遮盖，防止雨水冲刷而造成沉淀池污染。</w:t>
            </w:r>
          </w:p>
          <w:p w14:paraId="790BAC8D">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（3）尽量避免在雨季开挖土方，节约建筑用水，防止溢流；还应备有防雨薄膜，遇上暴雨时，可用于遮盖临时土方堆场，减少雨水冲刷。</w:t>
            </w:r>
          </w:p>
          <w:p w14:paraId="1F544E0B">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（4）本项目施工人员生活污水</w:t>
            </w:r>
            <w:r>
              <w:rPr>
                <w:rFonts w:hint="eastAsia" w:ascii="Times New Roman" w:hAnsi="Times New Roman" w:eastAsia="宋体" w:cs="Times New Roman"/>
                <w:color w:val="auto"/>
                <w:sz w:val="24"/>
                <w:szCs w:val="24"/>
                <w:lang w:val="en-US" w:eastAsia="zh-CN"/>
              </w:rPr>
              <w:t>依托厂区现有化粪池进行</w:t>
            </w:r>
            <w:r>
              <w:rPr>
                <w:rFonts w:hint="default" w:ascii="Times New Roman" w:hAnsi="Times New Roman" w:eastAsia="宋体" w:cs="Times New Roman"/>
                <w:color w:val="auto"/>
                <w:sz w:val="24"/>
                <w:szCs w:val="24"/>
                <w:lang w:val="en-US" w:eastAsia="zh-CN"/>
              </w:rPr>
              <w:t>处理，不单独外排。</w:t>
            </w:r>
          </w:p>
          <w:p w14:paraId="4A5B552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3、施工噪声</w:t>
            </w:r>
          </w:p>
          <w:p w14:paraId="06DDBF4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建议建设单位从多方面着手，采取适当的措施来减轻噪声对周边环境的影响，确保施工期噪声达标排放：</w:t>
            </w:r>
          </w:p>
          <w:p w14:paraId="1EAAC55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（1）施工单位应尽量选用低噪声设备，在高噪声设备周围适当设置屏障以减轻噪声对周围环境的影响。</w:t>
            </w:r>
          </w:p>
          <w:p w14:paraId="7F7241B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建设单位在工程桩机选型上，施工单位应尽量采用先进的施工工艺，采用沉管灌注桩或预制管桩，禁止使用高噪声柴油冲击打桩机、振动打桩机生产工艺。同时在打桩时采用打应力释放孔，取土挖防震沟等技术。</w:t>
            </w:r>
          </w:p>
          <w:p w14:paraId="55C0134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（3）合理安排施工时间，强噪声设备夜间在22:00～06:00和中午12:00～14:00这两个时间段禁止施工。</w:t>
            </w:r>
          </w:p>
          <w:p w14:paraId="1C77D19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（4）加强对运输车辆的管理，尽量压缩工区机动车辆数量和行车密度，控制车辆鸣笛。</w:t>
            </w:r>
          </w:p>
          <w:p w14:paraId="572BDE8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（5）施工中应加强对施工机械的维护保养，避免由于设备性能差所增大的机械噪声的现象发生。</w:t>
            </w:r>
          </w:p>
          <w:p w14:paraId="3347F14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（6）合理布局，控制声源与施工场界的距离，确保施工场界噪声达标。</w:t>
            </w:r>
          </w:p>
          <w:p w14:paraId="74E4006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4、施工固废</w:t>
            </w:r>
          </w:p>
          <w:p w14:paraId="76EA5ED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城市建筑垃圾管理规定》的相关规定：任何单位和个人不得随意倾倒、抛撒或者堆放建筑垃圾；建筑垃圾处置实行减量化、资源化、无害化和谁产生、谁承担处置责任的原则；国家鼓励建筑垃圾综合利用，鼓励建设单位、施工单位优先采用建筑垃圾综合利用产品。建议施工方采取以下污染防治措施以避免施工固废对周围环境产生不利的影响：</w:t>
            </w:r>
          </w:p>
          <w:p w14:paraId="08A70FF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（1）生活垃圾设置集中收集设施，由环卫部门每天统一清运。</w:t>
            </w:r>
          </w:p>
          <w:p w14:paraId="53BFF3B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（2）建筑垃圾中可以回用的部分尽量回用。对土建工程垃圾，如不能及时利用的，应固定堆场，防止粉尘污染和水土流失。</w:t>
            </w:r>
          </w:p>
          <w:p w14:paraId="7780955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本项目选址范围内现无建筑物，本工程施工不需要大规模拆迁。先期施工开挖地表的土方可用于回填地基，多余的土方和施工过程中产生的渣土应按照市容管理部门的规定运往指定的地点，不得随意丢弃、倾倒等。</w:t>
            </w:r>
          </w:p>
          <w:p w14:paraId="2BCE0AA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建设单位和施工单位必须做好施工垃圾管理，避免对周围环境造成影响。</w:t>
            </w:r>
          </w:p>
          <w:p w14:paraId="59FE3E2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FF0000"/>
                <w:sz w:val="24"/>
                <w:szCs w:val="24"/>
                <w:lang w:val="en-US" w:eastAsia="zh-CN" w:bidi="ar-SA"/>
              </w:rPr>
            </w:pPr>
            <w:r>
              <w:rPr>
                <w:rFonts w:hint="default" w:ascii="Times New Roman" w:hAnsi="Times New Roman" w:eastAsia="宋体" w:cs="Times New Roman"/>
                <w:color w:val="auto"/>
                <w:kern w:val="0"/>
                <w:sz w:val="24"/>
                <w:szCs w:val="24"/>
                <w:lang w:val="en-US" w:eastAsia="zh-CN" w:bidi="ar"/>
              </w:rPr>
              <w:t>由于建筑垃圾是土建工程中不可避免的，因此建设单位和施工单位必须做好施工垃圾管理，避免对周围环境造成影响。</w:t>
            </w:r>
          </w:p>
        </w:tc>
      </w:tr>
      <w:tr w14:paraId="2B65B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gridSpan w:val="2"/>
            <w:noWrap w:val="0"/>
            <w:tcMar>
              <w:left w:w="28" w:type="dxa"/>
              <w:right w:w="28" w:type="dxa"/>
            </w:tcMar>
            <w:vAlign w:val="center"/>
          </w:tcPr>
          <w:p w14:paraId="63AB0B6C">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0D6F4B77">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1F6FDE9C">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6BF1AC0E">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5F2E1DFA">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14:paraId="5170EA9C">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FF0000"/>
                <w:sz w:val="24"/>
                <w:szCs w:val="24"/>
              </w:rPr>
            </w:pPr>
            <w:r>
              <w:rPr>
                <w:rFonts w:hint="default" w:ascii="Times New Roman" w:hAnsi="Times New Roman" w:eastAsia="宋体" w:cs="Times New Roman"/>
                <w:bCs/>
                <w:color w:val="auto"/>
                <w:sz w:val="24"/>
                <w:szCs w:val="24"/>
              </w:rPr>
              <w:t>措施</w:t>
            </w:r>
          </w:p>
        </w:tc>
        <w:tc>
          <w:tcPr>
            <w:tcW w:w="8419" w:type="dxa"/>
            <w:noWrap w:val="0"/>
            <w:vAlign w:val="center"/>
          </w:tcPr>
          <w:p w14:paraId="5F47F24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（一）废气</w:t>
            </w:r>
          </w:p>
          <w:p w14:paraId="1F7E152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1、废气污染物排放源分析</w:t>
            </w:r>
          </w:p>
          <w:p w14:paraId="35007E94">
            <w:pPr>
              <w:pStyle w:val="172"/>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本次技改的废气产生工序主要为：搅拌</w:t>
            </w:r>
            <w:r>
              <w:rPr>
                <w:rFonts w:hint="default" w:ascii="Times New Roman" w:hAnsi="Times New Roman" w:eastAsia="宋体" w:cs="Times New Roman"/>
                <w:b w:val="0"/>
                <w:bCs w:val="0"/>
                <w:color w:val="auto"/>
                <w:kern w:val="0"/>
                <w:sz w:val="24"/>
                <w:lang w:val="en-US" w:eastAsia="zh-CN"/>
              </w:rPr>
              <w:t>工序</w:t>
            </w:r>
            <w:r>
              <w:rPr>
                <w:rFonts w:hint="default" w:ascii="Times New Roman" w:hAnsi="Times New Roman" w:eastAsia="宋体" w:cs="Times New Roman"/>
                <w:color w:val="auto"/>
                <w:kern w:val="0"/>
                <w:sz w:val="24"/>
                <w:szCs w:val="24"/>
                <w:lang w:val="en-US" w:eastAsia="zh-CN" w:bidi="ar-SA"/>
              </w:rPr>
              <w:t>粉尘。</w:t>
            </w:r>
          </w:p>
          <w:p w14:paraId="5D8E0D81">
            <w:pPr>
              <w:pStyle w:val="172"/>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（1）搅拌</w:t>
            </w:r>
            <w:r>
              <w:rPr>
                <w:rFonts w:hint="default" w:ascii="Times New Roman" w:hAnsi="Times New Roman" w:eastAsia="宋体" w:cs="Times New Roman"/>
                <w:b w:val="0"/>
                <w:bCs w:val="0"/>
                <w:color w:val="auto"/>
                <w:kern w:val="0"/>
                <w:sz w:val="24"/>
                <w:lang w:val="en-US" w:eastAsia="zh-CN"/>
              </w:rPr>
              <w:t>工序</w:t>
            </w:r>
            <w:r>
              <w:rPr>
                <w:rFonts w:hint="default" w:ascii="Times New Roman" w:hAnsi="Times New Roman" w:eastAsia="宋体" w:cs="Times New Roman"/>
                <w:color w:val="auto"/>
                <w:kern w:val="0"/>
                <w:sz w:val="24"/>
                <w:szCs w:val="24"/>
                <w:lang w:val="en-US" w:eastAsia="zh-CN" w:bidi="ar-SA"/>
              </w:rPr>
              <w:t>粉尘</w:t>
            </w:r>
          </w:p>
          <w:p w14:paraId="4D79F138">
            <w:pPr>
              <w:pStyle w:val="172"/>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FF0000"/>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项目</w:t>
            </w:r>
            <w:r>
              <w:rPr>
                <w:rFonts w:hint="default" w:ascii="Times New Roman" w:hAnsi="Times New Roman" w:eastAsia="宋体" w:cs="Times New Roman"/>
                <w:color w:val="auto"/>
                <w:sz w:val="24"/>
                <w:lang w:val="en-US" w:eastAsia="zh-CN"/>
              </w:rPr>
              <w:t>搅拌</w:t>
            </w:r>
            <w:r>
              <w:rPr>
                <w:rFonts w:hint="default" w:ascii="Times New Roman" w:hAnsi="Times New Roman" w:eastAsia="宋体" w:cs="Times New Roman"/>
                <w:color w:val="auto"/>
                <w:kern w:val="0"/>
                <w:sz w:val="24"/>
                <w:szCs w:val="24"/>
                <w:lang w:val="en-US" w:eastAsia="zh-CN" w:bidi="ar-SA"/>
              </w:rPr>
              <w:t>过程中会产生颗粒物。</w:t>
            </w:r>
            <w:r>
              <w:rPr>
                <w:rFonts w:hint="default" w:ascii="Times New Roman" w:hAnsi="Times New Roman" w:eastAsia="宋体" w:cs="Times New Roman"/>
                <w:sz w:val="24"/>
                <w:szCs w:val="24"/>
              </w:rPr>
              <w:t>本次评价参考《逸散性工业粉尘控制技术》“第十八章粒料加工厂”的逸散尘的排放因子进行核算，搅拌落料粉尘产污系数为0.02kg/吨原料，项目进入搅拌机的原料量为</w:t>
            </w:r>
            <w:r>
              <w:rPr>
                <w:rFonts w:hint="eastAsia" w:ascii="Times New Roman" w:hAnsi="Times New Roman" w:cs="Times New Roman"/>
                <w:sz w:val="24"/>
                <w:szCs w:val="24"/>
                <w:lang w:val="en-US" w:eastAsia="zh-CN"/>
              </w:rPr>
              <w:t>30</w:t>
            </w:r>
            <w:r>
              <w:rPr>
                <w:rFonts w:hint="default" w:ascii="Times New Roman" w:hAnsi="Times New Roman" w:eastAsia="宋体" w:cs="Times New Roman"/>
                <w:sz w:val="24"/>
                <w:szCs w:val="24"/>
              </w:rPr>
              <w:t>万t/a，则搅拌机组颗粒物的产生量为</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t/a。搅拌机组密闭处理，收集效率按100%计</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采用布袋除尘器处理，处理效率为98%；排放量为0.12</w:t>
            </w:r>
            <w:r>
              <w:rPr>
                <w:rFonts w:hint="default" w:ascii="Times New Roman" w:hAnsi="Times New Roman" w:eastAsia="宋体" w:cs="Times New Roman"/>
                <w:sz w:val="24"/>
                <w:szCs w:val="24"/>
              </w:rPr>
              <w:t>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风机风量安装10000m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/h，排放浓度为5mg/m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，排放速率为0.05kg/h。</w:t>
            </w:r>
          </w:p>
          <w:p w14:paraId="6E3CDA5A">
            <w:pPr>
              <w:pStyle w:val="172"/>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FF0000"/>
                <w:kern w:val="0"/>
                <w:sz w:val="24"/>
                <w:szCs w:val="24"/>
                <w:lang w:val="en-US" w:eastAsia="zh-CN" w:bidi="ar-SA"/>
              </w:rPr>
            </w:pPr>
          </w:p>
        </w:tc>
      </w:tr>
    </w:tbl>
    <w:p w14:paraId="785D629E">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sz w:val="24"/>
          <w:szCs w:val="24"/>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47"/>
        <w:tblW w:w="54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4067"/>
      </w:tblGrid>
      <w:tr w14:paraId="702FD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65" w:type="dxa"/>
            <w:noWrap w:val="0"/>
            <w:tcMar>
              <w:left w:w="28" w:type="dxa"/>
              <w:right w:w="28" w:type="dxa"/>
            </w:tcMar>
            <w:vAlign w:val="center"/>
          </w:tcPr>
          <w:p w14:paraId="29BA9479">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FF0000"/>
                <w:sz w:val="24"/>
                <w:szCs w:val="24"/>
              </w:rPr>
            </w:pPr>
          </w:p>
        </w:tc>
        <w:tc>
          <w:tcPr>
            <w:tcW w:w="8340" w:type="dxa"/>
            <w:noWrap w:val="0"/>
            <w:vAlign w:val="center"/>
          </w:tcPr>
          <w:p w14:paraId="3CDBAC78">
            <w:pPr>
              <w:pStyle w:val="172"/>
              <w:keepLines w:val="0"/>
              <w:pageBreakBefore w:val="0"/>
              <w:numPr>
                <w:ilvl w:val="0"/>
                <w:numId w:val="0"/>
              </w:numPr>
              <w:kinsoku/>
              <w:topLinePunct w:val="0"/>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本项目运营期废气污染物产排污情况见表4-</w:t>
            </w:r>
            <w:r>
              <w:rPr>
                <w:rFonts w:hint="eastAsia" w:ascii="Times New Roman" w:hAnsi="Times New Roman"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w:t>
            </w:r>
          </w:p>
          <w:p w14:paraId="491521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表4-</w:t>
            </w:r>
            <w:r>
              <w:rPr>
                <w:rFonts w:hint="eastAsia" w:cs="Times New Roman"/>
                <w:b/>
                <w:bCs/>
                <w:color w:val="auto"/>
                <w:sz w:val="22"/>
                <w:szCs w:val="22"/>
                <w:lang w:val="en-US" w:eastAsia="zh-CN"/>
              </w:rPr>
              <w:t>1</w:t>
            </w:r>
            <w:r>
              <w:rPr>
                <w:rFonts w:hint="default" w:ascii="Times New Roman" w:hAnsi="Times New Roman" w:eastAsia="宋体" w:cs="Times New Roman"/>
                <w:b/>
                <w:bCs/>
                <w:color w:val="auto"/>
                <w:sz w:val="22"/>
                <w:szCs w:val="22"/>
                <w:lang w:val="zh-CN" w:eastAsia="zh-CN"/>
              </w:rPr>
              <w:t>废气污染物产排污情况一览表</w:t>
            </w:r>
          </w:p>
          <w:tbl>
            <w:tblPr>
              <w:tblStyle w:val="47"/>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866"/>
              <w:gridCol w:w="1260"/>
              <w:gridCol w:w="1242"/>
              <w:gridCol w:w="1171"/>
              <w:gridCol w:w="1040"/>
              <w:gridCol w:w="1747"/>
              <w:gridCol w:w="912"/>
              <w:gridCol w:w="870"/>
              <w:gridCol w:w="744"/>
              <w:gridCol w:w="756"/>
              <w:gridCol w:w="1086"/>
              <w:gridCol w:w="1166"/>
              <w:gridCol w:w="971"/>
            </w:tblGrid>
            <w:tr w14:paraId="16402D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jc w:val="center"/>
              </w:trPr>
              <w:tc>
                <w:tcPr>
                  <w:tcW w:w="615" w:type="dxa"/>
                  <w:vMerge w:val="restart"/>
                  <w:tcBorders>
                    <w:tl2br w:val="nil"/>
                    <w:tr2bl w:val="nil"/>
                  </w:tcBorders>
                  <w:shd w:val="clear" w:color="auto" w:fill="auto"/>
                  <w:vAlign w:val="center"/>
                </w:tcPr>
                <w:p w14:paraId="4565468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排放口</w:t>
                  </w:r>
                </w:p>
              </w:tc>
              <w:tc>
                <w:tcPr>
                  <w:tcW w:w="4819" w:type="dxa"/>
                  <w:gridSpan w:val="4"/>
                  <w:tcBorders>
                    <w:tl2br w:val="nil"/>
                    <w:tr2bl w:val="nil"/>
                  </w:tcBorders>
                  <w:shd w:val="clear" w:color="auto" w:fill="auto"/>
                  <w:vAlign w:val="center"/>
                </w:tcPr>
                <w:p w14:paraId="4B6088C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污染物产生情况</w:t>
                  </w:r>
                </w:p>
              </w:tc>
              <w:tc>
                <w:tcPr>
                  <w:tcW w:w="5119" w:type="dxa"/>
                  <w:gridSpan w:val="5"/>
                  <w:tcBorders>
                    <w:tl2br w:val="nil"/>
                    <w:tr2bl w:val="nil"/>
                  </w:tcBorders>
                  <w:shd w:val="clear" w:color="auto" w:fill="auto"/>
                  <w:vAlign w:val="center"/>
                </w:tcPr>
                <w:p w14:paraId="162F4A5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治理措施情况</w:t>
                  </w:r>
                </w:p>
              </w:tc>
              <w:tc>
                <w:tcPr>
                  <w:tcW w:w="3278" w:type="dxa"/>
                  <w:gridSpan w:val="3"/>
                  <w:tcBorders>
                    <w:tl2br w:val="nil"/>
                    <w:tr2bl w:val="nil"/>
                  </w:tcBorders>
                  <w:shd w:val="clear" w:color="auto" w:fill="auto"/>
                  <w:vAlign w:val="center"/>
                </w:tcPr>
                <w:p w14:paraId="2A6890D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污染物排放情况</w:t>
                  </w:r>
                </w:p>
              </w:tc>
            </w:tr>
            <w:tr w14:paraId="318A47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9" w:hRule="atLeast"/>
                <w:jc w:val="center"/>
              </w:trPr>
              <w:tc>
                <w:tcPr>
                  <w:tcW w:w="615" w:type="dxa"/>
                  <w:vMerge w:val="continue"/>
                  <w:tcBorders>
                    <w:tl2br w:val="nil"/>
                    <w:tr2bl w:val="nil"/>
                  </w:tcBorders>
                  <w:shd w:val="clear" w:color="auto" w:fill="auto"/>
                  <w:vAlign w:val="center"/>
                </w:tcPr>
                <w:p w14:paraId="4C65D80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1294" w:type="dxa"/>
                  <w:tcBorders>
                    <w:tl2br w:val="nil"/>
                    <w:tr2bl w:val="nil"/>
                  </w:tcBorders>
                  <w:shd w:val="clear" w:color="auto" w:fill="auto"/>
                  <w:vAlign w:val="center"/>
                </w:tcPr>
                <w:p w14:paraId="77E71C0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产排污环节</w:t>
                  </w:r>
                </w:p>
              </w:tc>
              <w:tc>
                <w:tcPr>
                  <w:tcW w:w="1275" w:type="dxa"/>
                  <w:tcBorders>
                    <w:tl2br w:val="nil"/>
                    <w:tr2bl w:val="nil"/>
                  </w:tcBorders>
                  <w:shd w:val="clear" w:color="auto" w:fill="auto"/>
                  <w:vAlign w:val="center"/>
                </w:tcPr>
                <w:p w14:paraId="32F872C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污染物种类</w:t>
                  </w:r>
                </w:p>
              </w:tc>
              <w:tc>
                <w:tcPr>
                  <w:tcW w:w="1200" w:type="dxa"/>
                  <w:tcBorders>
                    <w:tl2br w:val="nil"/>
                    <w:tr2bl w:val="nil"/>
                  </w:tcBorders>
                  <w:shd w:val="clear" w:color="auto" w:fill="auto"/>
                  <w:vAlign w:val="center"/>
                </w:tcPr>
                <w:p w14:paraId="2E7AE4F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产生量t/a</w:t>
                  </w:r>
                </w:p>
              </w:tc>
              <w:tc>
                <w:tcPr>
                  <w:tcW w:w="1050" w:type="dxa"/>
                  <w:tcBorders>
                    <w:tl2br w:val="nil"/>
                    <w:tr2bl w:val="nil"/>
                  </w:tcBorders>
                  <w:shd w:val="clear" w:color="auto" w:fill="auto"/>
                  <w:vAlign w:val="center"/>
                </w:tcPr>
                <w:p w14:paraId="3C67BF9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产生浓度mg/m</w:t>
                  </w:r>
                  <w:r>
                    <w:rPr>
                      <w:rFonts w:hint="default" w:ascii="Times New Roman" w:hAnsi="Times New Roman" w:eastAsia="宋体" w:cs="Times New Roman"/>
                      <w:color w:val="auto"/>
                      <w:kern w:val="0"/>
                      <w:sz w:val="21"/>
                      <w:szCs w:val="21"/>
                      <w:vertAlign w:val="superscript"/>
                      <w:lang w:val="en-US" w:eastAsia="zh-CN" w:bidi="ar-SA"/>
                    </w:rPr>
                    <w:t>3</w:t>
                  </w:r>
                </w:p>
              </w:tc>
              <w:tc>
                <w:tcPr>
                  <w:tcW w:w="1800" w:type="dxa"/>
                  <w:tcBorders>
                    <w:tl2br w:val="nil"/>
                    <w:tr2bl w:val="nil"/>
                  </w:tcBorders>
                  <w:shd w:val="clear" w:color="auto" w:fill="auto"/>
                  <w:vAlign w:val="center"/>
                </w:tcPr>
                <w:p w14:paraId="2FB5D12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治理设施</w:t>
                  </w:r>
                </w:p>
              </w:tc>
              <w:tc>
                <w:tcPr>
                  <w:tcW w:w="919" w:type="dxa"/>
                  <w:tcBorders>
                    <w:tl2br w:val="nil"/>
                    <w:tr2bl w:val="nil"/>
                  </w:tcBorders>
                  <w:shd w:val="clear" w:color="auto" w:fill="auto"/>
                  <w:vAlign w:val="center"/>
                </w:tcPr>
                <w:p w14:paraId="53C9DA7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处理能力m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/h</w:t>
                  </w:r>
                </w:p>
              </w:tc>
              <w:tc>
                <w:tcPr>
                  <w:tcW w:w="881" w:type="dxa"/>
                  <w:tcBorders>
                    <w:tl2br w:val="nil"/>
                    <w:tr2bl w:val="nil"/>
                  </w:tcBorders>
                  <w:shd w:val="clear" w:color="auto" w:fill="auto"/>
                  <w:vAlign w:val="center"/>
                </w:tcPr>
                <w:p w14:paraId="0D2A680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收集效率%</w:t>
                  </w:r>
                </w:p>
              </w:tc>
              <w:tc>
                <w:tcPr>
                  <w:tcW w:w="750" w:type="dxa"/>
                  <w:tcBorders>
                    <w:tl2br w:val="nil"/>
                    <w:tr2bl w:val="nil"/>
                  </w:tcBorders>
                  <w:shd w:val="clear" w:color="auto" w:fill="auto"/>
                  <w:vAlign w:val="center"/>
                </w:tcPr>
                <w:p w14:paraId="61A4EF6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去除率%</w:t>
                  </w:r>
                </w:p>
              </w:tc>
              <w:tc>
                <w:tcPr>
                  <w:tcW w:w="769" w:type="dxa"/>
                  <w:tcBorders>
                    <w:tl2br w:val="nil"/>
                    <w:tr2bl w:val="nil"/>
                  </w:tcBorders>
                  <w:shd w:val="clear" w:color="auto" w:fill="auto"/>
                  <w:vAlign w:val="center"/>
                </w:tcPr>
                <w:p w14:paraId="2ECFDF0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是否可行技术</w:t>
                  </w:r>
                </w:p>
              </w:tc>
              <w:tc>
                <w:tcPr>
                  <w:tcW w:w="1106" w:type="dxa"/>
                  <w:tcBorders>
                    <w:tl2br w:val="nil"/>
                    <w:tr2bl w:val="nil"/>
                  </w:tcBorders>
                  <w:shd w:val="clear" w:color="auto" w:fill="auto"/>
                  <w:vAlign w:val="center"/>
                </w:tcPr>
                <w:p w14:paraId="60E9BDB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有组织排放量t/a</w:t>
                  </w:r>
                </w:p>
              </w:tc>
              <w:tc>
                <w:tcPr>
                  <w:tcW w:w="1181" w:type="dxa"/>
                  <w:tcBorders>
                    <w:tl2br w:val="nil"/>
                    <w:tr2bl w:val="nil"/>
                  </w:tcBorders>
                  <w:shd w:val="clear" w:color="auto" w:fill="auto"/>
                  <w:vAlign w:val="center"/>
                </w:tcPr>
                <w:p w14:paraId="7296E52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有组织排放浓度mg/m</w:t>
                  </w:r>
                  <w:r>
                    <w:rPr>
                      <w:rFonts w:hint="default" w:ascii="Times New Roman" w:hAnsi="Times New Roman" w:eastAsia="宋体" w:cs="Times New Roman"/>
                      <w:color w:val="auto"/>
                      <w:kern w:val="0"/>
                      <w:sz w:val="21"/>
                      <w:szCs w:val="21"/>
                      <w:vertAlign w:val="superscript"/>
                      <w:lang w:val="en-US" w:eastAsia="zh-CN" w:bidi="ar-SA"/>
                    </w:rPr>
                    <w:t>3</w:t>
                  </w:r>
                </w:p>
              </w:tc>
              <w:tc>
                <w:tcPr>
                  <w:tcW w:w="991" w:type="dxa"/>
                  <w:tcBorders>
                    <w:tl2br w:val="nil"/>
                    <w:tr2bl w:val="nil"/>
                  </w:tcBorders>
                  <w:shd w:val="clear" w:color="auto" w:fill="auto"/>
                  <w:vAlign w:val="center"/>
                </w:tcPr>
                <w:p w14:paraId="4B9B163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无组织排放量t/a</w:t>
                  </w:r>
                </w:p>
              </w:tc>
            </w:tr>
            <w:tr w14:paraId="61DBCE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35" w:hRule="atLeast"/>
                <w:jc w:val="center"/>
              </w:trPr>
              <w:tc>
                <w:tcPr>
                  <w:tcW w:w="615" w:type="dxa"/>
                  <w:tcBorders>
                    <w:tl2br w:val="nil"/>
                    <w:tr2bl w:val="nil"/>
                  </w:tcBorders>
                  <w:shd w:val="clear" w:color="auto" w:fill="auto"/>
                  <w:vAlign w:val="center"/>
                </w:tcPr>
                <w:p w14:paraId="7F61073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DA00</w:t>
                  </w:r>
                  <w:r>
                    <w:rPr>
                      <w:rFonts w:hint="eastAsia" w:cs="Times New Roman"/>
                      <w:color w:val="auto"/>
                      <w:kern w:val="0"/>
                      <w:sz w:val="21"/>
                      <w:szCs w:val="21"/>
                      <w:lang w:val="en-US" w:eastAsia="zh-CN" w:bidi="ar-SA"/>
                    </w:rPr>
                    <w:t>2</w:t>
                  </w:r>
                </w:p>
              </w:tc>
              <w:tc>
                <w:tcPr>
                  <w:tcW w:w="1294" w:type="dxa"/>
                  <w:tcBorders>
                    <w:tl2br w:val="nil"/>
                    <w:tr2bl w:val="nil"/>
                  </w:tcBorders>
                  <w:shd w:val="clear" w:color="auto" w:fill="auto"/>
                  <w:vAlign w:val="center"/>
                </w:tcPr>
                <w:p w14:paraId="77C1571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搅拌粉尘</w:t>
                  </w:r>
                </w:p>
              </w:tc>
              <w:tc>
                <w:tcPr>
                  <w:tcW w:w="1275" w:type="dxa"/>
                  <w:tcBorders>
                    <w:tl2br w:val="nil"/>
                    <w:tr2bl w:val="nil"/>
                  </w:tcBorders>
                  <w:shd w:val="clear" w:color="auto" w:fill="auto"/>
                  <w:vAlign w:val="center"/>
                </w:tcPr>
                <w:p w14:paraId="12D723C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颗粒物</w:t>
                  </w:r>
                </w:p>
              </w:tc>
              <w:tc>
                <w:tcPr>
                  <w:tcW w:w="1200" w:type="dxa"/>
                  <w:tcBorders>
                    <w:tl2br w:val="nil"/>
                    <w:tr2bl w:val="nil"/>
                  </w:tcBorders>
                  <w:shd w:val="clear" w:color="auto" w:fill="auto"/>
                  <w:vAlign w:val="center"/>
                </w:tcPr>
                <w:p w14:paraId="4664E53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z w:val="21"/>
                      <w:szCs w:val="21"/>
                      <w:lang w:val="en-US" w:eastAsia="zh-CN"/>
                    </w:rPr>
                    <w:t>6</w:t>
                  </w:r>
                </w:p>
              </w:tc>
              <w:tc>
                <w:tcPr>
                  <w:tcW w:w="1050" w:type="dxa"/>
                  <w:tcBorders>
                    <w:tl2br w:val="nil"/>
                    <w:tr2bl w:val="nil"/>
                  </w:tcBorders>
                  <w:shd w:val="clear" w:color="auto" w:fill="auto"/>
                  <w:vAlign w:val="center"/>
                </w:tcPr>
                <w:p w14:paraId="018440B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250</w:t>
                  </w:r>
                </w:p>
              </w:tc>
              <w:tc>
                <w:tcPr>
                  <w:tcW w:w="1800" w:type="dxa"/>
                  <w:tcBorders>
                    <w:tl2br w:val="nil"/>
                    <w:tr2bl w:val="nil"/>
                  </w:tcBorders>
                  <w:shd w:val="clear" w:color="auto" w:fill="auto"/>
                  <w:vAlign w:val="center"/>
                </w:tcPr>
                <w:p w14:paraId="26BCDBD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布袋除尘器</w:t>
                  </w:r>
                </w:p>
              </w:tc>
              <w:tc>
                <w:tcPr>
                  <w:tcW w:w="919" w:type="dxa"/>
                  <w:tcBorders>
                    <w:tl2br w:val="nil"/>
                    <w:tr2bl w:val="nil"/>
                  </w:tcBorders>
                  <w:shd w:val="clear" w:color="auto" w:fill="auto"/>
                  <w:vAlign w:val="center"/>
                </w:tcPr>
                <w:p w14:paraId="079EE3C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10000</w:t>
                  </w:r>
                </w:p>
              </w:tc>
              <w:tc>
                <w:tcPr>
                  <w:tcW w:w="881" w:type="dxa"/>
                  <w:tcBorders>
                    <w:tl2br w:val="nil"/>
                    <w:tr2bl w:val="nil"/>
                  </w:tcBorders>
                  <w:shd w:val="clear" w:color="auto" w:fill="auto"/>
                  <w:vAlign w:val="center"/>
                </w:tcPr>
                <w:p w14:paraId="21E31C2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c>
                <w:tcPr>
                  <w:tcW w:w="750" w:type="dxa"/>
                  <w:tcBorders>
                    <w:tl2br w:val="nil"/>
                    <w:tr2bl w:val="nil"/>
                  </w:tcBorders>
                  <w:shd w:val="clear" w:color="auto" w:fill="auto"/>
                  <w:vAlign w:val="center"/>
                </w:tcPr>
                <w:p w14:paraId="38FF5AB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98</w:t>
                  </w:r>
                </w:p>
              </w:tc>
              <w:tc>
                <w:tcPr>
                  <w:tcW w:w="769" w:type="dxa"/>
                  <w:tcBorders>
                    <w:tl2br w:val="nil"/>
                    <w:tr2bl w:val="nil"/>
                  </w:tcBorders>
                  <w:shd w:val="clear" w:color="auto" w:fill="auto"/>
                  <w:vAlign w:val="center"/>
                </w:tcPr>
                <w:p w14:paraId="3B8CB97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是</w:t>
                  </w:r>
                </w:p>
              </w:tc>
              <w:tc>
                <w:tcPr>
                  <w:tcW w:w="1106" w:type="dxa"/>
                  <w:tcBorders>
                    <w:tl2br w:val="nil"/>
                    <w:tr2bl w:val="nil"/>
                  </w:tcBorders>
                  <w:shd w:val="clear" w:color="auto" w:fill="auto"/>
                  <w:vAlign w:val="center"/>
                </w:tcPr>
                <w:p w14:paraId="0C6872E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0.12</w:t>
                  </w:r>
                </w:p>
              </w:tc>
              <w:tc>
                <w:tcPr>
                  <w:tcW w:w="1181" w:type="dxa"/>
                  <w:tcBorders>
                    <w:tl2br w:val="nil"/>
                    <w:tr2bl w:val="nil"/>
                  </w:tcBorders>
                  <w:shd w:val="clear" w:color="auto" w:fill="auto"/>
                  <w:vAlign w:val="center"/>
                </w:tcPr>
                <w:p w14:paraId="2816146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991" w:type="dxa"/>
                  <w:tcBorders>
                    <w:tl2br w:val="nil"/>
                    <w:tr2bl w:val="nil"/>
                  </w:tcBorders>
                  <w:shd w:val="clear" w:color="auto" w:fill="auto"/>
                  <w:vAlign w:val="center"/>
                </w:tcPr>
                <w:p w14:paraId="721A015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r>
          </w:tbl>
          <w:p w14:paraId="0389AEBF">
            <w:pPr>
              <w:pStyle w:val="17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本项目废气污染物排放口基本情况详见表4-</w:t>
            </w:r>
            <w:r>
              <w:rPr>
                <w:rFonts w:hint="eastAsia" w:ascii="Times New Roman" w:hAnsi="Times New Roman"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w:t>
            </w:r>
          </w:p>
          <w:p w14:paraId="2835AF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表4-</w:t>
            </w:r>
            <w:r>
              <w:rPr>
                <w:rFonts w:hint="eastAsia" w:cs="Times New Roman"/>
                <w:b/>
                <w:bCs/>
                <w:color w:val="auto"/>
                <w:sz w:val="22"/>
                <w:szCs w:val="22"/>
                <w:lang w:val="en-US" w:eastAsia="zh-CN"/>
              </w:rPr>
              <w:t>2</w:t>
            </w:r>
            <w:r>
              <w:rPr>
                <w:rFonts w:hint="default" w:ascii="Times New Roman" w:hAnsi="Times New Roman" w:eastAsia="宋体" w:cs="Times New Roman"/>
                <w:b/>
                <w:bCs/>
                <w:color w:val="auto"/>
                <w:sz w:val="22"/>
                <w:szCs w:val="22"/>
                <w:lang w:val="zh-CN" w:eastAsia="zh-CN"/>
              </w:rPr>
              <w:t>废气排放口基本情况</w:t>
            </w:r>
          </w:p>
          <w:tbl>
            <w:tblPr>
              <w:tblStyle w:val="4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28" w:type="dxa"/>
                <w:bottom w:w="0" w:type="dxa"/>
                <w:right w:w="28" w:type="dxa"/>
              </w:tblCellMar>
            </w:tblPr>
            <w:tblGrid>
              <w:gridCol w:w="1259"/>
              <w:gridCol w:w="2059"/>
              <w:gridCol w:w="2541"/>
              <w:gridCol w:w="2512"/>
              <w:gridCol w:w="1163"/>
              <w:gridCol w:w="1319"/>
              <w:gridCol w:w="1494"/>
              <w:gridCol w:w="1484"/>
            </w:tblGrid>
            <w:tr w14:paraId="1991B0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42" w:hRule="atLeast"/>
                <w:jc w:val="center"/>
              </w:trPr>
              <w:tc>
                <w:tcPr>
                  <w:tcW w:w="1259" w:type="dxa"/>
                  <w:vMerge w:val="restart"/>
                  <w:tcBorders>
                    <w:tl2br w:val="nil"/>
                    <w:tr2bl w:val="nil"/>
                  </w:tcBorders>
                  <w:noWrap w:val="0"/>
                  <w:vAlign w:val="center"/>
                </w:tcPr>
                <w:p w14:paraId="43DAF54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编号</w:t>
                  </w:r>
                </w:p>
              </w:tc>
              <w:tc>
                <w:tcPr>
                  <w:tcW w:w="2059" w:type="dxa"/>
                  <w:vMerge w:val="restart"/>
                  <w:tcBorders>
                    <w:tl2br w:val="nil"/>
                    <w:tr2bl w:val="nil"/>
                  </w:tcBorders>
                  <w:noWrap w:val="0"/>
                  <w:vAlign w:val="center"/>
                </w:tcPr>
                <w:p w14:paraId="58B6C4B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污染源名称</w:t>
                  </w:r>
                </w:p>
              </w:tc>
              <w:tc>
                <w:tcPr>
                  <w:tcW w:w="5053" w:type="dxa"/>
                  <w:gridSpan w:val="2"/>
                  <w:tcBorders>
                    <w:tl2br w:val="nil"/>
                    <w:tr2bl w:val="nil"/>
                  </w:tcBorders>
                  <w:noWrap w:val="0"/>
                  <w:vAlign w:val="center"/>
                </w:tcPr>
                <w:p w14:paraId="60F2AD7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排气筒底部中心坐标</w:t>
                  </w:r>
                </w:p>
              </w:tc>
              <w:tc>
                <w:tcPr>
                  <w:tcW w:w="3976" w:type="dxa"/>
                  <w:gridSpan w:val="3"/>
                  <w:tcBorders>
                    <w:tl2br w:val="nil"/>
                    <w:tr2bl w:val="nil"/>
                  </w:tcBorders>
                  <w:noWrap w:val="0"/>
                  <w:vAlign w:val="center"/>
                </w:tcPr>
                <w:p w14:paraId="4055D6B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排气筒参数</w:t>
                  </w:r>
                </w:p>
              </w:tc>
              <w:tc>
                <w:tcPr>
                  <w:tcW w:w="1484" w:type="dxa"/>
                  <w:vMerge w:val="restart"/>
                  <w:tcBorders>
                    <w:tl2br w:val="nil"/>
                    <w:tr2bl w:val="nil"/>
                  </w:tcBorders>
                  <w:noWrap w:val="0"/>
                  <w:vAlign w:val="center"/>
                </w:tcPr>
                <w:p w14:paraId="148CB23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排放口类型</w:t>
                  </w:r>
                </w:p>
              </w:tc>
            </w:tr>
            <w:tr w14:paraId="1ADBDD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92" w:hRule="atLeast"/>
                <w:jc w:val="center"/>
              </w:trPr>
              <w:tc>
                <w:tcPr>
                  <w:tcW w:w="1259" w:type="dxa"/>
                  <w:vMerge w:val="continue"/>
                  <w:tcBorders>
                    <w:tl2br w:val="nil"/>
                    <w:tr2bl w:val="nil"/>
                  </w:tcBorders>
                  <w:noWrap w:val="0"/>
                  <w:vAlign w:val="center"/>
                </w:tcPr>
                <w:p w14:paraId="1F6FD8E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2059" w:type="dxa"/>
                  <w:vMerge w:val="continue"/>
                  <w:tcBorders>
                    <w:tl2br w:val="nil"/>
                    <w:tr2bl w:val="nil"/>
                  </w:tcBorders>
                  <w:noWrap w:val="0"/>
                  <w:vAlign w:val="center"/>
                </w:tcPr>
                <w:p w14:paraId="49D2A71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2541" w:type="dxa"/>
                  <w:tcBorders>
                    <w:tl2br w:val="nil"/>
                    <w:tr2bl w:val="nil"/>
                  </w:tcBorders>
                  <w:noWrap w:val="0"/>
                  <w:vAlign w:val="center"/>
                </w:tcPr>
                <w:p w14:paraId="5B55620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经度（</w:t>
                  </w:r>
                  <w:r>
                    <w:rPr>
                      <w:rFonts w:hint="default" w:ascii="Times New Roman" w:hAnsi="Times New Roman" w:eastAsia="宋体" w:cs="Times New Roman"/>
                      <w:color w:val="auto"/>
                      <w:kern w:val="0"/>
                      <w:sz w:val="21"/>
                      <w:szCs w:val="21"/>
                      <w:vertAlign w:val="superscript"/>
                      <w:lang w:val="en-US" w:eastAsia="zh-CN" w:bidi="ar-SA"/>
                    </w:rPr>
                    <w:t>o</w:t>
                  </w:r>
                  <w:r>
                    <w:rPr>
                      <w:rFonts w:hint="default" w:ascii="Times New Roman" w:hAnsi="Times New Roman" w:eastAsia="宋体" w:cs="Times New Roman"/>
                      <w:color w:val="auto"/>
                      <w:kern w:val="0"/>
                      <w:sz w:val="21"/>
                      <w:szCs w:val="21"/>
                      <w:lang w:val="en-US" w:eastAsia="zh-CN" w:bidi="ar-SA"/>
                    </w:rPr>
                    <w:t>）</w:t>
                  </w:r>
                </w:p>
              </w:tc>
              <w:tc>
                <w:tcPr>
                  <w:tcW w:w="2512" w:type="dxa"/>
                  <w:tcBorders>
                    <w:tl2br w:val="nil"/>
                    <w:tr2bl w:val="nil"/>
                  </w:tcBorders>
                  <w:noWrap w:val="0"/>
                  <w:vAlign w:val="center"/>
                </w:tcPr>
                <w:p w14:paraId="3199AB0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纬度（</w:t>
                  </w:r>
                  <w:r>
                    <w:rPr>
                      <w:rFonts w:hint="default" w:ascii="Times New Roman" w:hAnsi="Times New Roman" w:eastAsia="宋体" w:cs="Times New Roman"/>
                      <w:color w:val="auto"/>
                      <w:kern w:val="0"/>
                      <w:sz w:val="21"/>
                      <w:szCs w:val="21"/>
                      <w:vertAlign w:val="superscript"/>
                      <w:lang w:val="en-US" w:eastAsia="zh-CN" w:bidi="ar-SA"/>
                    </w:rPr>
                    <w:t>o</w:t>
                  </w:r>
                  <w:r>
                    <w:rPr>
                      <w:rFonts w:hint="default" w:ascii="Times New Roman" w:hAnsi="Times New Roman" w:eastAsia="宋体" w:cs="Times New Roman"/>
                      <w:color w:val="auto"/>
                      <w:kern w:val="0"/>
                      <w:sz w:val="21"/>
                      <w:szCs w:val="21"/>
                      <w:lang w:val="en-US" w:eastAsia="zh-CN" w:bidi="ar-SA"/>
                    </w:rPr>
                    <w:t>）</w:t>
                  </w:r>
                </w:p>
              </w:tc>
              <w:tc>
                <w:tcPr>
                  <w:tcW w:w="1163" w:type="dxa"/>
                  <w:tcBorders>
                    <w:tl2br w:val="nil"/>
                    <w:tr2bl w:val="nil"/>
                  </w:tcBorders>
                  <w:noWrap w:val="0"/>
                  <w:vAlign w:val="center"/>
                </w:tcPr>
                <w:p w14:paraId="0B238A8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高度（m）</w:t>
                  </w:r>
                </w:p>
              </w:tc>
              <w:tc>
                <w:tcPr>
                  <w:tcW w:w="1319" w:type="dxa"/>
                  <w:tcBorders>
                    <w:tl2br w:val="nil"/>
                    <w:tr2bl w:val="nil"/>
                  </w:tcBorders>
                  <w:noWrap w:val="0"/>
                  <w:vAlign w:val="center"/>
                </w:tcPr>
                <w:p w14:paraId="3C5CFD6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内径（mm）</w:t>
                  </w:r>
                </w:p>
              </w:tc>
              <w:tc>
                <w:tcPr>
                  <w:tcW w:w="1494" w:type="dxa"/>
                  <w:tcBorders>
                    <w:tl2br w:val="nil"/>
                    <w:tr2bl w:val="nil"/>
                  </w:tcBorders>
                  <w:noWrap w:val="0"/>
                  <w:vAlign w:val="center"/>
                </w:tcPr>
                <w:p w14:paraId="1F8DB65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温度（℃）</w:t>
                  </w:r>
                </w:p>
              </w:tc>
              <w:tc>
                <w:tcPr>
                  <w:tcW w:w="1484" w:type="dxa"/>
                  <w:vMerge w:val="continue"/>
                  <w:tcBorders>
                    <w:tl2br w:val="nil"/>
                    <w:tr2bl w:val="nil"/>
                  </w:tcBorders>
                  <w:noWrap w:val="0"/>
                  <w:vAlign w:val="center"/>
                </w:tcPr>
                <w:p w14:paraId="7723D47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r>
            <w:tr w14:paraId="14649E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1259" w:type="dxa"/>
                  <w:tcBorders>
                    <w:tl2br w:val="nil"/>
                    <w:tr2bl w:val="nil"/>
                  </w:tcBorders>
                  <w:noWrap w:val="0"/>
                  <w:vAlign w:val="center"/>
                </w:tcPr>
                <w:p w14:paraId="48D73B1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DA002</w:t>
                  </w:r>
                </w:p>
              </w:tc>
              <w:tc>
                <w:tcPr>
                  <w:tcW w:w="2059" w:type="dxa"/>
                  <w:tcBorders>
                    <w:tl2br w:val="nil"/>
                    <w:tr2bl w:val="nil"/>
                  </w:tcBorders>
                  <w:noWrap w:val="0"/>
                  <w:vAlign w:val="center"/>
                </w:tcPr>
                <w:p w14:paraId="21D47F6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搅拌废气排气口</w:t>
                  </w:r>
                </w:p>
              </w:tc>
              <w:tc>
                <w:tcPr>
                  <w:tcW w:w="2541" w:type="dxa"/>
                  <w:tcBorders>
                    <w:tl2br w:val="nil"/>
                    <w:tr2bl w:val="nil"/>
                  </w:tcBorders>
                  <w:noWrap w:val="0"/>
                  <w:vAlign w:val="center"/>
                </w:tcPr>
                <w:p w14:paraId="2CA380F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116.493256</w:t>
                  </w:r>
                </w:p>
              </w:tc>
              <w:tc>
                <w:tcPr>
                  <w:tcW w:w="2512" w:type="dxa"/>
                  <w:tcBorders>
                    <w:tl2br w:val="nil"/>
                    <w:tr2bl w:val="nil"/>
                  </w:tcBorders>
                  <w:noWrap w:val="0"/>
                  <w:vAlign w:val="center"/>
                </w:tcPr>
                <w:p w14:paraId="12CA303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33.26105</w:t>
                  </w:r>
                </w:p>
              </w:tc>
              <w:tc>
                <w:tcPr>
                  <w:tcW w:w="1163" w:type="dxa"/>
                  <w:tcBorders>
                    <w:tl2br w:val="nil"/>
                    <w:tr2bl w:val="nil"/>
                  </w:tcBorders>
                  <w:noWrap w:val="0"/>
                  <w:vAlign w:val="center"/>
                </w:tcPr>
                <w:p w14:paraId="57CFF3A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1319" w:type="dxa"/>
                  <w:tcBorders>
                    <w:tl2br w:val="nil"/>
                    <w:tr2bl w:val="nil"/>
                  </w:tcBorders>
                  <w:noWrap w:val="0"/>
                  <w:vAlign w:val="center"/>
                </w:tcPr>
                <w:p w14:paraId="5F079C2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0.4</w:t>
                  </w:r>
                </w:p>
              </w:tc>
              <w:tc>
                <w:tcPr>
                  <w:tcW w:w="1494" w:type="dxa"/>
                  <w:tcBorders>
                    <w:tl2br w:val="nil"/>
                    <w:tr2bl w:val="nil"/>
                  </w:tcBorders>
                  <w:noWrap w:val="0"/>
                  <w:vAlign w:val="center"/>
                </w:tcPr>
                <w:p w14:paraId="1727CA9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常温</w:t>
                  </w:r>
                </w:p>
              </w:tc>
              <w:tc>
                <w:tcPr>
                  <w:tcW w:w="1484" w:type="dxa"/>
                  <w:tcBorders>
                    <w:tl2br w:val="nil"/>
                    <w:tr2bl w:val="nil"/>
                  </w:tcBorders>
                  <w:noWrap w:val="0"/>
                  <w:vAlign w:val="center"/>
                </w:tcPr>
                <w:p w14:paraId="0F52F75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一般排放口</w:t>
                  </w:r>
                </w:p>
              </w:tc>
            </w:tr>
          </w:tbl>
          <w:p w14:paraId="4C301B9C">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本项目废气排放口达标分析情况见表4-</w:t>
            </w:r>
            <w:r>
              <w:rPr>
                <w:rFonts w:hint="eastAsia" w:cs="Times New Roman"/>
                <w:bCs/>
                <w:color w:val="auto"/>
                <w:sz w:val="24"/>
                <w:szCs w:val="24"/>
                <w:lang w:val="en-US" w:eastAsia="zh-CN"/>
              </w:rPr>
              <w:t>3</w:t>
            </w:r>
            <w:r>
              <w:rPr>
                <w:rFonts w:hint="default" w:ascii="Times New Roman" w:hAnsi="Times New Roman" w:eastAsia="宋体" w:cs="Times New Roman"/>
                <w:bCs/>
                <w:color w:val="auto"/>
                <w:sz w:val="24"/>
                <w:szCs w:val="24"/>
              </w:rPr>
              <w:t>。</w:t>
            </w:r>
          </w:p>
          <w:p w14:paraId="707772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表4-</w:t>
            </w:r>
            <w:r>
              <w:rPr>
                <w:rFonts w:hint="eastAsia" w:cs="Times New Roman"/>
                <w:b/>
                <w:bCs/>
                <w:color w:val="auto"/>
                <w:sz w:val="22"/>
                <w:szCs w:val="22"/>
                <w:lang w:val="en-US" w:eastAsia="zh-CN"/>
              </w:rPr>
              <w:t>3</w:t>
            </w:r>
            <w:r>
              <w:rPr>
                <w:rFonts w:hint="default" w:ascii="Times New Roman" w:hAnsi="Times New Roman" w:eastAsia="宋体" w:cs="Times New Roman"/>
                <w:b/>
                <w:bCs/>
                <w:color w:val="auto"/>
                <w:sz w:val="22"/>
                <w:szCs w:val="22"/>
                <w:lang w:val="zh-CN" w:eastAsia="zh-CN"/>
              </w:rPr>
              <w:t>废气排放口达标分析情况</w:t>
            </w:r>
          </w:p>
          <w:tbl>
            <w:tblPr>
              <w:tblStyle w:val="47"/>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20" w:type="dxa"/>
                <w:bottom w:w="0" w:type="dxa"/>
                <w:right w:w="20" w:type="dxa"/>
              </w:tblCellMar>
            </w:tblPr>
            <w:tblGrid>
              <w:gridCol w:w="1350"/>
              <w:gridCol w:w="1611"/>
              <w:gridCol w:w="3271"/>
              <w:gridCol w:w="1860"/>
              <w:gridCol w:w="1541"/>
              <w:gridCol w:w="1929"/>
              <w:gridCol w:w="1320"/>
              <w:gridCol w:w="946"/>
            </w:tblGrid>
            <w:tr w14:paraId="191834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0" w:type="dxa"/>
                  <w:bottom w:w="0" w:type="dxa"/>
                  <w:right w:w="20" w:type="dxa"/>
                </w:tblCellMar>
              </w:tblPrEx>
              <w:trPr>
                <w:cantSplit/>
                <w:trHeight w:val="90" w:hRule="atLeast"/>
                <w:jc w:val="center"/>
              </w:trPr>
              <w:tc>
                <w:tcPr>
                  <w:tcW w:w="1070" w:type="pct"/>
                  <w:gridSpan w:val="2"/>
                  <w:tcBorders>
                    <w:tl2br w:val="nil"/>
                    <w:tr2bl w:val="nil"/>
                  </w:tcBorders>
                  <w:noWrap w:val="0"/>
                  <w:vAlign w:val="center"/>
                </w:tcPr>
                <w:p w14:paraId="066ACB4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污染物产生源强</w:t>
                  </w:r>
                </w:p>
              </w:tc>
              <w:tc>
                <w:tcPr>
                  <w:tcW w:w="1182" w:type="pct"/>
                  <w:vMerge w:val="restart"/>
                  <w:tcBorders>
                    <w:tl2br w:val="nil"/>
                    <w:tr2bl w:val="nil"/>
                  </w:tcBorders>
                  <w:noWrap w:val="0"/>
                  <w:vAlign w:val="center"/>
                </w:tcPr>
                <w:p w14:paraId="6F1A43A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治理措施情况</w:t>
                  </w:r>
                </w:p>
              </w:tc>
              <w:tc>
                <w:tcPr>
                  <w:tcW w:w="1926" w:type="pct"/>
                  <w:gridSpan w:val="3"/>
                  <w:tcBorders>
                    <w:tl2br w:val="nil"/>
                    <w:tr2bl w:val="nil"/>
                  </w:tcBorders>
                  <w:noWrap w:val="0"/>
                  <w:vAlign w:val="center"/>
                </w:tcPr>
                <w:p w14:paraId="3C81034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污染物排放情况</w:t>
                  </w:r>
                </w:p>
              </w:tc>
              <w:tc>
                <w:tcPr>
                  <w:tcW w:w="477" w:type="pct"/>
                  <w:tcBorders>
                    <w:tl2br w:val="nil"/>
                    <w:tr2bl w:val="nil"/>
                  </w:tcBorders>
                  <w:noWrap w:val="0"/>
                  <w:vAlign w:val="center"/>
                </w:tcPr>
                <w:p w14:paraId="22567EB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执行标准</w:t>
                  </w:r>
                </w:p>
              </w:tc>
              <w:tc>
                <w:tcPr>
                  <w:tcW w:w="342" w:type="pct"/>
                  <w:vMerge w:val="restart"/>
                  <w:tcBorders>
                    <w:tl2br w:val="nil"/>
                    <w:tr2bl w:val="nil"/>
                  </w:tcBorders>
                  <w:noWrap w:val="0"/>
                  <w:vAlign w:val="center"/>
                </w:tcPr>
                <w:p w14:paraId="42B32F2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达标分析</w:t>
                  </w:r>
                </w:p>
              </w:tc>
            </w:tr>
            <w:tr w14:paraId="61037B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0" w:type="dxa"/>
                  <w:bottom w:w="0" w:type="dxa"/>
                  <w:right w:w="20" w:type="dxa"/>
                </w:tblCellMar>
              </w:tblPrEx>
              <w:trPr>
                <w:cantSplit/>
                <w:trHeight w:val="90" w:hRule="atLeast"/>
                <w:jc w:val="center"/>
              </w:trPr>
              <w:tc>
                <w:tcPr>
                  <w:tcW w:w="488" w:type="pct"/>
                  <w:tcBorders>
                    <w:tl2br w:val="nil"/>
                    <w:tr2bl w:val="nil"/>
                  </w:tcBorders>
                  <w:noWrap w:val="0"/>
                  <w:vAlign w:val="center"/>
                </w:tcPr>
                <w:p w14:paraId="10B9EBF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污染源名称</w:t>
                  </w:r>
                </w:p>
              </w:tc>
              <w:tc>
                <w:tcPr>
                  <w:tcW w:w="582" w:type="pct"/>
                  <w:tcBorders>
                    <w:tl2br w:val="nil"/>
                    <w:tr2bl w:val="nil"/>
                  </w:tcBorders>
                  <w:noWrap w:val="0"/>
                  <w:vAlign w:val="center"/>
                </w:tcPr>
                <w:p w14:paraId="148B6E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污染物种类</w:t>
                  </w:r>
                </w:p>
              </w:tc>
              <w:tc>
                <w:tcPr>
                  <w:tcW w:w="1182" w:type="pct"/>
                  <w:vMerge w:val="continue"/>
                  <w:tcBorders>
                    <w:tl2br w:val="nil"/>
                    <w:tr2bl w:val="nil"/>
                  </w:tcBorders>
                  <w:noWrap w:val="0"/>
                  <w:vAlign w:val="center"/>
                </w:tcPr>
                <w:p w14:paraId="57F96BE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672" w:type="pct"/>
                  <w:tcBorders>
                    <w:tl2br w:val="nil"/>
                    <w:tr2bl w:val="nil"/>
                  </w:tcBorders>
                  <w:noWrap w:val="0"/>
                  <w:vAlign w:val="center"/>
                </w:tcPr>
                <w:p w14:paraId="264DBC8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浓度mg/m</w:t>
                  </w:r>
                  <w:r>
                    <w:rPr>
                      <w:rFonts w:hint="default" w:ascii="Times New Roman" w:hAnsi="Times New Roman" w:eastAsia="宋体" w:cs="Times New Roman"/>
                      <w:color w:val="auto"/>
                      <w:kern w:val="0"/>
                      <w:sz w:val="21"/>
                      <w:szCs w:val="21"/>
                      <w:vertAlign w:val="superscript"/>
                      <w:lang w:val="en-US" w:eastAsia="zh-CN" w:bidi="ar-SA"/>
                    </w:rPr>
                    <w:t>3</w:t>
                  </w:r>
                </w:p>
              </w:tc>
              <w:tc>
                <w:tcPr>
                  <w:tcW w:w="557" w:type="pct"/>
                  <w:tcBorders>
                    <w:tl2br w:val="nil"/>
                    <w:tr2bl w:val="nil"/>
                  </w:tcBorders>
                  <w:noWrap w:val="0"/>
                  <w:vAlign w:val="center"/>
                </w:tcPr>
                <w:p w14:paraId="757D4C6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速率kg/h</w:t>
                  </w:r>
                </w:p>
              </w:tc>
              <w:tc>
                <w:tcPr>
                  <w:tcW w:w="696" w:type="pct"/>
                  <w:tcBorders>
                    <w:tl2br w:val="nil"/>
                    <w:tr2bl w:val="nil"/>
                  </w:tcBorders>
                  <w:noWrap w:val="0"/>
                  <w:vAlign w:val="center"/>
                </w:tcPr>
                <w:p w14:paraId="27B9ECD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排放量t/a</w:t>
                  </w:r>
                </w:p>
              </w:tc>
              <w:tc>
                <w:tcPr>
                  <w:tcW w:w="477" w:type="pct"/>
                  <w:tcBorders>
                    <w:tl2br w:val="nil"/>
                    <w:tr2bl w:val="nil"/>
                  </w:tcBorders>
                  <w:noWrap w:val="0"/>
                  <w:vAlign w:val="center"/>
                </w:tcPr>
                <w:p w14:paraId="4A90982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浓度mg/m</w:t>
                  </w:r>
                  <w:r>
                    <w:rPr>
                      <w:rFonts w:hint="default" w:ascii="Times New Roman" w:hAnsi="Times New Roman" w:eastAsia="宋体" w:cs="Times New Roman"/>
                      <w:color w:val="auto"/>
                      <w:kern w:val="0"/>
                      <w:sz w:val="21"/>
                      <w:szCs w:val="21"/>
                      <w:vertAlign w:val="superscript"/>
                      <w:lang w:val="en-US" w:eastAsia="zh-CN" w:bidi="ar-SA"/>
                    </w:rPr>
                    <w:t>3</w:t>
                  </w:r>
                </w:p>
              </w:tc>
              <w:tc>
                <w:tcPr>
                  <w:tcW w:w="342" w:type="pct"/>
                  <w:vMerge w:val="continue"/>
                  <w:tcBorders>
                    <w:tl2br w:val="nil"/>
                    <w:tr2bl w:val="nil"/>
                  </w:tcBorders>
                  <w:noWrap w:val="0"/>
                  <w:vAlign w:val="center"/>
                </w:tcPr>
                <w:p w14:paraId="3CBDBAB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r>
            <w:tr w14:paraId="296B52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0" w:type="dxa"/>
                  <w:bottom w:w="0" w:type="dxa"/>
                  <w:right w:w="20" w:type="dxa"/>
                </w:tblCellMar>
              </w:tblPrEx>
              <w:trPr>
                <w:cantSplit/>
                <w:trHeight w:val="397" w:hRule="atLeast"/>
                <w:jc w:val="center"/>
              </w:trPr>
              <w:tc>
                <w:tcPr>
                  <w:tcW w:w="488" w:type="pct"/>
                  <w:tcBorders>
                    <w:tl2br w:val="nil"/>
                    <w:tr2bl w:val="nil"/>
                  </w:tcBorders>
                  <w:noWrap w:val="0"/>
                  <w:vAlign w:val="center"/>
                </w:tcPr>
                <w:p w14:paraId="454A70E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DA002</w:t>
                  </w:r>
                </w:p>
              </w:tc>
              <w:tc>
                <w:tcPr>
                  <w:tcW w:w="582" w:type="pct"/>
                  <w:tcBorders>
                    <w:tl2br w:val="nil"/>
                    <w:tr2bl w:val="nil"/>
                  </w:tcBorders>
                  <w:noWrap w:val="0"/>
                  <w:vAlign w:val="center"/>
                </w:tcPr>
                <w:p w14:paraId="4526B44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颗粒物</w:t>
                  </w:r>
                </w:p>
              </w:tc>
              <w:tc>
                <w:tcPr>
                  <w:tcW w:w="1182" w:type="pct"/>
                  <w:tcBorders>
                    <w:tl2br w:val="nil"/>
                    <w:tr2bl w:val="nil"/>
                  </w:tcBorders>
                  <w:noWrap w:val="0"/>
                  <w:vAlign w:val="center"/>
                </w:tcPr>
                <w:p w14:paraId="515DE4C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布袋除尘器</w:t>
                  </w:r>
                </w:p>
              </w:tc>
              <w:tc>
                <w:tcPr>
                  <w:tcW w:w="672" w:type="pct"/>
                  <w:tcBorders>
                    <w:tl2br w:val="nil"/>
                    <w:tr2bl w:val="nil"/>
                  </w:tcBorders>
                  <w:noWrap w:val="0"/>
                  <w:vAlign w:val="center"/>
                </w:tcPr>
                <w:p w14:paraId="7230984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557" w:type="pct"/>
                  <w:tcBorders>
                    <w:tl2br w:val="nil"/>
                    <w:tr2bl w:val="nil"/>
                  </w:tcBorders>
                  <w:noWrap w:val="0"/>
                  <w:vAlign w:val="center"/>
                </w:tcPr>
                <w:p w14:paraId="224E661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z w:val="21"/>
                      <w:szCs w:val="21"/>
                      <w:lang w:val="en-US" w:eastAsia="zh-CN"/>
                    </w:rPr>
                    <w:t>0.05</w:t>
                  </w:r>
                </w:p>
              </w:tc>
              <w:tc>
                <w:tcPr>
                  <w:tcW w:w="696" w:type="pct"/>
                  <w:tcBorders>
                    <w:tl2br w:val="nil"/>
                    <w:tr2bl w:val="nil"/>
                  </w:tcBorders>
                  <w:noWrap w:val="0"/>
                  <w:vAlign w:val="center"/>
                </w:tcPr>
                <w:p w14:paraId="0CFF540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0.12</w:t>
                  </w:r>
                </w:p>
              </w:tc>
              <w:tc>
                <w:tcPr>
                  <w:tcW w:w="477" w:type="pct"/>
                  <w:tcBorders>
                    <w:tl2br w:val="nil"/>
                    <w:tr2bl w:val="nil"/>
                  </w:tcBorders>
                  <w:noWrap w:val="0"/>
                  <w:vAlign w:val="center"/>
                </w:tcPr>
                <w:p w14:paraId="64556DD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342" w:type="pct"/>
                  <w:tcBorders>
                    <w:tl2br w:val="nil"/>
                    <w:tr2bl w:val="nil"/>
                  </w:tcBorders>
                  <w:noWrap w:val="0"/>
                  <w:vAlign w:val="center"/>
                </w:tcPr>
                <w:p w14:paraId="0B936D6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w:t>
                  </w:r>
                </w:p>
              </w:tc>
            </w:tr>
          </w:tbl>
          <w:p w14:paraId="756DDA1A">
            <w:pPr>
              <w:keepLines w:val="0"/>
              <w:pageBreakBefore w:val="0"/>
              <w:tabs>
                <w:tab w:val="left" w:pos="439"/>
              </w:tabs>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eastAsia" w:ascii="Times New Roman" w:hAnsi="Times New Roman" w:cs="Times New Roman"/>
                <w:bCs/>
                <w:color w:val="auto"/>
                <w:kern w:val="0"/>
                <w:sz w:val="24"/>
                <w:lang w:val="en-US" w:eastAsia="zh-CN"/>
              </w:rPr>
              <w:t>本项目的国民经济行业类别为</w:t>
            </w:r>
            <w:r>
              <w:rPr>
                <w:rFonts w:hint="eastAsia" w:cs="Times New Roman"/>
                <w:sz w:val="24"/>
                <w:szCs w:val="24"/>
                <w:lang w:val="en-US" w:eastAsia="zh-CN"/>
              </w:rPr>
              <w:t>C3029其他水泥类似制品制造</w:t>
            </w:r>
            <w:r>
              <w:rPr>
                <w:rFonts w:hint="eastAsia" w:ascii="Times New Roman" w:hAnsi="Times New Roman" w:cs="Times New Roman"/>
                <w:bCs/>
                <w:color w:val="auto"/>
                <w:kern w:val="0"/>
                <w:sz w:val="24"/>
                <w:lang w:val="en-US" w:eastAsia="zh-CN"/>
              </w:rPr>
              <w:t>，根据《固定污染源排污许可分类管理名录》（2019年版）规定，企业属于登记管理，无需申领排污许可证，故亦无需开展自行监测；鉴于企业运营期有</w:t>
            </w:r>
            <w:r>
              <w:rPr>
                <w:rFonts w:hint="eastAsia" w:cs="Times New Roman"/>
                <w:bCs/>
                <w:color w:val="auto"/>
                <w:kern w:val="0"/>
                <w:sz w:val="24"/>
                <w:lang w:val="en-US" w:eastAsia="zh-CN"/>
              </w:rPr>
              <w:t>废气</w:t>
            </w:r>
            <w:r>
              <w:rPr>
                <w:rFonts w:hint="eastAsia" w:ascii="Times New Roman" w:hAnsi="Times New Roman" w:cs="Times New Roman"/>
                <w:bCs/>
                <w:color w:val="auto"/>
                <w:kern w:val="0"/>
                <w:sz w:val="24"/>
                <w:lang w:val="en-US" w:eastAsia="zh-CN"/>
              </w:rPr>
              <w:t>污染物外排，建议企业运营期开展污染物排放监测，</w:t>
            </w:r>
            <w:r>
              <w:rPr>
                <w:rFonts w:hint="default" w:ascii="Times New Roman" w:hAnsi="Times New Roman" w:eastAsia="宋体" w:cs="Times New Roman"/>
                <w:bCs/>
                <w:color w:val="auto"/>
                <w:sz w:val="24"/>
                <w:szCs w:val="24"/>
              </w:rPr>
              <w:t>本项目废气监测要求详见表4-</w:t>
            </w:r>
            <w:r>
              <w:rPr>
                <w:rFonts w:hint="eastAsia" w:cs="Times New Roman"/>
                <w:bCs/>
                <w:color w:val="auto"/>
                <w:sz w:val="24"/>
                <w:szCs w:val="24"/>
                <w:lang w:val="en-US" w:eastAsia="zh-CN"/>
              </w:rPr>
              <w:t>4</w:t>
            </w:r>
            <w:r>
              <w:rPr>
                <w:rFonts w:hint="default" w:ascii="Times New Roman" w:hAnsi="Times New Roman" w:eastAsia="宋体" w:cs="Times New Roman"/>
                <w:bCs/>
                <w:color w:val="auto"/>
                <w:sz w:val="24"/>
                <w:szCs w:val="24"/>
              </w:rPr>
              <w:t>。</w:t>
            </w:r>
          </w:p>
          <w:p w14:paraId="22E29B48">
            <w:pPr>
              <w:keepLines w:val="0"/>
              <w:pageBreakBefore w:val="0"/>
              <w:tabs>
                <w:tab w:val="left" w:pos="439"/>
              </w:tabs>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rPr>
            </w:pPr>
          </w:p>
          <w:p w14:paraId="09BEDD1F">
            <w:pPr>
              <w:keepLines w:val="0"/>
              <w:pageBreakBefore w:val="0"/>
              <w:tabs>
                <w:tab w:val="left" w:pos="439"/>
              </w:tabs>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rPr>
            </w:pPr>
          </w:p>
          <w:p w14:paraId="16CAF8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表4-</w:t>
            </w:r>
            <w:r>
              <w:rPr>
                <w:rFonts w:hint="eastAsia" w:cs="Times New Roman"/>
                <w:b/>
                <w:bCs/>
                <w:color w:val="auto"/>
                <w:sz w:val="22"/>
                <w:szCs w:val="22"/>
                <w:lang w:val="en-US" w:eastAsia="zh-CN"/>
              </w:rPr>
              <w:t>4</w:t>
            </w:r>
            <w:r>
              <w:rPr>
                <w:rFonts w:hint="default" w:ascii="Times New Roman" w:hAnsi="Times New Roman" w:eastAsia="宋体" w:cs="Times New Roman"/>
                <w:b/>
                <w:bCs/>
                <w:color w:val="auto"/>
                <w:sz w:val="22"/>
                <w:szCs w:val="22"/>
                <w:lang w:val="zh-CN" w:eastAsia="zh-CN"/>
              </w:rPr>
              <w:t>废气监测要求一览表</w:t>
            </w:r>
          </w:p>
          <w:tbl>
            <w:tblPr>
              <w:tblStyle w:val="4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415"/>
              <w:gridCol w:w="5013"/>
              <w:gridCol w:w="1869"/>
              <w:gridCol w:w="2534"/>
            </w:tblGrid>
            <w:tr w14:paraId="67484B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415" w:type="dxa"/>
                  <w:tcBorders>
                    <w:tl2br w:val="nil"/>
                    <w:tr2bl w:val="nil"/>
                  </w:tcBorders>
                  <w:noWrap w:val="0"/>
                  <w:vAlign w:val="center"/>
                </w:tcPr>
                <w:p w14:paraId="762295D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监测点位</w:t>
                  </w:r>
                </w:p>
              </w:tc>
              <w:tc>
                <w:tcPr>
                  <w:tcW w:w="5013" w:type="dxa"/>
                  <w:tcBorders>
                    <w:tl2br w:val="nil"/>
                    <w:tr2bl w:val="nil"/>
                  </w:tcBorders>
                  <w:noWrap w:val="0"/>
                  <w:vAlign w:val="center"/>
                </w:tcPr>
                <w:p w14:paraId="15AABBA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监测因子</w:t>
                  </w:r>
                </w:p>
              </w:tc>
              <w:tc>
                <w:tcPr>
                  <w:tcW w:w="1869" w:type="dxa"/>
                  <w:tcBorders>
                    <w:tl2br w:val="nil"/>
                    <w:tr2bl w:val="nil"/>
                  </w:tcBorders>
                  <w:noWrap w:val="0"/>
                  <w:vAlign w:val="center"/>
                </w:tcPr>
                <w:p w14:paraId="2063E40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监测频率</w:t>
                  </w:r>
                </w:p>
              </w:tc>
              <w:tc>
                <w:tcPr>
                  <w:tcW w:w="2534" w:type="dxa"/>
                  <w:tcBorders>
                    <w:tl2br w:val="nil"/>
                    <w:tr2bl w:val="nil"/>
                  </w:tcBorders>
                  <w:noWrap w:val="0"/>
                  <w:vAlign w:val="center"/>
                </w:tcPr>
                <w:p w14:paraId="74E191F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备注</w:t>
                  </w:r>
                </w:p>
              </w:tc>
            </w:tr>
            <w:tr w14:paraId="62436F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415" w:type="dxa"/>
                  <w:tcBorders>
                    <w:tl2br w:val="nil"/>
                    <w:tr2bl w:val="nil"/>
                  </w:tcBorders>
                  <w:noWrap w:val="0"/>
                  <w:vAlign w:val="center"/>
                </w:tcPr>
                <w:p w14:paraId="29C68A6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DA002</w:t>
                  </w:r>
                </w:p>
              </w:tc>
              <w:tc>
                <w:tcPr>
                  <w:tcW w:w="5013" w:type="dxa"/>
                  <w:tcBorders>
                    <w:tl2br w:val="nil"/>
                    <w:tr2bl w:val="nil"/>
                  </w:tcBorders>
                  <w:noWrap w:val="0"/>
                  <w:vAlign w:val="center"/>
                </w:tcPr>
                <w:p w14:paraId="2789BA7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颗粒物</w:t>
                  </w:r>
                </w:p>
              </w:tc>
              <w:tc>
                <w:tcPr>
                  <w:tcW w:w="1869" w:type="dxa"/>
                  <w:tcBorders>
                    <w:tl2br w:val="nil"/>
                    <w:tr2bl w:val="nil"/>
                  </w:tcBorders>
                  <w:noWrap w:val="0"/>
                  <w:vAlign w:val="center"/>
                </w:tcPr>
                <w:p w14:paraId="3C30F36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1次/年</w:t>
                  </w:r>
                </w:p>
              </w:tc>
              <w:tc>
                <w:tcPr>
                  <w:tcW w:w="2534" w:type="dxa"/>
                  <w:tcBorders>
                    <w:tl2br w:val="nil"/>
                    <w:tr2bl w:val="nil"/>
                  </w:tcBorders>
                  <w:noWrap w:val="0"/>
                  <w:vAlign w:val="center"/>
                </w:tcPr>
                <w:p w14:paraId="29DAC4D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14:paraId="15172B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415" w:type="dxa"/>
                  <w:tcBorders>
                    <w:tl2br w:val="nil"/>
                    <w:tr2bl w:val="nil"/>
                  </w:tcBorders>
                  <w:noWrap w:val="0"/>
                  <w:vAlign w:val="center"/>
                </w:tcPr>
                <w:p w14:paraId="6C77C6D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厂界监控点</w:t>
                  </w:r>
                </w:p>
              </w:tc>
              <w:tc>
                <w:tcPr>
                  <w:tcW w:w="5013" w:type="dxa"/>
                  <w:tcBorders>
                    <w:tl2br w:val="nil"/>
                    <w:tr2bl w:val="nil"/>
                  </w:tcBorders>
                  <w:noWrap w:val="0"/>
                  <w:vAlign w:val="center"/>
                </w:tcPr>
                <w:p w14:paraId="4EBA8BD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颗粒物</w:t>
                  </w:r>
                </w:p>
              </w:tc>
              <w:tc>
                <w:tcPr>
                  <w:tcW w:w="1869" w:type="dxa"/>
                  <w:tcBorders>
                    <w:tl2br w:val="nil"/>
                    <w:tr2bl w:val="nil"/>
                  </w:tcBorders>
                  <w:noWrap w:val="0"/>
                  <w:vAlign w:val="center"/>
                </w:tcPr>
                <w:p w14:paraId="4B36DA0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1次/年</w:t>
                  </w:r>
                </w:p>
              </w:tc>
              <w:tc>
                <w:tcPr>
                  <w:tcW w:w="2534" w:type="dxa"/>
                  <w:tcBorders>
                    <w:tl2br w:val="nil"/>
                    <w:tr2bl w:val="nil"/>
                  </w:tcBorders>
                  <w:noWrap w:val="0"/>
                  <w:vAlign w:val="center"/>
                </w:tcPr>
                <w:p w14:paraId="331DBA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bl>
          <w:p w14:paraId="50519B16">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FF0000"/>
                <w:sz w:val="24"/>
                <w:szCs w:val="24"/>
              </w:rPr>
            </w:pPr>
          </w:p>
        </w:tc>
      </w:tr>
    </w:tbl>
    <w:p w14:paraId="7F0F6E95">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sz w:val="24"/>
          <w:szCs w:val="24"/>
        </w:rPr>
        <w:sectPr>
          <w:pgSz w:w="16838" w:h="11905" w:orient="landscape"/>
          <w:pgMar w:top="1803" w:right="1440" w:bottom="1803" w:left="1440"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47"/>
        <w:tblW w:w="54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8425"/>
      </w:tblGrid>
      <w:tr w14:paraId="299E3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765" w:type="dxa"/>
            <w:noWrap w:val="0"/>
            <w:tcMar>
              <w:left w:w="28" w:type="dxa"/>
              <w:right w:w="28" w:type="dxa"/>
            </w:tcMar>
            <w:vAlign w:val="center"/>
          </w:tcPr>
          <w:p w14:paraId="72A1DF5D">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FF0000"/>
                <w:sz w:val="24"/>
                <w:szCs w:val="24"/>
              </w:rPr>
            </w:pPr>
          </w:p>
        </w:tc>
        <w:tc>
          <w:tcPr>
            <w:tcW w:w="8340" w:type="dxa"/>
            <w:noWrap w:val="0"/>
            <w:vAlign w:val="center"/>
          </w:tcPr>
          <w:p w14:paraId="1EE7C9AD">
            <w:pPr>
              <w:keepLines w:val="0"/>
              <w:pageBreakBefore w:val="0"/>
              <w:numPr>
                <w:ilvl w:val="0"/>
                <w:numId w:val="0"/>
              </w:numPr>
              <w:kinsoku/>
              <w:topLinePunct w:val="0"/>
              <w:autoSpaceDE w:val="0"/>
              <w:autoSpaceDN w:val="0"/>
              <w:bidi w:val="0"/>
              <w:adjustRightInd w:val="0"/>
              <w:snapToGrid w:val="0"/>
              <w:spacing w:line="500" w:lineRule="exact"/>
              <w:ind w:firstLine="482" w:firstLineChars="20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kern w:val="2"/>
                <w:sz w:val="24"/>
                <w:szCs w:val="24"/>
                <w:lang w:val="en-US" w:eastAsia="zh-CN" w:bidi="ar-SA"/>
              </w:rPr>
              <w:t>2、</w:t>
            </w:r>
            <w:r>
              <w:rPr>
                <w:rFonts w:hint="default" w:ascii="Times New Roman" w:hAnsi="Times New Roman" w:eastAsia="宋体" w:cs="Times New Roman"/>
                <w:b/>
                <w:color w:val="auto"/>
                <w:sz w:val="24"/>
                <w:szCs w:val="24"/>
                <w:lang w:val="en-US" w:eastAsia="zh-CN"/>
              </w:rPr>
              <w:t>废气处理可行性分析</w:t>
            </w:r>
          </w:p>
          <w:p w14:paraId="195CC797">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（1）处理效果可行性分析</w:t>
            </w:r>
          </w:p>
          <w:p w14:paraId="6E7AF52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环评对本项目废气污染物提出以下环保措施：</w:t>
            </w:r>
          </w:p>
          <w:p w14:paraId="1BBC9D7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搅拌粉尘经布袋除尘器处理后</w:t>
            </w:r>
            <w:r>
              <w:rPr>
                <w:rFonts w:hint="default" w:ascii="Times New Roman" w:hAnsi="Times New Roman" w:eastAsia="宋体" w:cs="Times New Roman"/>
                <w:color w:val="auto"/>
                <w:sz w:val="24"/>
              </w:rPr>
              <w:t>15米</w:t>
            </w:r>
            <w:r>
              <w:rPr>
                <w:rFonts w:hint="default" w:ascii="Times New Roman" w:hAnsi="Times New Roman" w:eastAsia="宋体" w:cs="Times New Roman"/>
                <w:color w:val="auto"/>
                <w:sz w:val="24"/>
                <w:lang w:val="en-US" w:eastAsia="zh-CN"/>
              </w:rPr>
              <w:t>高</w:t>
            </w:r>
            <w:r>
              <w:rPr>
                <w:rFonts w:hint="default" w:ascii="Times New Roman" w:hAnsi="Times New Roman" w:eastAsia="宋体" w:cs="Times New Roman"/>
                <w:color w:val="auto"/>
                <w:sz w:val="24"/>
              </w:rPr>
              <w:t>排气筒（DA00</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排放。</w:t>
            </w:r>
          </w:p>
          <w:p w14:paraId="682592AF">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经上述措施后，废气排放对周边环境影响在可接受范围内。</w:t>
            </w:r>
          </w:p>
          <w:p w14:paraId="63DFDB01">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（2）处理措施可行性分析</w:t>
            </w:r>
          </w:p>
          <w:p w14:paraId="320267B1">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sz w:val="24"/>
              </w:rPr>
              <w:t>参照</w:t>
            </w:r>
            <w:r>
              <w:rPr>
                <w:rFonts w:hint="default" w:ascii="Times New Roman" w:hAnsi="Times New Roman" w:eastAsia="宋体" w:cs="Times New Roman"/>
                <w:color w:val="auto"/>
                <w:kern w:val="0"/>
                <w:sz w:val="24"/>
                <w:szCs w:val="20"/>
              </w:rPr>
              <w:t>《</w:t>
            </w:r>
            <w:r>
              <w:rPr>
                <w:rFonts w:hint="default" w:ascii="Times New Roman" w:hAnsi="Times New Roman" w:eastAsia="宋体" w:cs="Times New Roman"/>
                <w:color w:val="auto"/>
                <w:kern w:val="0"/>
                <w:sz w:val="24"/>
                <w:szCs w:val="20"/>
                <w:lang w:val="en-US" w:eastAsia="zh-CN"/>
              </w:rPr>
              <w:t>排污许可证申请与核发技术规范废弃资源加工工业</w:t>
            </w:r>
            <w:r>
              <w:rPr>
                <w:rFonts w:hint="default" w:ascii="Times New Roman" w:hAnsi="Times New Roman" w:eastAsia="宋体" w:cs="Times New Roman"/>
                <w:color w:val="auto"/>
                <w:kern w:val="0"/>
                <w:sz w:val="24"/>
                <w:szCs w:val="20"/>
              </w:rPr>
              <w:t>（</w:t>
            </w:r>
            <w:r>
              <w:rPr>
                <w:rFonts w:hint="default" w:ascii="Times New Roman" w:hAnsi="Times New Roman" w:eastAsia="宋体" w:cs="Times New Roman"/>
                <w:color w:val="auto"/>
                <w:kern w:val="0"/>
                <w:sz w:val="24"/>
                <w:szCs w:val="20"/>
                <w:lang w:val="en-US" w:eastAsia="zh-CN"/>
              </w:rPr>
              <w:t>HJ 1034-2019</w:t>
            </w:r>
          </w:p>
          <w:p w14:paraId="2EF6BD13">
            <w:pPr>
              <w:keepNext w:val="0"/>
              <w:keepLines w:val="0"/>
              <w:pageBreakBefore w:val="0"/>
              <w:widowControl w:val="0"/>
              <w:kinsoku/>
              <w:wordWrap/>
              <w:overflowPunct/>
              <w:topLinePunct/>
              <w:autoSpaceDE/>
              <w:autoSpaceDN/>
              <w:bidi w:val="0"/>
              <w:adjustRightInd/>
              <w:snapToGrid/>
              <w:spacing w:line="360" w:lineRule="auto"/>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0"/>
              </w:rPr>
              <w:t>）》</w:t>
            </w:r>
            <w:r>
              <w:rPr>
                <w:rFonts w:hint="default" w:ascii="Times New Roman" w:hAnsi="Times New Roman" w:eastAsia="宋体" w:cs="Times New Roman"/>
                <w:color w:val="auto"/>
                <w:kern w:val="0"/>
                <w:sz w:val="24"/>
                <w:szCs w:val="20"/>
                <w:lang w:val="en-US" w:eastAsia="zh-CN"/>
              </w:rPr>
              <w:t>中表A.1废弃资源加工工业排污单位废气污染防治可行技术参考表</w:t>
            </w:r>
            <w:r>
              <w:rPr>
                <w:rFonts w:hint="default" w:ascii="Times New Roman" w:hAnsi="Times New Roman" w:eastAsia="宋体" w:cs="Times New Roman"/>
                <w:color w:val="auto"/>
                <w:sz w:val="24"/>
              </w:rPr>
              <w:t>，本项目涉及的废气治理技术对比如下表所示。</w:t>
            </w:r>
          </w:p>
          <w:p w14:paraId="492891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en-US" w:eastAsia="zh-CN"/>
              </w:rPr>
              <w:t>表4-</w:t>
            </w:r>
            <w:r>
              <w:rPr>
                <w:rFonts w:hint="eastAsia" w:cs="Times New Roman"/>
                <w:b/>
                <w:bCs/>
                <w:color w:val="auto"/>
                <w:sz w:val="22"/>
                <w:szCs w:val="22"/>
                <w:lang w:val="en-US" w:eastAsia="zh-CN"/>
              </w:rPr>
              <w:t>5</w:t>
            </w:r>
            <w:r>
              <w:rPr>
                <w:rFonts w:hint="default" w:ascii="Times New Roman" w:hAnsi="Times New Roman" w:eastAsia="宋体" w:cs="Times New Roman"/>
                <w:b/>
                <w:bCs/>
                <w:color w:val="auto"/>
                <w:sz w:val="22"/>
                <w:szCs w:val="22"/>
                <w:lang w:val="en-US" w:eastAsia="zh-CN"/>
              </w:rPr>
              <w:t>废弃资源加工工业排污单位废气污染防治可行技术</w:t>
            </w:r>
          </w:p>
          <w:tbl>
            <w:tblPr>
              <w:tblStyle w:val="47"/>
              <w:tblW w:w="82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88"/>
              <w:gridCol w:w="927"/>
              <w:gridCol w:w="1559"/>
              <w:gridCol w:w="2238"/>
              <w:gridCol w:w="1173"/>
              <w:gridCol w:w="718"/>
            </w:tblGrid>
            <w:tr w14:paraId="54F28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jc w:val="center"/>
              </w:trPr>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E6B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废气资源种类</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F29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工艺</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572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主要污染物</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A1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可行技术</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34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本项目使用技术</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B9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相符性</w:t>
                  </w:r>
                </w:p>
              </w:tc>
            </w:tr>
            <w:tr w14:paraId="02C22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jc w:val="center"/>
              </w:trPr>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80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其他废弃资源</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83F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加工</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EC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颗粒物</w:t>
                  </w:r>
                </w:p>
              </w:tc>
              <w:tc>
                <w:tcPr>
                  <w:tcW w:w="22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290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袋式除尘</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47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袋式除尘</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AE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符合</w:t>
                  </w:r>
                </w:p>
              </w:tc>
            </w:tr>
          </w:tbl>
          <w:p w14:paraId="3B74EACE">
            <w:pPr>
              <w:keepLines w:val="0"/>
              <w:pageBreakBefore w:val="0"/>
              <w:kinsoku/>
              <w:topLinePunct w:val="0"/>
              <w:autoSpaceDE w:val="0"/>
              <w:autoSpaceDN w:val="0"/>
              <w:bidi w:val="0"/>
              <w:adjustRightInd w:val="0"/>
              <w:snapToGrid w:val="0"/>
              <w:spacing w:line="500" w:lineRule="exact"/>
              <w:ind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、大气环境影响分析</w:t>
            </w:r>
          </w:p>
          <w:p w14:paraId="73AFFD56">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（1）非正常情况</w:t>
            </w:r>
          </w:p>
          <w:p w14:paraId="436DB0BC">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非正常排放是指生产设备在开、停车状态，检修状态或者部分设备未能完全运行的状态下污染物的排放情况。本项目生产中产生的废气经收集处理后达标排放。若废气处理装置未正常运行，处理效率降低，造成废气的非正常排放事故。根据本项目废气产生及排放情况，本次评价考虑废气处理设施处理效率下降为0%、非正常排放时间为1h的状况，本项目非正常排放源强见表4-</w:t>
            </w:r>
            <w:r>
              <w:rPr>
                <w:rFonts w:hint="eastAsia" w:cs="Times New Roman"/>
                <w:bCs/>
                <w:color w:val="auto"/>
                <w:sz w:val="24"/>
                <w:szCs w:val="24"/>
                <w:lang w:val="en-US" w:eastAsia="zh-CN"/>
              </w:rPr>
              <w:t>6</w:t>
            </w:r>
            <w:r>
              <w:rPr>
                <w:rFonts w:hint="default" w:ascii="Times New Roman" w:hAnsi="Times New Roman" w:eastAsia="宋体" w:cs="Times New Roman"/>
                <w:bCs/>
                <w:color w:val="auto"/>
                <w:sz w:val="24"/>
                <w:szCs w:val="24"/>
              </w:rPr>
              <w:t>。</w:t>
            </w:r>
          </w:p>
          <w:p w14:paraId="79DFD6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表4-</w:t>
            </w:r>
            <w:r>
              <w:rPr>
                <w:rFonts w:hint="eastAsia" w:cs="Times New Roman"/>
                <w:b/>
                <w:bCs/>
                <w:color w:val="auto"/>
                <w:sz w:val="22"/>
                <w:szCs w:val="22"/>
                <w:lang w:val="en-US" w:eastAsia="zh-CN"/>
              </w:rPr>
              <w:t>6</w:t>
            </w:r>
            <w:r>
              <w:rPr>
                <w:rFonts w:hint="default" w:ascii="Times New Roman" w:hAnsi="Times New Roman" w:eastAsia="宋体" w:cs="Times New Roman"/>
                <w:b/>
                <w:bCs/>
                <w:color w:val="auto"/>
                <w:sz w:val="22"/>
                <w:szCs w:val="22"/>
                <w:lang w:val="zh-CN" w:eastAsia="zh-CN"/>
              </w:rPr>
              <w:t>废气非正常排放源强一览表</w:t>
            </w:r>
          </w:p>
          <w:tbl>
            <w:tblPr>
              <w:tblStyle w:val="47"/>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28" w:type="dxa"/>
                <w:bottom w:w="0" w:type="dxa"/>
                <w:right w:w="28" w:type="dxa"/>
              </w:tblCellMar>
            </w:tblPr>
            <w:tblGrid>
              <w:gridCol w:w="1197"/>
              <w:gridCol w:w="1168"/>
              <w:gridCol w:w="1054"/>
              <w:gridCol w:w="1078"/>
              <w:gridCol w:w="1368"/>
              <w:gridCol w:w="1161"/>
              <w:gridCol w:w="1161"/>
            </w:tblGrid>
            <w:tr w14:paraId="0D239B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1197" w:type="dxa"/>
                  <w:tcBorders>
                    <w:tl2br w:val="nil"/>
                    <w:tr2bl w:val="nil"/>
                  </w:tcBorders>
                  <w:noWrap w:val="0"/>
                  <w:vAlign w:val="center"/>
                </w:tcPr>
                <w:p w14:paraId="423BBAE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污染源名称</w:t>
                  </w:r>
                </w:p>
              </w:tc>
              <w:tc>
                <w:tcPr>
                  <w:tcW w:w="1168" w:type="dxa"/>
                  <w:tcBorders>
                    <w:tl2br w:val="nil"/>
                    <w:tr2bl w:val="nil"/>
                  </w:tcBorders>
                  <w:noWrap w:val="0"/>
                  <w:vAlign w:val="center"/>
                </w:tcPr>
                <w:p w14:paraId="3CF4AA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污染物名称</w:t>
                  </w:r>
                </w:p>
              </w:tc>
              <w:tc>
                <w:tcPr>
                  <w:tcW w:w="1053" w:type="dxa"/>
                  <w:tcBorders>
                    <w:tl2br w:val="nil"/>
                    <w:tr2bl w:val="nil"/>
                  </w:tcBorders>
                  <w:noWrap w:val="0"/>
                  <w:vAlign w:val="center"/>
                </w:tcPr>
                <w:p w14:paraId="013DBDD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频次</w:t>
                  </w:r>
                </w:p>
              </w:tc>
              <w:tc>
                <w:tcPr>
                  <w:tcW w:w="1077" w:type="dxa"/>
                  <w:tcBorders>
                    <w:tl2br w:val="nil"/>
                    <w:tr2bl w:val="nil"/>
                  </w:tcBorders>
                  <w:noWrap w:val="0"/>
                  <w:vAlign w:val="center"/>
                </w:tcPr>
                <w:p w14:paraId="550B448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持续时间</w:t>
                  </w:r>
                </w:p>
              </w:tc>
              <w:tc>
                <w:tcPr>
                  <w:tcW w:w="1367" w:type="dxa"/>
                  <w:tcBorders>
                    <w:tl2br w:val="nil"/>
                    <w:tr2bl w:val="nil"/>
                  </w:tcBorders>
                  <w:noWrap w:val="0"/>
                  <w:vAlign w:val="center"/>
                </w:tcPr>
                <w:p w14:paraId="07D6E5C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排放速率kg/h</w:t>
                  </w:r>
                </w:p>
              </w:tc>
              <w:tc>
                <w:tcPr>
                  <w:tcW w:w="1160" w:type="dxa"/>
                  <w:tcBorders>
                    <w:tl2br w:val="nil"/>
                    <w:tr2bl w:val="nil"/>
                  </w:tcBorders>
                  <w:noWrap w:val="0"/>
                  <w:vAlign w:val="center"/>
                </w:tcPr>
                <w:p w14:paraId="06E07D0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排放量t/a</w:t>
                  </w:r>
                </w:p>
              </w:tc>
              <w:tc>
                <w:tcPr>
                  <w:tcW w:w="1160" w:type="dxa"/>
                  <w:tcBorders>
                    <w:tl2br w:val="nil"/>
                    <w:tr2bl w:val="nil"/>
                  </w:tcBorders>
                  <w:noWrap w:val="0"/>
                  <w:vAlign w:val="center"/>
                </w:tcPr>
                <w:p w14:paraId="23DA9DC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措施</w:t>
                  </w:r>
                </w:p>
              </w:tc>
            </w:tr>
            <w:tr w14:paraId="4D00E6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1197" w:type="dxa"/>
                  <w:tcBorders>
                    <w:tl2br w:val="nil"/>
                    <w:tr2bl w:val="nil"/>
                  </w:tcBorders>
                  <w:noWrap w:val="0"/>
                  <w:vAlign w:val="center"/>
                </w:tcPr>
                <w:p w14:paraId="7174C3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DA002</w:t>
                  </w:r>
                </w:p>
              </w:tc>
              <w:tc>
                <w:tcPr>
                  <w:tcW w:w="1168" w:type="dxa"/>
                  <w:tcBorders>
                    <w:tl2br w:val="nil"/>
                    <w:tr2bl w:val="nil"/>
                  </w:tcBorders>
                  <w:shd w:val="clear" w:color="auto" w:fill="auto"/>
                  <w:noWrap w:val="0"/>
                  <w:vAlign w:val="center"/>
                </w:tcPr>
                <w:p w14:paraId="6FDAA82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1053" w:type="dxa"/>
                  <w:tcBorders>
                    <w:tl2br w:val="nil"/>
                    <w:tr2bl w:val="nil"/>
                  </w:tcBorders>
                  <w:noWrap w:val="0"/>
                  <w:vAlign w:val="center"/>
                </w:tcPr>
                <w:p w14:paraId="02C127A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2次/年</w:t>
                  </w:r>
                </w:p>
              </w:tc>
              <w:tc>
                <w:tcPr>
                  <w:tcW w:w="1077" w:type="dxa"/>
                  <w:tcBorders>
                    <w:tl2br w:val="nil"/>
                    <w:tr2bl w:val="nil"/>
                  </w:tcBorders>
                  <w:shd w:val="clear" w:color="auto" w:fill="auto"/>
                  <w:noWrap w:val="0"/>
                  <w:vAlign w:val="center"/>
                </w:tcPr>
                <w:p w14:paraId="18AE3B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0.5h/次</w:t>
                  </w:r>
                </w:p>
              </w:tc>
              <w:tc>
                <w:tcPr>
                  <w:tcW w:w="1367" w:type="dxa"/>
                  <w:tcBorders>
                    <w:tl2br w:val="nil"/>
                    <w:tr2bl w:val="nil"/>
                  </w:tcBorders>
                  <w:shd w:val="clear" w:color="auto" w:fill="auto"/>
                  <w:noWrap w:val="0"/>
                  <w:vAlign w:val="center"/>
                </w:tcPr>
                <w:p w14:paraId="7F6BD6B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1160" w:type="dxa"/>
                  <w:tcBorders>
                    <w:tl2br w:val="nil"/>
                    <w:tr2bl w:val="nil"/>
                  </w:tcBorders>
                  <w:noWrap w:val="0"/>
                  <w:vAlign w:val="center"/>
                </w:tcPr>
                <w:p w14:paraId="7094F1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0.00005</w:t>
                  </w:r>
                </w:p>
              </w:tc>
              <w:tc>
                <w:tcPr>
                  <w:tcW w:w="1160" w:type="dxa"/>
                  <w:tcBorders>
                    <w:tl2br w:val="nil"/>
                    <w:tr2bl w:val="nil"/>
                  </w:tcBorders>
                  <w:noWrap w:val="0"/>
                  <w:vAlign w:val="center"/>
                </w:tcPr>
                <w:p w14:paraId="3E640D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停止生产，抢修设施</w:t>
                  </w:r>
                </w:p>
              </w:tc>
            </w:tr>
          </w:tbl>
          <w:p w14:paraId="327F67CA">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由上表可见，非正常工况下排放的各污染物最大落地浓度较正常情况下显著增大。因此，本项目投产后必须加强环保管理，杜绝废气的非正常排放。此类事故一旦发生应立刻停止生产并进行检修，以减少对周围环境的影响，将事故影响降至最低。事故排放区域地面的影响持续时间通常为1小时以内，随着故障的排除，其影响也随之消失。</w:t>
            </w:r>
          </w:p>
          <w:p w14:paraId="20D76995">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FF0000"/>
                <w:sz w:val="24"/>
                <w:szCs w:val="24"/>
              </w:rPr>
            </w:pPr>
            <w:r>
              <w:rPr>
                <w:rFonts w:hint="default" w:ascii="Times New Roman" w:hAnsi="Times New Roman" w:eastAsia="宋体" w:cs="Times New Roman"/>
                <w:bCs/>
                <w:color w:val="auto"/>
                <w:sz w:val="24"/>
                <w:szCs w:val="24"/>
              </w:rPr>
              <w:t>综上所述，本项目按照</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应收尽收、分质收集</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的原则，采用成熟稳定的废气治理措施处理，废气经处理后可达标排放。因此，采取的废气防治措施可行。未被收集的无组织废气排放量较小，经大气稀释扩散后对大气环境影响较小，周围环境空气可维持现状。</w:t>
            </w:r>
          </w:p>
        </w:tc>
      </w:tr>
      <w:tr w14:paraId="20E2C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65" w:type="dxa"/>
            <w:noWrap w:val="0"/>
            <w:tcMar>
              <w:left w:w="28" w:type="dxa"/>
              <w:right w:w="28" w:type="dxa"/>
            </w:tcMar>
            <w:vAlign w:val="center"/>
          </w:tcPr>
          <w:p w14:paraId="0BCC7DF4">
            <w:pPr>
              <w:pStyle w:val="43"/>
              <w:keepLines w:val="0"/>
              <w:pageBreakBefore w:val="0"/>
              <w:kinsoku/>
              <w:topLinePunct w:val="0"/>
              <w:bidi w:val="0"/>
              <w:adjustRightInd w:val="0"/>
              <w:snapToGrid w:val="0"/>
              <w:spacing w:before="0" w:beforeAutospacing="0" w:after="0" w:afterAutospacing="0"/>
              <w:jc w:val="center"/>
              <w:rPr>
                <w:rFonts w:hint="default" w:ascii="Times New Roman" w:hAnsi="Times New Roman" w:eastAsia="宋体" w:cs="Times New Roman"/>
                <w:bCs/>
                <w:color w:val="FF0000"/>
                <w:kern w:val="2"/>
                <w:sz w:val="24"/>
                <w:szCs w:val="24"/>
              </w:rPr>
            </w:pPr>
          </w:p>
        </w:tc>
        <w:tc>
          <w:tcPr>
            <w:tcW w:w="8340" w:type="dxa"/>
            <w:noWrap w:val="0"/>
            <w:vAlign w:val="center"/>
          </w:tcPr>
          <w:p w14:paraId="5DF04EA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（二）废水</w:t>
            </w:r>
          </w:p>
          <w:p w14:paraId="49FCC27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1、废水产生及排放情况</w:t>
            </w:r>
          </w:p>
          <w:p w14:paraId="17BCFA18">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本项目无新增员工，无新增生活污水，现有用水由市政管网提供。</w:t>
            </w:r>
            <w:r>
              <w:rPr>
                <w:rFonts w:hint="default" w:ascii="Times New Roman" w:hAnsi="Times New Roman" w:eastAsia="宋体" w:cs="Times New Roman"/>
                <w:color w:val="auto"/>
                <w:sz w:val="24"/>
                <w:szCs w:val="24"/>
                <w:lang w:val="en-US" w:eastAsia="zh-CN"/>
              </w:rPr>
              <w:t>生活污水排入化粪池处理，处理完成后定期清掏，不外排。车辆清洗废水经</w:t>
            </w:r>
            <w:r>
              <w:rPr>
                <w:rFonts w:hint="eastAsia" w:cs="Times New Roman"/>
                <w:color w:val="auto"/>
                <w:sz w:val="24"/>
                <w:szCs w:val="24"/>
                <w:lang w:val="en-US" w:eastAsia="zh-CN"/>
              </w:rPr>
              <w:t>沉淀池</w:t>
            </w:r>
            <w:r>
              <w:rPr>
                <w:rFonts w:hint="default" w:ascii="Times New Roman" w:hAnsi="Times New Roman" w:eastAsia="宋体" w:cs="Times New Roman"/>
                <w:color w:val="auto"/>
                <w:sz w:val="24"/>
                <w:szCs w:val="24"/>
                <w:lang w:val="en-US" w:eastAsia="zh-CN"/>
              </w:rPr>
              <w:t>处理后循环使用，不外排。</w:t>
            </w:r>
          </w:p>
          <w:p w14:paraId="4BCC530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（三）噪声</w:t>
            </w:r>
          </w:p>
          <w:p w14:paraId="2EBF45B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1、噪声排放源分析</w:t>
            </w:r>
          </w:p>
          <w:p w14:paraId="13DB0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zh-CN"/>
              </w:rPr>
              <w:t>表</w:t>
            </w:r>
            <w:r>
              <w:rPr>
                <w:rFonts w:hint="default" w:ascii="Times New Roman" w:hAnsi="Times New Roman" w:eastAsia="宋体" w:cs="Times New Roman"/>
                <w:b/>
                <w:bCs/>
                <w:color w:val="auto"/>
                <w:sz w:val="24"/>
                <w:lang w:val="en-US" w:eastAsia="zh-CN"/>
              </w:rPr>
              <w:t>4-</w:t>
            </w:r>
            <w:r>
              <w:rPr>
                <w:rFonts w:hint="eastAsia" w:cs="Times New Roman"/>
                <w:b/>
                <w:bCs/>
                <w:color w:val="auto"/>
                <w:sz w:val="24"/>
                <w:lang w:val="en-US" w:eastAsia="zh-CN"/>
              </w:rPr>
              <w:t>7</w:t>
            </w:r>
            <w:r>
              <w:rPr>
                <w:rFonts w:hint="default" w:ascii="Times New Roman" w:hAnsi="Times New Roman" w:eastAsia="宋体" w:cs="Times New Roman"/>
                <w:b/>
                <w:bCs/>
                <w:color w:val="auto"/>
                <w:sz w:val="24"/>
                <w:lang w:val="en-US" w:eastAsia="zh-CN"/>
              </w:rPr>
              <w:t>工业企业噪声源强调查清单（室内声源）</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62"/>
              <w:gridCol w:w="854"/>
              <w:gridCol w:w="1010"/>
              <w:gridCol w:w="426"/>
              <w:gridCol w:w="448"/>
              <w:gridCol w:w="428"/>
              <w:gridCol w:w="533"/>
              <w:gridCol w:w="798"/>
              <w:gridCol w:w="454"/>
              <w:gridCol w:w="798"/>
              <w:gridCol w:w="798"/>
              <w:gridCol w:w="564"/>
            </w:tblGrid>
            <w:tr w14:paraId="311E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59995D0D">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建筑物名称</w:t>
                  </w:r>
                </w:p>
              </w:tc>
              <w:tc>
                <w:tcPr>
                  <w:tcW w:w="669" w:type="dxa"/>
                  <w:vMerge w:val="restart"/>
                  <w:vAlign w:val="center"/>
                </w:tcPr>
                <w:p w14:paraId="064E9457">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声源名称</w:t>
                  </w:r>
                </w:p>
              </w:tc>
              <w:tc>
                <w:tcPr>
                  <w:tcW w:w="856" w:type="dxa"/>
                  <w:vAlign w:val="center"/>
                </w:tcPr>
                <w:p w14:paraId="58B5CC5A">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声源强</w:t>
                  </w:r>
                </w:p>
              </w:tc>
              <w:tc>
                <w:tcPr>
                  <w:tcW w:w="1021" w:type="dxa"/>
                  <w:vMerge w:val="restart"/>
                  <w:vAlign w:val="center"/>
                </w:tcPr>
                <w:p w14:paraId="18FCAE92">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声源控制措施</w:t>
                  </w:r>
                </w:p>
              </w:tc>
              <w:tc>
                <w:tcPr>
                  <w:tcW w:w="1305" w:type="dxa"/>
                  <w:gridSpan w:val="3"/>
                  <w:vAlign w:val="center"/>
                </w:tcPr>
                <w:p w14:paraId="79E182E9">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rPr>
                    <w:t>空间相对位置</w:t>
                  </w:r>
                  <w:r>
                    <w:rPr>
                      <w:rFonts w:hint="default" w:ascii="Times New Roman" w:hAnsi="Times New Roman" w:eastAsia="宋体" w:cs="Times New Roman"/>
                      <w:color w:val="auto"/>
                      <w:sz w:val="21"/>
                      <w:szCs w:val="21"/>
                      <w:lang w:val="en-US" w:eastAsia="zh-CN"/>
                    </w:rPr>
                    <w:t>/m</w:t>
                  </w:r>
                </w:p>
              </w:tc>
              <w:tc>
                <w:tcPr>
                  <w:tcW w:w="536" w:type="dxa"/>
                  <w:vMerge w:val="restart"/>
                  <w:vAlign w:val="center"/>
                </w:tcPr>
                <w:p w14:paraId="36406CAB">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rPr>
                    <w:t>距室内边界距离</w:t>
                  </w:r>
                  <w:r>
                    <w:rPr>
                      <w:rFonts w:hint="default" w:ascii="Times New Roman" w:hAnsi="Times New Roman" w:eastAsia="宋体" w:cs="Times New Roman"/>
                      <w:color w:val="auto"/>
                      <w:sz w:val="21"/>
                      <w:szCs w:val="21"/>
                      <w:lang w:val="en-US" w:eastAsia="zh-CN"/>
                    </w:rPr>
                    <w:t>/m</w:t>
                  </w:r>
                </w:p>
              </w:tc>
              <w:tc>
                <w:tcPr>
                  <w:tcW w:w="788" w:type="dxa"/>
                  <w:vMerge w:val="restart"/>
                  <w:vAlign w:val="center"/>
                </w:tcPr>
                <w:p w14:paraId="52AA19B7">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rPr>
                    <w:t>室内边界声级</w:t>
                  </w:r>
                  <w:r>
                    <w:rPr>
                      <w:rFonts w:hint="default" w:ascii="Times New Roman" w:hAnsi="Times New Roman" w:eastAsia="宋体" w:cs="Times New Roman"/>
                      <w:color w:val="auto"/>
                      <w:sz w:val="21"/>
                      <w:szCs w:val="21"/>
                      <w:lang w:val="en-US" w:eastAsia="zh-CN"/>
                    </w:rPr>
                    <w:t>/B（A）</w:t>
                  </w:r>
                </w:p>
              </w:tc>
              <w:tc>
                <w:tcPr>
                  <w:tcW w:w="455" w:type="dxa"/>
                  <w:vMerge w:val="restart"/>
                  <w:vAlign w:val="center"/>
                </w:tcPr>
                <w:p w14:paraId="57EFD65B">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运行时段</w:t>
                  </w:r>
                </w:p>
              </w:tc>
              <w:tc>
                <w:tcPr>
                  <w:tcW w:w="788" w:type="dxa"/>
                  <w:vMerge w:val="restart"/>
                  <w:vAlign w:val="center"/>
                </w:tcPr>
                <w:p w14:paraId="06D224B9">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rPr>
                    <w:t>建筑物插入损失</w:t>
                  </w:r>
                  <w:r>
                    <w:rPr>
                      <w:rFonts w:hint="default" w:ascii="Times New Roman" w:hAnsi="Times New Roman" w:eastAsia="宋体" w:cs="Times New Roman"/>
                      <w:color w:val="auto"/>
                      <w:sz w:val="21"/>
                      <w:szCs w:val="21"/>
                      <w:lang w:val="en-US" w:eastAsia="zh-CN"/>
                    </w:rPr>
                    <w:t>/dB（A）</w:t>
                  </w:r>
                </w:p>
              </w:tc>
              <w:tc>
                <w:tcPr>
                  <w:tcW w:w="1355" w:type="dxa"/>
                  <w:gridSpan w:val="2"/>
                  <w:vAlign w:val="center"/>
                </w:tcPr>
                <w:p w14:paraId="3C9A194D">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建筑物外噪声</w:t>
                  </w:r>
                </w:p>
              </w:tc>
            </w:tr>
            <w:tr w14:paraId="13DD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B2C2B4E">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669" w:type="dxa"/>
                  <w:vMerge w:val="continue"/>
                  <w:vAlign w:val="center"/>
                </w:tcPr>
                <w:p w14:paraId="4634261D">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856" w:type="dxa"/>
                  <w:vAlign w:val="center"/>
                </w:tcPr>
                <w:p w14:paraId="1A11D120">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rPr>
                    <w:t>（声压级</w:t>
                  </w:r>
                  <w:r>
                    <w:rPr>
                      <w:rFonts w:hint="default" w:ascii="Times New Roman" w:hAnsi="Times New Roman" w:eastAsia="宋体" w:cs="Times New Roman"/>
                      <w:color w:val="auto"/>
                      <w:sz w:val="21"/>
                      <w:szCs w:val="21"/>
                      <w:lang w:val="en-US" w:eastAsia="zh-CN"/>
                    </w:rPr>
                    <w:t>/距声源距离</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lang w:val="en-US" w:eastAsia="zh-CN"/>
                    </w:rPr>
                    <w:t>/（dB（A）/m）</w:t>
                  </w:r>
                </w:p>
              </w:tc>
              <w:tc>
                <w:tcPr>
                  <w:tcW w:w="1021" w:type="dxa"/>
                  <w:vMerge w:val="continue"/>
                  <w:vAlign w:val="center"/>
                </w:tcPr>
                <w:p w14:paraId="4404A543">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426" w:type="dxa"/>
                  <w:vAlign w:val="center"/>
                </w:tcPr>
                <w:p w14:paraId="39DAB276">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449" w:type="dxa"/>
                  <w:vAlign w:val="center"/>
                </w:tcPr>
                <w:p w14:paraId="30395498">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w:t>
                  </w:r>
                </w:p>
              </w:tc>
              <w:tc>
                <w:tcPr>
                  <w:tcW w:w="430" w:type="dxa"/>
                  <w:vAlign w:val="center"/>
                </w:tcPr>
                <w:p w14:paraId="1DC1A298">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w:t>
                  </w:r>
                </w:p>
              </w:tc>
              <w:tc>
                <w:tcPr>
                  <w:tcW w:w="536" w:type="dxa"/>
                  <w:vMerge w:val="continue"/>
                  <w:vAlign w:val="center"/>
                </w:tcPr>
                <w:p w14:paraId="343B52EF">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788" w:type="dxa"/>
                  <w:vMerge w:val="continue"/>
                  <w:vAlign w:val="center"/>
                </w:tcPr>
                <w:p w14:paraId="4F93E703">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455" w:type="dxa"/>
                  <w:vMerge w:val="continue"/>
                  <w:vAlign w:val="center"/>
                </w:tcPr>
                <w:p w14:paraId="29045802">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788" w:type="dxa"/>
                  <w:vMerge w:val="continue"/>
                  <w:vAlign w:val="center"/>
                </w:tcPr>
                <w:p w14:paraId="09329D6C">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788" w:type="dxa"/>
                  <w:vAlign w:val="center"/>
                </w:tcPr>
                <w:p w14:paraId="51458013">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zh-CN"/>
                    </w:rPr>
                    <w:t>声压级</w:t>
                  </w:r>
                  <w:r>
                    <w:rPr>
                      <w:rFonts w:hint="default" w:ascii="Times New Roman" w:hAnsi="Times New Roman" w:eastAsia="宋体" w:cs="Times New Roman"/>
                      <w:color w:val="auto"/>
                      <w:sz w:val="21"/>
                      <w:szCs w:val="21"/>
                      <w:lang w:val="en-US" w:eastAsia="zh-CN"/>
                    </w:rPr>
                    <w:t>/dB（A）</w:t>
                  </w:r>
                </w:p>
              </w:tc>
              <w:tc>
                <w:tcPr>
                  <w:tcW w:w="567" w:type="dxa"/>
                  <w:vAlign w:val="center"/>
                </w:tcPr>
                <w:p w14:paraId="421B7D39">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建筑物距离</w:t>
                  </w:r>
                </w:p>
              </w:tc>
            </w:tr>
            <w:tr w14:paraId="440D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6" w:type="dxa"/>
                  <w:vMerge w:val="restart"/>
                  <w:vAlign w:val="center"/>
                </w:tcPr>
                <w:p w14:paraId="79E293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厂房</w:t>
                  </w:r>
                </w:p>
              </w:tc>
              <w:tc>
                <w:tcPr>
                  <w:tcW w:w="669" w:type="dxa"/>
                  <w:shd w:val="clear" w:color="auto" w:fill="auto"/>
                  <w:vAlign w:val="center"/>
                </w:tcPr>
                <w:p w14:paraId="4776F3E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val="0"/>
                      <w:bCs w:val="0"/>
                      <w:color w:val="auto"/>
                      <w:kern w:val="2"/>
                      <w:sz w:val="21"/>
                      <w:szCs w:val="21"/>
                      <w:vertAlign w:val="baseline"/>
                      <w:lang w:val="zh-CN"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风机</w:t>
                  </w:r>
                </w:p>
              </w:tc>
              <w:tc>
                <w:tcPr>
                  <w:tcW w:w="856" w:type="dxa"/>
                  <w:shd w:val="clear" w:color="auto" w:fill="auto"/>
                  <w:vAlign w:val="center"/>
                </w:tcPr>
                <w:p w14:paraId="78C8B925">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r>
                    <w:rPr>
                      <w:rFonts w:hint="default" w:ascii="Times New Roman" w:hAnsi="Times New Roman" w:eastAsia="宋体" w:cs="Times New Roman"/>
                      <w:color w:val="auto"/>
                      <w:sz w:val="21"/>
                      <w:szCs w:val="21"/>
                      <w:lang w:val="en-US" w:eastAsia="zh-CN"/>
                    </w:rPr>
                    <w:t>/1</w:t>
                  </w:r>
                </w:p>
              </w:tc>
              <w:tc>
                <w:tcPr>
                  <w:tcW w:w="1021" w:type="dxa"/>
                  <w:vMerge w:val="restart"/>
                  <w:vAlign w:val="center"/>
                </w:tcPr>
                <w:p w14:paraId="04620B4B">
                  <w:pPr>
                    <w:pStyle w:val="207"/>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选用低噪声设备；设备减震、消声；合理布局，距离衰减降噪；加强设备维修维护等</w:t>
                  </w:r>
                </w:p>
              </w:tc>
              <w:tc>
                <w:tcPr>
                  <w:tcW w:w="426" w:type="dxa"/>
                  <w:shd w:val="clear" w:color="auto" w:fill="auto"/>
                  <w:vAlign w:val="center"/>
                </w:tcPr>
                <w:p w14:paraId="16452C3B">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color w:val="auto"/>
                      <w:sz w:val="21"/>
                      <w:szCs w:val="21"/>
                      <w:lang w:val="en-US" w:eastAsia="zh-CN"/>
                    </w:rPr>
                    <w:t>30</w:t>
                  </w:r>
                </w:p>
              </w:tc>
              <w:tc>
                <w:tcPr>
                  <w:tcW w:w="449" w:type="dxa"/>
                  <w:shd w:val="clear" w:color="auto" w:fill="auto"/>
                  <w:vAlign w:val="center"/>
                </w:tcPr>
                <w:p w14:paraId="64007E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30</w:t>
                  </w:r>
                </w:p>
              </w:tc>
              <w:tc>
                <w:tcPr>
                  <w:tcW w:w="430" w:type="dxa"/>
                  <w:shd w:val="clear" w:color="auto" w:fill="auto"/>
                  <w:vAlign w:val="center"/>
                </w:tcPr>
                <w:p w14:paraId="7855B22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536" w:type="dxa"/>
                  <w:shd w:val="clear" w:color="auto" w:fill="auto"/>
                  <w:vAlign w:val="center"/>
                </w:tcPr>
                <w:p w14:paraId="250083EF">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788" w:type="dxa"/>
                  <w:shd w:val="clear" w:color="auto" w:fill="auto"/>
                  <w:vAlign w:val="center"/>
                </w:tcPr>
                <w:p w14:paraId="6D9EC81B">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65</w:t>
                  </w:r>
                </w:p>
              </w:tc>
              <w:tc>
                <w:tcPr>
                  <w:tcW w:w="455" w:type="dxa"/>
                  <w:vMerge w:val="restart"/>
                  <w:vAlign w:val="center"/>
                </w:tcPr>
                <w:p w14:paraId="79486522">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788" w:type="dxa"/>
                  <w:shd w:val="clear" w:color="auto" w:fill="auto"/>
                  <w:vAlign w:val="center"/>
                </w:tcPr>
                <w:p w14:paraId="7070253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lang w:val="en-US" w:eastAsia="zh-CN"/>
                    </w:rPr>
                    <w:t>15</w:t>
                  </w:r>
                </w:p>
              </w:tc>
              <w:tc>
                <w:tcPr>
                  <w:tcW w:w="788" w:type="dxa"/>
                  <w:shd w:val="clear" w:color="auto" w:fill="auto"/>
                  <w:vAlign w:val="center"/>
                </w:tcPr>
                <w:p w14:paraId="08271B5D">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w:t>
                  </w:r>
                </w:p>
              </w:tc>
              <w:tc>
                <w:tcPr>
                  <w:tcW w:w="567" w:type="dxa"/>
                  <w:shd w:val="clear" w:color="auto" w:fill="auto"/>
                  <w:vAlign w:val="center"/>
                </w:tcPr>
                <w:p w14:paraId="6E81044E">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3E7D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0E4573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669" w:type="dxa"/>
                  <w:shd w:val="clear" w:color="auto" w:fill="auto"/>
                  <w:vAlign w:val="center"/>
                </w:tcPr>
                <w:p w14:paraId="451CF2B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搅拌机</w:t>
                  </w:r>
                </w:p>
              </w:tc>
              <w:tc>
                <w:tcPr>
                  <w:tcW w:w="856" w:type="dxa"/>
                  <w:shd w:val="clear" w:color="auto" w:fill="auto"/>
                  <w:vAlign w:val="center"/>
                </w:tcPr>
                <w:p w14:paraId="6E1F65F7">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r>
                    <w:rPr>
                      <w:rFonts w:hint="default" w:ascii="Times New Roman" w:hAnsi="Times New Roman" w:eastAsia="宋体" w:cs="Times New Roman"/>
                      <w:color w:val="auto"/>
                      <w:sz w:val="21"/>
                      <w:szCs w:val="21"/>
                      <w:lang w:val="en-US" w:eastAsia="zh-CN"/>
                    </w:rPr>
                    <w:t>/1</w:t>
                  </w:r>
                </w:p>
              </w:tc>
              <w:tc>
                <w:tcPr>
                  <w:tcW w:w="1021" w:type="dxa"/>
                  <w:vMerge w:val="continue"/>
                  <w:vAlign w:val="center"/>
                </w:tcPr>
                <w:p w14:paraId="4C26425A">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426" w:type="dxa"/>
                  <w:shd w:val="clear" w:color="auto" w:fill="auto"/>
                  <w:vAlign w:val="center"/>
                </w:tcPr>
                <w:p w14:paraId="67115A0F">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color w:val="auto"/>
                      <w:sz w:val="21"/>
                      <w:szCs w:val="21"/>
                      <w:lang w:val="en-US" w:eastAsia="zh-CN"/>
                    </w:rPr>
                    <w:t>40</w:t>
                  </w:r>
                </w:p>
              </w:tc>
              <w:tc>
                <w:tcPr>
                  <w:tcW w:w="449" w:type="dxa"/>
                  <w:shd w:val="clear" w:color="auto" w:fill="auto"/>
                  <w:vAlign w:val="center"/>
                </w:tcPr>
                <w:p w14:paraId="44EA34B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20</w:t>
                  </w:r>
                </w:p>
              </w:tc>
              <w:tc>
                <w:tcPr>
                  <w:tcW w:w="430" w:type="dxa"/>
                  <w:shd w:val="clear" w:color="auto" w:fill="auto"/>
                  <w:vAlign w:val="center"/>
                </w:tcPr>
                <w:p w14:paraId="6F691F3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536" w:type="dxa"/>
                  <w:shd w:val="clear" w:color="auto" w:fill="auto"/>
                  <w:vAlign w:val="center"/>
                </w:tcPr>
                <w:p w14:paraId="17E70762">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788" w:type="dxa"/>
                  <w:shd w:val="clear" w:color="auto" w:fill="auto"/>
                  <w:vAlign w:val="center"/>
                </w:tcPr>
                <w:p w14:paraId="5995DADD">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65</w:t>
                  </w:r>
                </w:p>
              </w:tc>
              <w:tc>
                <w:tcPr>
                  <w:tcW w:w="455" w:type="dxa"/>
                  <w:vMerge w:val="continue"/>
                  <w:vAlign w:val="center"/>
                </w:tcPr>
                <w:p w14:paraId="7364852F">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788" w:type="dxa"/>
                  <w:shd w:val="clear" w:color="auto" w:fill="auto"/>
                  <w:vAlign w:val="center"/>
                </w:tcPr>
                <w:p w14:paraId="708ADE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lang w:val="en-US" w:eastAsia="zh-CN"/>
                    </w:rPr>
                    <w:t>15</w:t>
                  </w:r>
                </w:p>
              </w:tc>
              <w:tc>
                <w:tcPr>
                  <w:tcW w:w="788" w:type="dxa"/>
                  <w:shd w:val="clear" w:color="auto" w:fill="auto"/>
                  <w:vAlign w:val="center"/>
                </w:tcPr>
                <w:p w14:paraId="34F32731">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color w:val="auto"/>
                      <w:sz w:val="21"/>
                      <w:szCs w:val="21"/>
                      <w:lang w:val="en-US" w:eastAsia="zh-CN"/>
                    </w:rPr>
                    <w:t>50</w:t>
                  </w:r>
                </w:p>
              </w:tc>
              <w:tc>
                <w:tcPr>
                  <w:tcW w:w="567" w:type="dxa"/>
                  <w:shd w:val="clear" w:color="auto" w:fill="auto"/>
                  <w:vAlign w:val="center"/>
                </w:tcPr>
                <w:p w14:paraId="73F526CA">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4906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1EFE37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669" w:type="dxa"/>
                  <w:shd w:val="clear" w:color="auto" w:fill="auto"/>
                  <w:vAlign w:val="center"/>
                </w:tcPr>
                <w:p w14:paraId="155E339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搅拌机</w:t>
                  </w:r>
                </w:p>
              </w:tc>
              <w:tc>
                <w:tcPr>
                  <w:tcW w:w="856" w:type="dxa"/>
                  <w:shd w:val="clear" w:color="auto" w:fill="auto"/>
                  <w:vAlign w:val="center"/>
                </w:tcPr>
                <w:p w14:paraId="218D7088">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r>
                    <w:rPr>
                      <w:rFonts w:hint="default" w:ascii="Times New Roman" w:hAnsi="Times New Roman" w:eastAsia="宋体" w:cs="Times New Roman"/>
                      <w:color w:val="auto"/>
                      <w:sz w:val="21"/>
                      <w:szCs w:val="21"/>
                      <w:lang w:val="en-US" w:eastAsia="zh-CN"/>
                    </w:rPr>
                    <w:t>/1</w:t>
                  </w:r>
                </w:p>
              </w:tc>
              <w:tc>
                <w:tcPr>
                  <w:tcW w:w="1021" w:type="dxa"/>
                  <w:vMerge w:val="continue"/>
                  <w:vAlign w:val="center"/>
                </w:tcPr>
                <w:p w14:paraId="34423EC7">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426" w:type="dxa"/>
                  <w:shd w:val="clear" w:color="auto" w:fill="auto"/>
                  <w:vAlign w:val="center"/>
                </w:tcPr>
                <w:p w14:paraId="5F7A79F2">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449" w:type="dxa"/>
                  <w:shd w:val="clear" w:color="auto" w:fill="auto"/>
                  <w:vAlign w:val="center"/>
                </w:tcPr>
                <w:p w14:paraId="6BC4BA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430" w:type="dxa"/>
                  <w:shd w:val="clear" w:color="auto" w:fill="auto"/>
                  <w:vAlign w:val="center"/>
                </w:tcPr>
                <w:p w14:paraId="68D0936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36" w:type="dxa"/>
                  <w:shd w:val="clear" w:color="auto" w:fill="auto"/>
                  <w:vAlign w:val="center"/>
                </w:tcPr>
                <w:p w14:paraId="2B3D29FE">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788" w:type="dxa"/>
                  <w:shd w:val="clear" w:color="auto" w:fill="auto"/>
                  <w:vAlign w:val="center"/>
                </w:tcPr>
                <w:p w14:paraId="0C7B0EA5">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455" w:type="dxa"/>
                  <w:vMerge w:val="continue"/>
                  <w:vAlign w:val="center"/>
                </w:tcPr>
                <w:p w14:paraId="04F070A6">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zh-CN"/>
                    </w:rPr>
                  </w:pPr>
                </w:p>
              </w:tc>
              <w:tc>
                <w:tcPr>
                  <w:tcW w:w="788" w:type="dxa"/>
                  <w:shd w:val="clear" w:color="auto" w:fill="auto"/>
                  <w:vAlign w:val="center"/>
                </w:tcPr>
                <w:p w14:paraId="687EA5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788" w:type="dxa"/>
                  <w:shd w:val="clear" w:color="auto" w:fill="auto"/>
                  <w:vAlign w:val="center"/>
                </w:tcPr>
                <w:p w14:paraId="302BF004">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567" w:type="dxa"/>
                  <w:shd w:val="clear" w:color="auto" w:fill="auto"/>
                  <w:vAlign w:val="center"/>
                </w:tcPr>
                <w:p w14:paraId="4C4877FB">
                  <w:pPr>
                    <w:pStyle w:val="207"/>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54BC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9" w:type="dxa"/>
                  <w:gridSpan w:val="13"/>
                  <w:vAlign w:val="center"/>
                </w:tcPr>
                <w:p w14:paraId="3CE6488F">
                  <w:pPr>
                    <w:pStyle w:val="20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zh-CN"/>
                    </w:rPr>
                    <w:t>注：</w:t>
                  </w:r>
                  <w:r>
                    <w:rPr>
                      <w:rFonts w:hint="default" w:ascii="Times New Roman" w:hAnsi="Times New Roman" w:eastAsia="宋体" w:cs="Times New Roman"/>
                      <w:b w:val="0"/>
                      <w:bCs w:val="0"/>
                      <w:color w:val="auto"/>
                      <w:sz w:val="21"/>
                      <w:szCs w:val="21"/>
                      <w:lang w:val="zh-CN"/>
                    </w:rPr>
                    <w:t>①</w:t>
                  </w:r>
                  <w:r>
                    <w:rPr>
                      <w:rFonts w:hint="default" w:ascii="Times New Roman" w:hAnsi="Times New Roman" w:eastAsia="宋体" w:cs="Times New Roman"/>
                      <w:color w:val="auto"/>
                      <w:sz w:val="21"/>
                      <w:szCs w:val="21"/>
                      <w:lang w:val="zh-CN"/>
                    </w:rPr>
                    <w:t>以</w:t>
                  </w:r>
                  <w:r>
                    <w:rPr>
                      <w:rFonts w:hint="default" w:ascii="Times New Roman" w:hAnsi="Times New Roman" w:eastAsia="宋体" w:cs="Times New Roman"/>
                      <w:color w:val="auto"/>
                      <w:sz w:val="21"/>
                      <w:szCs w:val="21"/>
                      <w:lang w:val="en-US" w:eastAsia="zh-CN"/>
                    </w:rPr>
                    <w:t>生产车间</w:t>
                  </w:r>
                  <w:r>
                    <w:rPr>
                      <w:rFonts w:hint="eastAsia" w:cs="Times New Roman"/>
                      <w:color w:val="auto"/>
                      <w:sz w:val="21"/>
                      <w:szCs w:val="21"/>
                      <w:lang w:val="en-US" w:eastAsia="zh-CN"/>
                    </w:rPr>
                    <w:t>西南</w:t>
                  </w:r>
                  <w:r>
                    <w:rPr>
                      <w:rFonts w:hint="default" w:ascii="Times New Roman" w:hAnsi="Times New Roman" w:eastAsia="宋体" w:cs="Times New Roman"/>
                      <w:color w:val="auto"/>
                      <w:sz w:val="21"/>
                      <w:szCs w:val="21"/>
                      <w:lang w:val="en-US" w:eastAsia="zh-CN"/>
                    </w:rPr>
                    <w:t>角为坐标圆点（0，0），X轴正向为正</w:t>
                  </w:r>
                  <w:r>
                    <w:rPr>
                      <w:rFonts w:hint="eastAsia" w:cs="Times New Roman"/>
                      <w:color w:val="auto"/>
                      <w:sz w:val="21"/>
                      <w:szCs w:val="21"/>
                      <w:lang w:val="en-US" w:eastAsia="zh-CN"/>
                    </w:rPr>
                    <w:t>东</w:t>
                  </w:r>
                  <w:r>
                    <w:rPr>
                      <w:rFonts w:hint="default" w:ascii="Times New Roman" w:hAnsi="Times New Roman" w:eastAsia="宋体" w:cs="Times New Roman"/>
                      <w:color w:val="auto"/>
                      <w:sz w:val="21"/>
                      <w:szCs w:val="21"/>
                      <w:lang w:val="en-US" w:eastAsia="zh-CN"/>
                    </w:rPr>
                    <w:t>方向，Y轴正向为正</w:t>
                  </w:r>
                  <w:r>
                    <w:rPr>
                      <w:rFonts w:hint="eastAsia" w:cs="Times New Roman"/>
                      <w:color w:val="auto"/>
                      <w:sz w:val="21"/>
                      <w:szCs w:val="21"/>
                      <w:lang w:val="en-US" w:eastAsia="zh-CN"/>
                    </w:rPr>
                    <w:t>北</w:t>
                  </w:r>
                  <w:r>
                    <w:rPr>
                      <w:rFonts w:hint="default" w:ascii="Times New Roman" w:hAnsi="Times New Roman" w:eastAsia="宋体" w:cs="Times New Roman"/>
                      <w:color w:val="auto"/>
                      <w:sz w:val="21"/>
                      <w:szCs w:val="21"/>
                      <w:lang w:val="en-US" w:eastAsia="zh-CN"/>
                    </w:rPr>
                    <w:t>方向。</w:t>
                  </w:r>
                </w:p>
              </w:tc>
            </w:tr>
          </w:tbl>
          <w:p w14:paraId="28D0F1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表4-</w:t>
            </w:r>
            <w:r>
              <w:rPr>
                <w:rFonts w:hint="eastAsia" w:cs="Times New Roman"/>
                <w:b/>
                <w:bCs/>
                <w:color w:val="auto"/>
                <w:sz w:val="24"/>
                <w:szCs w:val="32"/>
                <w:lang w:val="en-US" w:eastAsia="zh-CN"/>
              </w:rPr>
              <w:t>8</w:t>
            </w:r>
            <w:r>
              <w:rPr>
                <w:rFonts w:hint="eastAsia" w:ascii="Times New Roman" w:hAnsi="Times New Roman" w:eastAsia="宋体" w:cs="Times New Roman"/>
                <w:b/>
                <w:bCs/>
                <w:color w:val="auto"/>
                <w:sz w:val="24"/>
                <w:szCs w:val="32"/>
                <w:lang w:val="en-US" w:eastAsia="zh-CN"/>
              </w:rPr>
              <w:t>原项目噪声贡献值</w:t>
            </w:r>
            <w:r>
              <w:rPr>
                <w:rFonts w:hint="default" w:ascii="Times New Roman" w:hAnsi="Times New Roman" w:eastAsia="宋体" w:cs="Times New Roman"/>
                <w:b/>
                <w:bCs/>
                <w:color w:val="auto"/>
                <w:sz w:val="24"/>
                <w:szCs w:val="32"/>
                <w:lang w:val="en-US" w:eastAsia="zh-CN"/>
              </w:rPr>
              <w:t>dB(A)</w:t>
            </w:r>
          </w:p>
          <w:tbl>
            <w:tblPr>
              <w:tblStyle w:val="47"/>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22"/>
              <w:gridCol w:w="2724"/>
              <w:gridCol w:w="2661"/>
            </w:tblGrid>
            <w:tr w14:paraId="7D19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jc w:val="center"/>
              </w:trPr>
              <w:tc>
                <w:tcPr>
                  <w:tcW w:w="1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1B0557">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w:t>
                  </w:r>
                </w:p>
              </w:tc>
              <w:tc>
                <w:tcPr>
                  <w:tcW w:w="328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E1D14">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贡献值</w:t>
                  </w:r>
                </w:p>
              </w:tc>
            </w:tr>
            <w:tr w14:paraId="0F651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F1C57">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val="en-US" w:eastAsia="zh-CN"/>
                    </w:rPr>
                  </w:pP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3A0BB">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昼间</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DFA8F">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夜间</w:t>
                  </w:r>
                </w:p>
              </w:tc>
            </w:tr>
            <w:tr w14:paraId="30EA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jc w:val="center"/>
              </w:trPr>
              <w:tc>
                <w:tcPr>
                  <w:tcW w:w="1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0E6C1">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厂界东侧</w:t>
                  </w: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4D285">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55.9dB(A)</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top"/>
                </w:tcPr>
                <w:p w14:paraId="2ECD8C8C">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4EE8B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jc w:val="center"/>
              </w:trPr>
              <w:tc>
                <w:tcPr>
                  <w:tcW w:w="1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EAB3F">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厂界南侧</w:t>
                  </w: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0BCB">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52.9dB(A)</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24D9D">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18B89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E76D6">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厂界西侧</w:t>
                  </w: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10A6B">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55.8dB(A)</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top"/>
                </w:tcPr>
                <w:p w14:paraId="3B6F006D">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029CC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1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3E841">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厂界北侧</w:t>
                  </w:r>
                </w:p>
              </w:tc>
              <w:tc>
                <w:tcPr>
                  <w:tcW w:w="1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DF401">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50.3dB(A)</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AF20">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bl>
          <w:p w14:paraId="15B646F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将原项目噪声贡献值作为背景值，叠加技改项目设备噪声值，得出全厂噪声预测值</w:t>
            </w:r>
          </w:p>
          <w:p w14:paraId="762B7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表4-</w:t>
            </w:r>
            <w:r>
              <w:rPr>
                <w:rFonts w:hint="eastAsia" w:cs="Times New Roman"/>
                <w:b/>
                <w:bCs/>
                <w:color w:val="auto"/>
                <w:sz w:val="24"/>
                <w:szCs w:val="32"/>
                <w:lang w:val="en-US" w:eastAsia="zh-CN"/>
              </w:rPr>
              <w:t>9</w:t>
            </w:r>
            <w:r>
              <w:rPr>
                <w:rFonts w:hint="default" w:ascii="Times New Roman" w:hAnsi="Times New Roman" w:eastAsia="宋体" w:cs="Times New Roman"/>
                <w:b/>
                <w:bCs/>
                <w:color w:val="auto"/>
                <w:sz w:val="24"/>
                <w:szCs w:val="32"/>
                <w:lang w:val="en-US" w:eastAsia="zh-CN"/>
              </w:rPr>
              <w:t>厂界噪声预测dB(A)</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365"/>
              <w:gridCol w:w="1365"/>
              <w:gridCol w:w="1367"/>
              <w:gridCol w:w="1367"/>
              <w:gridCol w:w="1367"/>
            </w:tblGrid>
            <w:tr w14:paraId="3FAC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Align w:val="center"/>
                </w:tcPr>
                <w:p w14:paraId="19CEF4C5">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时间</w:t>
                  </w:r>
                </w:p>
              </w:tc>
              <w:tc>
                <w:tcPr>
                  <w:tcW w:w="1365" w:type="dxa"/>
                  <w:vAlign w:val="center"/>
                </w:tcPr>
                <w:p w14:paraId="7B6099D0">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方位</w:t>
                  </w:r>
                </w:p>
              </w:tc>
              <w:tc>
                <w:tcPr>
                  <w:tcW w:w="1365" w:type="dxa"/>
                  <w:vAlign w:val="center"/>
                </w:tcPr>
                <w:p w14:paraId="4005BBF4">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距厂房位置/m</w:t>
                  </w:r>
                </w:p>
              </w:tc>
              <w:tc>
                <w:tcPr>
                  <w:tcW w:w="1367" w:type="dxa"/>
                  <w:shd w:val="clear" w:color="auto" w:fill="auto"/>
                  <w:vAlign w:val="center"/>
                </w:tcPr>
                <w:p w14:paraId="3F689EB8">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技改项目设备叠加值</w:t>
                  </w:r>
                </w:p>
              </w:tc>
              <w:tc>
                <w:tcPr>
                  <w:tcW w:w="1367" w:type="dxa"/>
                  <w:shd w:val="clear" w:color="auto" w:fill="auto"/>
                  <w:vAlign w:val="center"/>
                </w:tcPr>
                <w:p w14:paraId="6BD3F583">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lang w:val="en-US" w:eastAsia="zh-CN"/>
                    </w:rPr>
                  </w:pPr>
                  <w:r>
                    <w:rPr>
                      <w:rFonts w:hint="eastAsia" w:cs="Times New Roman"/>
                      <w:color w:val="auto"/>
                      <w:lang w:val="en-US" w:eastAsia="zh-CN"/>
                    </w:rPr>
                    <w:t>背景值</w:t>
                  </w:r>
                </w:p>
              </w:tc>
              <w:tc>
                <w:tcPr>
                  <w:tcW w:w="1367" w:type="dxa"/>
                  <w:shd w:val="clear" w:color="auto" w:fill="auto"/>
                  <w:vAlign w:val="center"/>
                </w:tcPr>
                <w:p w14:paraId="7BE0FBAD">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预测值</w:t>
                  </w:r>
                </w:p>
              </w:tc>
            </w:tr>
            <w:tr w14:paraId="7FAE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restart"/>
                  <w:vAlign w:val="center"/>
                </w:tcPr>
                <w:p w14:paraId="13085B4F">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昼间</w:t>
                  </w:r>
                </w:p>
              </w:tc>
              <w:tc>
                <w:tcPr>
                  <w:tcW w:w="1365" w:type="dxa"/>
                  <w:vAlign w:val="center"/>
                </w:tcPr>
                <w:p w14:paraId="17CC49EC">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东</w:t>
                  </w:r>
                </w:p>
              </w:tc>
              <w:tc>
                <w:tcPr>
                  <w:tcW w:w="1365" w:type="dxa"/>
                  <w:shd w:val="clear" w:color="auto" w:fill="auto"/>
                  <w:vAlign w:val="center"/>
                </w:tcPr>
                <w:p w14:paraId="561EAADF">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367" w:type="dxa"/>
                  <w:shd w:val="clear" w:color="auto" w:fill="auto"/>
                  <w:vAlign w:val="center"/>
                </w:tcPr>
                <w:p w14:paraId="1DB6963C">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45.6</w:t>
                  </w:r>
                </w:p>
              </w:tc>
              <w:tc>
                <w:tcPr>
                  <w:tcW w:w="1367" w:type="dxa"/>
                  <w:shd w:val="clear" w:color="auto" w:fill="auto"/>
                  <w:vAlign w:val="center"/>
                </w:tcPr>
                <w:p w14:paraId="18EE5229">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55.9</w:t>
                  </w:r>
                </w:p>
              </w:tc>
              <w:tc>
                <w:tcPr>
                  <w:tcW w:w="1367" w:type="dxa"/>
                  <w:shd w:val="clear" w:color="auto" w:fill="auto"/>
                  <w:vAlign w:val="center"/>
                </w:tcPr>
                <w:p w14:paraId="1C4B1A04">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56.</w:t>
                  </w:r>
                  <w:r>
                    <w:rPr>
                      <w:rFonts w:hint="eastAsia" w:ascii="Times New Roman" w:hAnsi="Times New Roman" w:eastAsia="宋体" w:cs="Times New Roman"/>
                      <w:color w:val="auto"/>
                      <w:lang w:val="en-US" w:eastAsia="zh-CN"/>
                    </w:rPr>
                    <w:t>7</w:t>
                  </w:r>
                </w:p>
              </w:tc>
            </w:tr>
            <w:tr w14:paraId="5089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continue"/>
                  <w:vAlign w:val="center"/>
                </w:tcPr>
                <w:p w14:paraId="18D0D41A">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p>
              </w:tc>
              <w:tc>
                <w:tcPr>
                  <w:tcW w:w="1365" w:type="dxa"/>
                  <w:vAlign w:val="center"/>
                </w:tcPr>
                <w:p w14:paraId="504E631F">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南</w:t>
                  </w:r>
                </w:p>
              </w:tc>
              <w:tc>
                <w:tcPr>
                  <w:tcW w:w="1365" w:type="dxa"/>
                  <w:shd w:val="clear" w:color="auto" w:fill="auto"/>
                  <w:vAlign w:val="center"/>
                </w:tcPr>
                <w:p w14:paraId="3C22C2E8">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367" w:type="dxa"/>
                  <w:shd w:val="clear" w:color="auto" w:fill="auto"/>
                  <w:vAlign w:val="center"/>
                </w:tcPr>
                <w:p w14:paraId="3E58960E">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47.1</w:t>
                  </w:r>
                </w:p>
              </w:tc>
              <w:tc>
                <w:tcPr>
                  <w:tcW w:w="1367" w:type="dxa"/>
                  <w:shd w:val="clear" w:color="auto" w:fill="auto"/>
                  <w:vAlign w:val="center"/>
                </w:tcPr>
                <w:p w14:paraId="71B7A3A6">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52.9</w:t>
                  </w:r>
                </w:p>
              </w:tc>
              <w:tc>
                <w:tcPr>
                  <w:tcW w:w="1367" w:type="dxa"/>
                  <w:shd w:val="clear" w:color="auto" w:fill="auto"/>
                  <w:vAlign w:val="center"/>
                </w:tcPr>
                <w:p w14:paraId="7F42B7D8">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3</w:t>
                  </w:r>
                </w:p>
              </w:tc>
            </w:tr>
            <w:tr w14:paraId="2E70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continue"/>
                  <w:vAlign w:val="center"/>
                </w:tcPr>
                <w:p w14:paraId="65804747">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p>
              </w:tc>
              <w:tc>
                <w:tcPr>
                  <w:tcW w:w="1365" w:type="dxa"/>
                  <w:vAlign w:val="center"/>
                </w:tcPr>
                <w:p w14:paraId="499E8F13">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西</w:t>
                  </w:r>
                </w:p>
              </w:tc>
              <w:tc>
                <w:tcPr>
                  <w:tcW w:w="1365" w:type="dxa"/>
                  <w:shd w:val="clear" w:color="auto" w:fill="auto"/>
                  <w:vAlign w:val="center"/>
                </w:tcPr>
                <w:p w14:paraId="4E57487F">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367" w:type="dxa"/>
                  <w:shd w:val="clear" w:color="auto" w:fill="auto"/>
                  <w:vAlign w:val="center"/>
                </w:tcPr>
                <w:p w14:paraId="4780AA7D">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48.5</w:t>
                  </w:r>
                </w:p>
              </w:tc>
              <w:tc>
                <w:tcPr>
                  <w:tcW w:w="1367" w:type="dxa"/>
                  <w:shd w:val="clear" w:color="auto" w:fill="auto"/>
                  <w:vAlign w:val="center"/>
                </w:tcPr>
                <w:p w14:paraId="7A9FCDD3">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55.8</w:t>
                  </w:r>
                </w:p>
              </w:tc>
              <w:tc>
                <w:tcPr>
                  <w:tcW w:w="1367" w:type="dxa"/>
                  <w:shd w:val="clear" w:color="auto" w:fill="auto"/>
                  <w:vAlign w:val="center"/>
                </w:tcPr>
                <w:p w14:paraId="578FDDB4">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9</w:t>
                  </w:r>
                </w:p>
              </w:tc>
            </w:tr>
            <w:tr w14:paraId="69B4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vMerge w:val="continue"/>
                  <w:vAlign w:val="center"/>
                </w:tcPr>
                <w:p w14:paraId="5C5FAA9B">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p>
              </w:tc>
              <w:tc>
                <w:tcPr>
                  <w:tcW w:w="1365" w:type="dxa"/>
                  <w:vAlign w:val="center"/>
                </w:tcPr>
                <w:p w14:paraId="63F5B337">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北</w:t>
                  </w:r>
                </w:p>
              </w:tc>
              <w:tc>
                <w:tcPr>
                  <w:tcW w:w="1365" w:type="dxa"/>
                  <w:shd w:val="clear" w:color="auto" w:fill="auto"/>
                  <w:vAlign w:val="center"/>
                </w:tcPr>
                <w:p w14:paraId="49C731AC">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367" w:type="dxa"/>
                  <w:shd w:val="clear" w:color="auto" w:fill="auto"/>
                  <w:vAlign w:val="center"/>
                </w:tcPr>
                <w:p w14:paraId="33A1F71D">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47.3</w:t>
                  </w:r>
                </w:p>
              </w:tc>
              <w:tc>
                <w:tcPr>
                  <w:tcW w:w="1367" w:type="dxa"/>
                  <w:shd w:val="clear" w:color="auto" w:fill="auto"/>
                  <w:vAlign w:val="center"/>
                </w:tcPr>
                <w:p w14:paraId="4E21B0D2">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50.3</w:t>
                  </w:r>
                </w:p>
              </w:tc>
              <w:tc>
                <w:tcPr>
                  <w:tcW w:w="1367" w:type="dxa"/>
                  <w:shd w:val="clear" w:color="auto" w:fill="auto"/>
                  <w:vAlign w:val="center"/>
                </w:tcPr>
                <w:p w14:paraId="7A31E82B">
                  <w:pPr>
                    <w:pStyle w:val="207"/>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.1</w:t>
                  </w:r>
                </w:p>
              </w:tc>
            </w:tr>
          </w:tbl>
          <w:p w14:paraId="62F774F4">
            <w:pPr>
              <w:keepLines w:val="0"/>
              <w:pageBreakBefore w:val="0"/>
              <w:kinsoku/>
              <w:topLinePunct w:val="0"/>
              <w:bidi w:val="0"/>
              <w:adjustRightInd w:val="0"/>
              <w:snapToGrid w:val="0"/>
              <w:spacing w:line="500" w:lineRule="exact"/>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由表4-</w:t>
            </w:r>
            <w:r>
              <w:rPr>
                <w:rFonts w:hint="eastAsia" w:cs="Times New Roman"/>
                <w:color w:val="auto"/>
                <w:kern w:val="0"/>
                <w:sz w:val="24"/>
                <w:szCs w:val="24"/>
                <w:highlight w:val="none"/>
                <w:lang w:val="en-US" w:eastAsia="zh-CN" w:bidi="ar-SA"/>
              </w:rPr>
              <w:t>9</w:t>
            </w:r>
            <w:r>
              <w:rPr>
                <w:rFonts w:hint="default" w:ascii="Times New Roman" w:hAnsi="Times New Roman" w:eastAsia="宋体" w:cs="Times New Roman"/>
                <w:color w:val="auto"/>
                <w:kern w:val="0"/>
                <w:sz w:val="24"/>
                <w:szCs w:val="24"/>
                <w:highlight w:val="none"/>
                <w:lang w:val="en-US" w:eastAsia="zh-CN" w:bidi="ar-SA"/>
              </w:rPr>
              <w:t>中数据可知，本项目在东侧、西侧、南侧、北侧厂界贡献值均能满足《工业企业厂界环境噪声排放标准》（GB 12348-2008）中的2类标准要求。</w:t>
            </w:r>
          </w:p>
          <w:p w14:paraId="71B335B0">
            <w:pPr>
              <w:keepLines w:val="0"/>
              <w:pageBreakBefore w:val="0"/>
              <w:kinsoku/>
              <w:topLinePunct w:val="0"/>
              <w:bidi w:val="0"/>
              <w:adjustRightInd w:val="0"/>
              <w:snapToGrid w:val="0"/>
              <w:spacing w:line="500" w:lineRule="exact"/>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根据上表预测结果：本项目噪声在通过合理布局、建筑隔声及距离衰减后，</w:t>
            </w:r>
            <w:r>
              <w:rPr>
                <w:rFonts w:hint="eastAsia" w:cs="Times New Roman"/>
                <w:snapToGrid w:val="0"/>
                <w:color w:val="auto"/>
                <w:sz w:val="24"/>
                <w:szCs w:val="24"/>
                <w:lang w:val="en-US" w:eastAsia="zh-CN"/>
              </w:rPr>
              <w:t>厂界</w:t>
            </w:r>
            <w:r>
              <w:rPr>
                <w:rFonts w:hint="default" w:ascii="Times New Roman" w:hAnsi="Times New Roman" w:eastAsia="宋体" w:cs="Times New Roman"/>
                <w:snapToGrid w:val="0"/>
                <w:color w:val="auto"/>
                <w:sz w:val="24"/>
                <w:szCs w:val="24"/>
              </w:rPr>
              <w:t>满足《工业企业厂界环境噪声排放标准》（GB12348-2008）中的</w:t>
            </w:r>
            <w:r>
              <w:rPr>
                <w:rFonts w:hint="default" w:ascii="Times New Roman" w:hAnsi="Times New Roman" w:eastAsia="宋体" w:cs="Times New Roman"/>
                <w:snapToGrid w:val="0"/>
                <w:color w:val="auto"/>
                <w:sz w:val="24"/>
                <w:szCs w:val="24"/>
                <w:lang w:val="en-US" w:eastAsia="zh-CN"/>
              </w:rPr>
              <w:t>2</w:t>
            </w:r>
            <w:r>
              <w:rPr>
                <w:rFonts w:hint="default" w:ascii="Times New Roman" w:hAnsi="Times New Roman" w:eastAsia="宋体" w:cs="Times New Roman"/>
                <w:snapToGrid w:val="0"/>
                <w:color w:val="auto"/>
                <w:sz w:val="24"/>
                <w:szCs w:val="24"/>
              </w:rPr>
              <w:t>类标准，对周围声环境影响较小，不会降低当地的环境声功能级别。</w:t>
            </w:r>
          </w:p>
          <w:p w14:paraId="7BEFBC64">
            <w:pPr>
              <w:keepLines w:val="0"/>
              <w:pageBreakBefore w:val="0"/>
              <w:kinsoku/>
              <w:topLinePunct w:val="0"/>
              <w:bidi w:val="0"/>
              <w:adjustRightInd w:val="0"/>
              <w:snapToGrid w:val="0"/>
              <w:spacing w:line="500" w:lineRule="exact"/>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3、噪声监测要求</w:t>
            </w:r>
          </w:p>
          <w:p w14:paraId="41A0F146">
            <w:pPr>
              <w:keepLines w:val="0"/>
              <w:pageBreakBefore w:val="0"/>
              <w:kinsoku/>
              <w:topLinePunct w:val="0"/>
              <w:bidi w:val="0"/>
              <w:adjustRightInd w:val="0"/>
              <w:snapToGrid w:val="0"/>
              <w:spacing w:line="500" w:lineRule="exact"/>
              <w:ind w:firstLine="480" w:firstLineChars="200"/>
              <w:rPr>
                <w:rFonts w:hint="default" w:ascii="Times New Roman" w:hAnsi="Times New Roman" w:eastAsia="宋体" w:cs="Times New Roman"/>
                <w:snapToGrid w:val="0"/>
                <w:color w:val="auto"/>
                <w:sz w:val="24"/>
                <w:szCs w:val="24"/>
              </w:rPr>
            </w:pPr>
            <w:r>
              <w:rPr>
                <w:rFonts w:hint="eastAsia" w:ascii="Times New Roman" w:hAnsi="Times New Roman" w:cs="Times New Roman"/>
                <w:bCs/>
                <w:color w:val="auto"/>
                <w:kern w:val="0"/>
                <w:sz w:val="24"/>
                <w:lang w:val="en-US" w:eastAsia="zh-CN"/>
              </w:rPr>
              <w:t>本项目的国民经济行业类别为</w:t>
            </w:r>
            <w:r>
              <w:rPr>
                <w:rFonts w:hint="eastAsia" w:cs="Times New Roman"/>
                <w:sz w:val="24"/>
                <w:szCs w:val="24"/>
                <w:lang w:val="en-US" w:eastAsia="zh-CN"/>
              </w:rPr>
              <w:t>C3029其他水泥类似制品制造</w:t>
            </w:r>
            <w:r>
              <w:rPr>
                <w:rFonts w:hint="eastAsia" w:ascii="Times New Roman" w:hAnsi="Times New Roman" w:cs="Times New Roman"/>
                <w:bCs/>
                <w:color w:val="auto"/>
                <w:kern w:val="0"/>
                <w:sz w:val="24"/>
                <w:lang w:val="en-US" w:eastAsia="zh-CN"/>
              </w:rPr>
              <w:t>，根据《固定污染源排污许可分类管理名录》（2019年版）规定，企业属于登记管理，无需申领排污许可证，故亦无需开展自行监测；鉴于企业运营期有</w:t>
            </w:r>
            <w:r>
              <w:rPr>
                <w:rFonts w:hint="eastAsia" w:cs="Times New Roman"/>
                <w:bCs/>
                <w:color w:val="auto"/>
                <w:kern w:val="0"/>
                <w:sz w:val="24"/>
                <w:lang w:val="en-US" w:eastAsia="zh-CN"/>
              </w:rPr>
              <w:t>噪声</w:t>
            </w:r>
            <w:r>
              <w:rPr>
                <w:rFonts w:hint="eastAsia" w:ascii="Times New Roman" w:hAnsi="Times New Roman" w:cs="Times New Roman"/>
                <w:bCs/>
                <w:color w:val="auto"/>
                <w:kern w:val="0"/>
                <w:sz w:val="24"/>
                <w:lang w:val="en-US" w:eastAsia="zh-CN"/>
              </w:rPr>
              <w:t>外排，建议企业运营期开展污染物排放监测</w:t>
            </w:r>
            <w:r>
              <w:rPr>
                <w:rFonts w:hint="default" w:ascii="Times New Roman" w:hAnsi="Times New Roman" w:eastAsia="宋体" w:cs="Times New Roman"/>
                <w:snapToGrid w:val="0"/>
                <w:color w:val="auto"/>
                <w:sz w:val="24"/>
                <w:szCs w:val="24"/>
              </w:rPr>
              <w:t>。监测计划见表4-1</w:t>
            </w:r>
            <w:r>
              <w:rPr>
                <w:rFonts w:hint="eastAsia" w:cs="Times New Roman"/>
                <w:snapToGrid w:val="0"/>
                <w:color w:val="auto"/>
                <w:sz w:val="24"/>
                <w:szCs w:val="24"/>
                <w:lang w:val="en-US" w:eastAsia="zh-CN"/>
              </w:rPr>
              <w:t>0</w:t>
            </w:r>
            <w:r>
              <w:rPr>
                <w:rFonts w:hint="default" w:ascii="Times New Roman" w:hAnsi="Times New Roman" w:eastAsia="宋体" w:cs="Times New Roman"/>
                <w:snapToGrid w:val="0"/>
                <w:color w:val="auto"/>
                <w:sz w:val="24"/>
                <w:szCs w:val="24"/>
              </w:rPr>
              <w:t>。</w:t>
            </w:r>
          </w:p>
          <w:p w14:paraId="5210D6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表4-</w:t>
            </w:r>
            <w:r>
              <w:rPr>
                <w:rFonts w:hint="default" w:ascii="Times New Roman" w:hAnsi="Times New Roman" w:eastAsia="宋体" w:cs="Times New Roman"/>
                <w:b/>
                <w:bCs/>
                <w:color w:val="auto"/>
                <w:sz w:val="22"/>
                <w:szCs w:val="22"/>
                <w:lang w:val="en-US" w:eastAsia="zh-CN"/>
              </w:rPr>
              <w:t>1</w:t>
            </w:r>
            <w:r>
              <w:rPr>
                <w:rFonts w:hint="eastAsia" w:cs="Times New Roman"/>
                <w:b/>
                <w:bCs/>
                <w:color w:val="auto"/>
                <w:sz w:val="22"/>
                <w:szCs w:val="22"/>
                <w:lang w:val="en-US" w:eastAsia="zh-CN"/>
              </w:rPr>
              <w:t>0</w:t>
            </w:r>
            <w:r>
              <w:rPr>
                <w:rFonts w:hint="default" w:ascii="Times New Roman" w:hAnsi="Times New Roman" w:eastAsia="宋体" w:cs="Times New Roman"/>
                <w:b/>
                <w:bCs/>
                <w:color w:val="auto"/>
                <w:sz w:val="22"/>
                <w:szCs w:val="22"/>
                <w:lang w:val="zh-CN" w:eastAsia="zh-CN"/>
              </w:rPr>
              <w:t>项目声环境监测计划</w:t>
            </w:r>
          </w:p>
          <w:tbl>
            <w:tblPr>
              <w:tblStyle w:val="4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803"/>
              <w:gridCol w:w="2336"/>
              <w:gridCol w:w="3047"/>
            </w:tblGrid>
            <w:tr w14:paraId="0B6DC7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12" w:type="pct"/>
                  <w:tcBorders>
                    <w:tl2br w:val="nil"/>
                    <w:tr2bl w:val="nil"/>
                  </w:tcBorders>
                  <w:noWrap w:val="0"/>
                  <w:vAlign w:val="center"/>
                </w:tcPr>
                <w:p w14:paraId="7DB5F69F">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监测位点</w:t>
                  </w:r>
                </w:p>
              </w:tc>
              <w:tc>
                <w:tcPr>
                  <w:tcW w:w="1427" w:type="pct"/>
                  <w:tcBorders>
                    <w:tl2br w:val="nil"/>
                    <w:tr2bl w:val="nil"/>
                  </w:tcBorders>
                  <w:noWrap w:val="0"/>
                  <w:vAlign w:val="center"/>
                </w:tcPr>
                <w:p w14:paraId="5C2DEE3D">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1860" w:type="pct"/>
                  <w:tcBorders>
                    <w:tl2br w:val="nil"/>
                    <w:tr2bl w:val="nil"/>
                  </w:tcBorders>
                  <w:noWrap w:val="0"/>
                  <w:vAlign w:val="center"/>
                </w:tcPr>
                <w:p w14:paraId="511D9C00">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监测频率</w:t>
                  </w:r>
                </w:p>
              </w:tc>
            </w:tr>
            <w:tr w14:paraId="2EF95B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12" w:type="pct"/>
                  <w:tcBorders>
                    <w:tl2br w:val="nil"/>
                    <w:tr2bl w:val="nil"/>
                  </w:tcBorders>
                  <w:noWrap w:val="0"/>
                  <w:vAlign w:val="center"/>
                </w:tcPr>
                <w:p w14:paraId="5DDF2070">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厂界四周各设1个监测点</w:t>
                  </w:r>
                </w:p>
              </w:tc>
              <w:tc>
                <w:tcPr>
                  <w:tcW w:w="1427" w:type="pct"/>
                  <w:tcBorders>
                    <w:tl2br w:val="nil"/>
                    <w:tr2bl w:val="nil"/>
                  </w:tcBorders>
                  <w:noWrap w:val="0"/>
                  <w:vAlign w:val="center"/>
                </w:tcPr>
                <w:p w14:paraId="77D88A61">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昼间等效连续A声级</w:t>
                  </w:r>
                </w:p>
              </w:tc>
              <w:tc>
                <w:tcPr>
                  <w:tcW w:w="1860" w:type="pct"/>
                  <w:tcBorders>
                    <w:tl2br w:val="nil"/>
                    <w:tr2bl w:val="nil"/>
                  </w:tcBorders>
                  <w:noWrap w:val="0"/>
                  <w:vAlign w:val="center"/>
                </w:tcPr>
                <w:p w14:paraId="469C3FFF">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每季度一次</w:t>
                  </w:r>
                </w:p>
              </w:tc>
            </w:tr>
            <w:tr w14:paraId="078CA3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3"/>
                  <w:tcBorders>
                    <w:tl2br w:val="nil"/>
                    <w:tr2bl w:val="nil"/>
                  </w:tcBorders>
                  <w:noWrap w:val="0"/>
                  <w:vAlign w:val="center"/>
                </w:tcPr>
                <w:p w14:paraId="15602CFB">
                  <w:pPr>
                    <w:keepLines w:val="0"/>
                    <w:pageBreakBefore w:val="0"/>
                    <w:kinsoku/>
                    <w:topLinePunct w:val="0"/>
                    <w:autoSpaceDE w:val="0"/>
                    <w:autoSpaceDN w:val="0"/>
                    <w:bidi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监测方案依据《排污单位自行监测技术指南总则》（HJ 819-2017）中要求执行</w:t>
                  </w:r>
                </w:p>
              </w:tc>
            </w:tr>
          </w:tbl>
          <w:p w14:paraId="0A25908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（四）固体废物</w:t>
            </w:r>
          </w:p>
          <w:p w14:paraId="7E89CD7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1、固体废物产生情况</w:t>
            </w:r>
          </w:p>
          <w:p w14:paraId="6734EDE9">
            <w:pPr>
              <w:keepLines w:val="0"/>
              <w:pageBreakBefore w:val="0"/>
              <w:widowControl/>
              <w:kinsoku/>
              <w:topLinePunct w:val="0"/>
              <w:bidi w:val="0"/>
              <w:adjustRightInd w:val="0"/>
              <w:snapToGrid w:val="0"/>
              <w:spacing w:line="500" w:lineRule="exact"/>
              <w:ind w:firstLine="540" w:firstLineChars="225"/>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本项目固废产生</w:t>
            </w:r>
            <w:r>
              <w:rPr>
                <w:rFonts w:hint="default" w:ascii="Times New Roman" w:hAnsi="Times New Roman" w:eastAsia="宋体" w:cs="Times New Roman"/>
                <w:color w:val="auto"/>
                <w:kern w:val="0"/>
                <w:sz w:val="24"/>
                <w:szCs w:val="24"/>
                <w:lang w:val="en-US" w:eastAsia="zh-CN"/>
              </w:rPr>
              <w:t>及处置</w:t>
            </w:r>
            <w:r>
              <w:rPr>
                <w:rFonts w:hint="default" w:ascii="Times New Roman" w:hAnsi="Times New Roman" w:eastAsia="宋体" w:cs="Times New Roman"/>
                <w:color w:val="auto"/>
                <w:kern w:val="0"/>
                <w:sz w:val="24"/>
                <w:szCs w:val="24"/>
              </w:rPr>
              <w:t>情况见表4-1</w:t>
            </w:r>
            <w:r>
              <w:rPr>
                <w:rFonts w:hint="eastAsia"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w:t>
            </w:r>
          </w:p>
          <w:p w14:paraId="066055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表4-1</w:t>
            </w:r>
            <w:r>
              <w:rPr>
                <w:rFonts w:hint="eastAsia" w:cs="Times New Roman"/>
                <w:b/>
                <w:bCs/>
                <w:color w:val="auto"/>
                <w:sz w:val="22"/>
                <w:szCs w:val="22"/>
                <w:lang w:val="en-US" w:eastAsia="zh-CN"/>
              </w:rPr>
              <w:t>1</w:t>
            </w:r>
            <w:r>
              <w:rPr>
                <w:rFonts w:hint="default" w:ascii="Times New Roman" w:hAnsi="Times New Roman" w:eastAsia="宋体" w:cs="Times New Roman"/>
                <w:b/>
                <w:bCs/>
                <w:color w:val="auto"/>
                <w:sz w:val="22"/>
                <w:szCs w:val="22"/>
                <w:lang w:val="zh-CN" w:eastAsia="zh-CN"/>
              </w:rPr>
              <w:t>本项目固体废物产生</w:t>
            </w:r>
            <w:r>
              <w:rPr>
                <w:rFonts w:hint="default" w:ascii="Times New Roman" w:hAnsi="Times New Roman" w:eastAsia="宋体" w:cs="Times New Roman"/>
                <w:b/>
                <w:bCs/>
                <w:color w:val="auto"/>
                <w:sz w:val="22"/>
                <w:szCs w:val="22"/>
                <w:lang w:val="en-US" w:eastAsia="zh-CN"/>
              </w:rPr>
              <w:t>及处置</w:t>
            </w:r>
            <w:r>
              <w:rPr>
                <w:rFonts w:hint="default" w:ascii="Times New Roman" w:hAnsi="Times New Roman" w:eastAsia="宋体" w:cs="Times New Roman"/>
                <w:b/>
                <w:bCs/>
                <w:color w:val="auto"/>
                <w:sz w:val="22"/>
                <w:szCs w:val="22"/>
                <w:lang w:val="zh-CN" w:eastAsia="zh-CN"/>
              </w:rPr>
              <w:t>情况汇总表单位：t/a</w:t>
            </w:r>
          </w:p>
          <w:tbl>
            <w:tblPr>
              <w:tblStyle w:val="4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441"/>
              <w:gridCol w:w="1384"/>
              <w:gridCol w:w="1075"/>
              <w:gridCol w:w="719"/>
              <w:gridCol w:w="834"/>
              <w:gridCol w:w="1431"/>
              <w:gridCol w:w="1431"/>
              <w:gridCol w:w="874"/>
            </w:tblGrid>
            <w:tr w14:paraId="4C24CC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42" w:type="dxa"/>
                  <w:tcBorders>
                    <w:tl2br w:val="nil"/>
                    <w:tr2bl w:val="nil"/>
                  </w:tcBorders>
                  <w:noWrap w:val="0"/>
                  <w:vAlign w:val="center"/>
                </w:tcPr>
                <w:p w14:paraId="100137AF">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383" w:type="dxa"/>
                  <w:tcBorders>
                    <w:tl2br w:val="nil"/>
                    <w:tr2bl w:val="nil"/>
                  </w:tcBorders>
                  <w:noWrap w:val="0"/>
                  <w:vAlign w:val="center"/>
                </w:tcPr>
                <w:p w14:paraId="331FE08F">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固废名称</w:t>
                  </w:r>
                </w:p>
              </w:tc>
              <w:tc>
                <w:tcPr>
                  <w:tcW w:w="1074" w:type="dxa"/>
                  <w:tcBorders>
                    <w:tl2br w:val="nil"/>
                    <w:tr2bl w:val="nil"/>
                  </w:tcBorders>
                  <w:noWrap w:val="0"/>
                  <w:vAlign w:val="center"/>
                </w:tcPr>
                <w:p w14:paraId="3F64B40C">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产生环节</w:t>
                  </w:r>
                </w:p>
              </w:tc>
              <w:tc>
                <w:tcPr>
                  <w:tcW w:w="718" w:type="dxa"/>
                  <w:tcBorders>
                    <w:tl2br w:val="nil"/>
                    <w:tr2bl w:val="nil"/>
                  </w:tcBorders>
                  <w:noWrap w:val="0"/>
                  <w:vAlign w:val="center"/>
                </w:tcPr>
                <w:p w14:paraId="77605948">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物理性状</w:t>
                  </w:r>
                </w:p>
              </w:tc>
              <w:tc>
                <w:tcPr>
                  <w:tcW w:w="833" w:type="dxa"/>
                  <w:tcBorders>
                    <w:tl2br w:val="nil"/>
                    <w:tr2bl w:val="nil"/>
                  </w:tcBorders>
                  <w:noWrap w:val="0"/>
                  <w:vAlign w:val="center"/>
                </w:tcPr>
                <w:p w14:paraId="46AF09DD">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属性</w:t>
                  </w:r>
                </w:p>
              </w:tc>
              <w:tc>
                <w:tcPr>
                  <w:tcW w:w="1430" w:type="dxa"/>
                  <w:tcBorders>
                    <w:tl2br w:val="nil"/>
                    <w:tr2bl w:val="nil"/>
                  </w:tcBorders>
                  <w:noWrap w:val="0"/>
                  <w:vAlign w:val="center"/>
                </w:tcPr>
                <w:p w14:paraId="2E21525D">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类型</w:t>
                  </w:r>
                </w:p>
              </w:tc>
              <w:tc>
                <w:tcPr>
                  <w:tcW w:w="1430" w:type="dxa"/>
                  <w:tcBorders>
                    <w:tl2br w:val="nil"/>
                    <w:tr2bl w:val="nil"/>
                  </w:tcBorders>
                  <w:noWrap w:val="0"/>
                  <w:vAlign w:val="center"/>
                </w:tcPr>
                <w:p w14:paraId="6DF6AAB8">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去向</w:t>
                  </w:r>
                </w:p>
              </w:tc>
              <w:tc>
                <w:tcPr>
                  <w:tcW w:w="873" w:type="dxa"/>
                  <w:tcBorders>
                    <w:tl2br w:val="nil"/>
                    <w:tr2bl w:val="nil"/>
                  </w:tcBorders>
                  <w:noWrap w:val="0"/>
                  <w:vAlign w:val="center"/>
                </w:tcPr>
                <w:p w14:paraId="045982A1">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年度产生量</w:t>
                  </w:r>
                  <w:r>
                    <w:rPr>
                      <w:rFonts w:hint="default" w:ascii="Times New Roman" w:hAnsi="Times New Roman" w:eastAsia="宋体" w:cs="Times New Roman"/>
                      <w:color w:val="auto"/>
                      <w:sz w:val="21"/>
                      <w:szCs w:val="21"/>
                      <w:lang w:val="en-US" w:eastAsia="zh-CN"/>
                    </w:rPr>
                    <w:t>t</w:t>
                  </w:r>
                </w:p>
              </w:tc>
            </w:tr>
            <w:tr w14:paraId="5D24AB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42" w:type="dxa"/>
                  <w:tcBorders>
                    <w:tl2br w:val="nil"/>
                    <w:tr2bl w:val="nil"/>
                  </w:tcBorders>
                  <w:noWrap w:val="0"/>
                  <w:vAlign w:val="center"/>
                </w:tcPr>
                <w:p w14:paraId="1125172E">
                  <w:pPr>
                    <w:keepLines w:val="0"/>
                    <w:pageBreakBefore w:val="0"/>
                    <w:kinsoku/>
                    <w:topLinePunct w:val="0"/>
                    <w:bidi w:val="0"/>
                    <w:adjustRightInd w:val="0"/>
                    <w:snapToGrid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83" w:type="dxa"/>
                  <w:tcBorders>
                    <w:tl2br w:val="nil"/>
                    <w:tr2bl w:val="nil"/>
                  </w:tcBorders>
                  <w:shd w:val="clear" w:color="auto" w:fill="auto"/>
                  <w:noWrap w:val="0"/>
                  <w:vAlign w:val="center"/>
                </w:tcPr>
                <w:p w14:paraId="50C11414">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废气处理收集粉尘</w:t>
                  </w:r>
                </w:p>
              </w:tc>
              <w:tc>
                <w:tcPr>
                  <w:tcW w:w="1074" w:type="dxa"/>
                  <w:tcBorders>
                    <w:tl2br w:val="nil"/>
                    <w:tr2bl w:val="nil"/>
                  </w:tcBorders>
                  <w:shd w:val="clear" w:color="auto" w:fill="auto"/>
                  <w:noWrap w:val="0"/>
                  <w:vAlign w:val="center"/>
                </w:tcPr>
                <w:p w14:paraId="38FD228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废气处理</w:t>
                  </w:r>
                </w:p>
              </w:tc>
              <w:tc>
                <w:tcPr>
                  <w:tcW w:w="718" w:type="dxa"/>
                  <w:tcBorders>
                    <w:tl2br w:val="nil"/>
                    <w:tr2bl w:val="nil"/>
                  </w:tcBorders>
                  <w:shd w:val="clear" w:color="auto" w:fill="auto"/>
                  <w:noWrap w:val="0"/>
                  <w:vAlign w:val="center"/>
                </w:tcPr>
                <w:p w14:paraId="293E910E">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固体</w:t>
                  </w:r>
                </w:p>
              </w:tc>
              <w:tc>
                <w:tcPr>
                  <w:tcW w:w="833" w:type="dxa"/>
                  <w:tcBorders>
                    <w:tl2br w:val="nil"/>
                    <w:tr2bl w:val="nil"/>
                  </w:tcBorders>
                  <w:shd w:val="clear" w:color="auto" w:fill="auto"/>
                  <w:noWrap w:val="0"/>
                  <w:vAlign w:val="center"/>
                </w:tcPr>
                <w:p w14:paraId="06091734">
                  <w:pPr>
                    <w:keepLines w:val="0"/>
                    <w:pageBreakBefore w:val="0"/>
                    <w:kinsoku/>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一般固废</w:t>
                  </w:r>
                </w:p>
              </w:tc>
              <w:tc>
                <w:tcPr>
                  <w:tcW w:w="1430" w:type="dxa"/>
                  <w:tcBorders>
                    <w:tl2br w:val="nil"/>
                    <w:tr2bl w:val="nil"/>
                  </w:tcBorders>
                  <w:shd w:val="clear" w:color="auto" w:fill="auto"/>
                  <w:noWrap w:val="0"/>
                  <w:vAlign w:val="center"/>
                </w:tcPr>
                <w:p w14:paraId="10BE009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SW17</w:t>
                  </w:r>
                </w:p>
                <w:p w14:paraId="2A6AF1D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900-099 S17</w:t>
                  </w:r>
                </w:p>
              </w:tc>
              <w:tc>
                <w:tcPr>
                  <w:tcW w:w="1430" w:type="dxa"/>
                  <w:tcBorders>
                    <w:tl2br w:val="nil"/>
                    <w:tr2bl w:val="nil"/>
                  </w:tcBorders>
                  <w:shd w:val="clear" w:color="auto" w:fill="auto"/>
                  <w:noWrap w:val="0"/>
                  <w:vAlign w:val="center"/>
                </w:tcPr>
                <w:p w14:paraId="67F2583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暂存在一般固废暂存场所，</w:t>
                  </w:r>
                  <w:r>
                    <w:rPr>
                      <w:rFonts w:hint="default" w:ascii="Times New Roman" w:hAnsi="Times New Roman" w:eastAsia="宋体" w:cs="Times New Roman"/>
                      <w:color w:val="auto"/>
                      <w:kern w:val="2"/>
                      <w:sz w:val="21"/>
                      <w:szCs w:val="21"/>
                      <w:lang w:val="en-US" w:eastAsia="zh-CN" w:bidi="ar-SA"/>
                    </w:rPr>
                    <w:t>返回</w:t>
                  </w:r>
                  <w:r>
                    <w:rPr>
                      <w:rFonts w:hint="eastAsia" w:cs="Times New Roman"/>
                      <w:color w:val="auto"/>
                      <w:kern w:val="2"/>
                      <w:sz w:val="21"/>
                      <w:szCs w:val="21"/>
                      <w:lang w:val="en-US" w:eastAsia="zh-CN" w:bidi="ar-SA"/>
                    </w:rPr>
                    <w:t>生产</w:t>
                  </w:r>
                  <w:r>
                    <w:rPr>
                      <w:rFonts w:hint="default" w:ascii="Times New Roman" w:hAnsi="Times New Roman" w:eastAsia="宋体" w:cs="Times New Roman"/>
                      <w:color w:val="auto"/>
                      <w:kern w:val="2"/>
                      <w:sz w:val="21"/>
                      <w:szCs w:val="21"/>
                      <w:lang w:val="en-US" w:eastAsia="zh-CN" w:bidi="ar-SA"/>
                    </w:rPr>
                    <w:t>工序回用</w:t>
                  </w:r>
                </w:p>
              </w:tc>
              <w:tc>
                <w:tcPr>
                  <w:tcW w:w="873" w:type="dxa"/>
                  <w:tcBorders>
                    <w:tl2br w:val="nil"/>
                    <w:tr2bl w:val="nil"/>
                  </w:tcBorders>
                  <w:shd w:val="clear" w:color="auto" w:fill="auto"/>
                  <w:noWrap w:val="0"/>
                  <w:vAlign w:val="center"/>
                </w:tcPr>
                <w:p w14:paraId="5B91CC4A">
                  <w:pPr>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5.88</w:t>
                  </w:r>
                </w:p>
              </w:tc>
            </w:tr>
            <w:tr w14:paraId="27016D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42" w:type="dxa"/>
                  <w:tcBorders>
                    <w:tl2br w:val="nil"/>
                    <w:tr2bl w:val="nil"/>
                  </w:tcBorders>
                  <w:noWrap w:val="0"/>
                  <w:vAlign w:val="center"/>
                </w:tcPr>
                <w:p w14:paraId="7382317E">
                  <w:pPr>
                    <w:keepLines w:val="0"/>
                    <w:pageBreakBefore w:val="0"/>
                    <w:kinsoku/>
                    <w:topLinePunct w:val="0"/>
                    <w:bidi w:val="0"/>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383" w:type="dxa"/>
                  <w:tcBorders>
                    <w:tl2br w:val="nil"/>
                    <w:tr2bl w:val="nil"/>
                  </w:tcBorders>
                  <w:shd w:val="clear" w:color="auto" w:fill="auto"/>
                  <w:noWrap w:val="0"/>
                  <w:vAlign w:val="center"/>
                </w:tcPr>
                <w:p w14:paraId="1F144E47">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废机油</w:t>
                  </w:r>
                </w:p>
              </w:tc>
              <w:tc>
                <w:tcPr>
                  <w:tcW w:w="1074" w:type="dxa"/>
                  <w:tcBorders>
                    <w:tl2br w:val="nil"/>
                    <w:tr2bl w:val="nil"/>
                  </w:tcBorders>
                  <w:shd w:val="clear" w:color="auto" w:fill="auto"/>
                  <w:noWrap w:val="0"/>
                  <w:vAlign w:val="center"/>
                </w:tcPr>
                <w:p w14:paraId="7EC78BF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设备维护</w:t>
                  </w:r>
                </w:p>
              </w:tc>
              <w:tc>
                <w:tcPr>
                  <w:tcW w:w="718" w:type="dxa"/>
                  <w:tcBorders>
                    <w:tl2br w:val="nil"/>
                    <w:tr2bl w:val="nil"/>
                  </w:tcBorders>
                  <w:shd w:val="clear" w:color="auto" w:fill="auto"/>
                  <w:noWrap w:val="0"/>
                  <w:vAlign w:val="center"/>
                </w:tcPr>
                <w:p w14:paraId="2E8AD2D6">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液体</w:t>
                  </w:r>
                </w:p>
              </w:tc>
              <w:tc>
                <w:tcPr>
                  <w:tcW w:w="833" w:type="dxa"/>
                  <w:tcBorders>
                    <w:tl2br w:val="nil"/>
                    <w:tr2bl w:val="nil"/>
                  </w:tcBorders>
                  <w:shd w:val="clear" w:color="auto" w:fill="auto"/>
                  <w:noWrap w:val="0"/>
                  <w:vAlign w:val="center"/>
                </w:tcPr>
                <w:p w14:paraId="049DBB1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w:t>
                  </w:r>
                </w:p>
              </w:tc>
              <w:tc>
                <w:tcPr>
                  <w:tcW w:w="1430" w:type="dxa"/>
                  <w:tcBorders>
                    <w:tl2br w:val="nil"/>
                    <w:tr2bl w:val="nil"/>
                  </w:tcBorders>
                  <w:shd w:val="clear" w:color="auto" w:fill="auto"/>
                  <w:noWrap w:val="0"/>
                  <w:vAlign w:val="center"/>
                </w:tcPr>
                <w:p w14:paraId="587FE6A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w:t>
                  </w:r>
                </w:p>
                <w:p w14:paraId="534EB4D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900-214-08</w:t>
                  </w:r>
                </w:p>
              </w:tc>
              <w:tc>
                <w:tcPr>
                  <w:tcW w:w="1430" w:type="dxa"/>
                  <w:vMerge w:val="restart"/>
                  <w:tcBorders>
                    <w:tl2br w:val="nil"/>
                    <w:tr2bl w:val="nil"/>
                  </w:tcBorders>
                  <w:shd w:val="clear" w:color="auto" w:fill="auto"/>
                  <w:noWrap w:val="0"/>
                  <w:vAlign w:val="center"/>
                </w:tcPr>
                <w:p w14:paraId="62953E4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统一收集存放于危废间</w:t>
                  </w:r>
                  <w:r>
                    <w:rPr>
                      <w:rFonts w:hint="eastAsia" w:eastAsia="宋体" w:cs="Times New Roman"/>
                      <w:color w:val="auto"/>
                      <w:kern w:val="2"/>
                      <w:sz w:val="21"/>
                      <w:szCs w:val="21"/>
                      <w:lang w:val="en-US" w:eastAsia="zh-CN" w:bidi="ar-SA"/>
                    </w:rPr>
                    <w:t>，定期交由有资质单位处理</w:t>
                  </w:r>
                </w:p>
              </w:tc>
              <w:tc>
                <w:tcPr>
                  <w:tcW w:w="873" w:type="dxa"/>
                  <w:vMerge w:val="restart"/>
                  <w:tcBorders>
                    <w:tl2br w:val="nil"/>
                    <w:tr2bl w:val="nil"/>
                  </w:tcBorders>
                  <w:shd w:val="clear" w:color="auto" w:fill="auto"/>
                  <w:noWrap w:val="0"/>
                  <w:vAlign w:val="center"/>
                </w:tcPr>
                <w:p w14:paraId="1D09147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0D05C3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42" w:type="dxa"/>
                  <w:tcBorders>
                    <w:tl2br w:val="nil"/>
                    <w:tr2bl w:val="nil"/>
                  </w:tcBorders>
                  <w:noWrap w:val="0"/>
                  <w:vAlign w:val="center"/>
                </w:tcPr>
                <w:p w14:paraId="17BEA011">
                  <w:pPr>
                    <w:keepLines w:val="0"/>
                    <w:pageBreakBefore w:val="0"/>
                    <w:kinsoku/>
                    <w:topLinePunct w:val="0"/>
                    <w:bidi w:val="0"/>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383" w:type="dxa"/>
                  <w:tcBorders>
                    <w:tl2br w:val="nil"/>
                    <w:tr2bl w:val="nil"/>
                  </w:tcBorders>
                  <w:shd w:val="clear" w:color="auto" w:fill="auto"/>
                  <w:noWrap w:val="0"/>
                  <w:vAlign w:val="center"/>
                </w:tcPr>
                <w:p w14:paraId="11591A0A">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废机油桶</w:t>
                  </w:r>
                </w:p>
              </w:tc>
              <w:tc>
                <w:tcPr>
                  <w:tcW w:w="1074" w:type="dxa"/>
                  <w:tcBorders>
                    <w:tl2br w:val="nil"/>
                    <w:tr2bl w:val="nil"/>
                  </w:tcBorders>
                  <w:shd w:val="clear" w:color="auto" w:fill="auto"/>
                  <w:noWrap w:val="0"/>
                  <w:vAlign w:val="center"/>
                </w:tcPr>
                <w:p w14:paraId="77E087D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设备维护</w:t>
                  </w:r>
                </w:p>
              </w:tc>
              <w:tc>
                <w:tcPr>
                  <w:tcW w:w="718" w:type="dxa"/>
                  <w:tcBorders>
                    <w:tl2br w:val="nil"/>
                    <w:tr2bl w:val="nil"/>
                  </w:tcBorders>
                  <w:shd w:val="clear" w:color="auto" w:fill="auto"/>
                  <w:noWrap w:val="0"/>
                  <w:vAlign w:val="center"/>
                </w:tcPr>
                <w:p w14:paraId="0EB505FD">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固体</w:t>
                  </w:r>
                </w:p>
              </w:tc>
              <w:tc>
                <w:tcPr>
                  <w:tcW w:w="833" w:type="dxa"/>
                  <w:tcBorders>
                    <w:tl2br w:val="nil"/>
                    <w:tr2bl w:val="nil"/>
                  </w:tcBorders>
                  <w:shd w:val="clear" w:color="auto" w:fill="auto"/>
                  <w:noWrap w:val="0"/>
                  <w:vAlign w:val="center"/>
                </w:tcPr>
                <w:p w14:paraId="629012A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w:t>
                  </w:r>
                </w:p>
              </w:tc>
              <w:tc>
                <w:tcPr>
                  <w:tcW w:w="1430" w:type="dxa"/>
                  <w:tcBorders>
                    <w:tl2br w:val="nil"/>
                    <w:tr2bl w:val="nil"/>
                  </w:tcBorders>
                  <w:shd w:val="clear" w:color="auto" w:fill="auto"/>
                  <w:noWrap w:val="0"/>
                  <w:vAlign w:val="center"/>
                </w:tcPr>
                <w:p w14:paraId="7466772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w:t>
                  </w:r>
                </w:p>
                <w:p w14:paraId="34ED593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1430" w:type="dxa"/>
                  <w:vMerge w:val="continue"/>
                  <w:tcBorders>
                    <w:tl2br w:val="nil"/>
                    <w:tr2bl w:val="nil"/>
                  </w:tcBorders>
                  <w:shd w:val="clear" w:color="auto" w:fill="auto"/>
                  <w:noWrap w:val="0"/>
                  <w:vAlign w:val="center"/>
                </w:tcPr>
                <w:p w14:paraId="0549FC5F">
                  <w:pPr>
                    <w:jc w:val="center"/>
                    <w:rPr>
                      <w:rFonts w:hint="default" w:ascii="Times New Roman" w:hAnsi="Times New Roman" w:eastAsia="宋体" w:cs="Times New Roman"/>
                      <w:color w:val="auto"/>
                      <w:kern w:val="2"/>
                      <w:sz w:val="21"/>
                      <w:szCs w:val="21"/>
                      <w:lang w:val="en-US" w:eastAsia="zh-CN" w:bidi="ar-SA"/>
                    </w:rPr>
                  </w:pPr>
                </w:p>
              </w:tc>
              <w:tc>
                <w:tcPr>
                  <w:tcW w:w="873" w:type="dxa"/>
                  <w:vMerge w:val="continue"/>
                  <w:tcBorders>
                    <w:tl2br w:val="nil"/>
                    <w:tr2bl w:val="nil"/>
                  </w:tcBorders>
                  <w:shd w:val="clear" w:color="auto" w:fill="auto"/>
                  <w:noWrap w:val="0"/>
                  <w:vAlign w:val="center"/>
                </w:tcPr>
                <w:p w14:paraId="32A1D765">
                  <w:pPr>
                    <w:jc w:val="center"/>
                    <w:rPr>
                      <w:rFonts w:hint="default" w:ascii="Times New Roman" w:hAnsi="Times New Roman" w:eastAsia="宋体" w:cs="Times New Roman"/>
                      <w:color w:val="auto"/>
                      <w:kern w:val="2"/>
                      <w:sz w:val="21"/>
                      <w:szCs w:val="21"/>
                      <w:lang w:val="en-US" w:eastAsia="zh-CN" w:bidi="ar-SA"/>
                    </w:rPr>
                  </w:pPr>
                </w:p>
              </w:tc>
            </w:tr>
          </w:tbl>
          <w:p w14:paraId="16E453E4">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废气处理收集粉尘：布袋除尘器收集的粉尘，经上文计算为</w:t>
            </w:r>
            <w:r>
              <w:rPr>
                <w:rFonts w:hint="eastAsia" w:cs="Times New Roman"/>
                <w:color w:val="auto"/>
                <w:kern w:val="2"/>
                <w:sz w:val="24"/>
                <w:szCs w:val="24"/>
                <w:lang w:val="en-US" w:eastAsia="zh-CN" w:bidi="ar-SA"/>
              </w:rPr>
              <w:t>5.88</w:t>
            </w:r>
            <w:r>
              <w:rPr>
                <w:rFonts w:hint="default" w:ascii="Times New Roman" w:hAnsi="Times New Roman" w:eastAsia="宋体" w:cs="Times New Roman"/>
                <w:color w:val="auto"/>
                <w:kern w:val="2"/>
                <w:sz w:val="24"/>
                <w:szCs w:val="24"/>
                <w:lang w:val="en-US" w:eastAsia="zh-CN" w:bidi="ar-SA"/>
              </w:rPr>
              <w:t>t/a。</w:t>
            </w:r>
          </w:p>
          <w:p w14:paraId="43D28136">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机油、废机油桶：技改完成后，厂区设备维护过程中产生废机油1t/a。根据《国家危险废物名录》（2025版）废机油属于HW08废矿物油与含矿物油废物：900-214-08，废机油桶属于HW08废矿物油与含矿物油废物：900-249-08。</w:t>
            </w:r>
            <w:r>
              <w:rPr>
                <w:rFonts w:hint="eastAsia" w:ascii="Times New Roman" w:hAnsi="Times New Roman" w:eastAsia="宋体" w:cs="Times New Roman"/>
                <w:color w:val="auto"/>
                <w:kern w:val="2"/>
                <w:sz w:val="24"/>
                <w:szCs w:val="24"/>
                <w:lang w:val="en-US" w:eastAsia="zh-CN" w:bidi="ar-SA"/>
              </w:rPr>
              <w:t>统一收集后存放于危废暂存间，定期由有资质单位处理</w:t>
            </w:r>
            <w:r>
              <w:rPr>
                <w:rFonts w:hint="default" w:ascii="Times New Roman" w:hAnsi="Times New Roman" w:eastAsia="宋体" w:cs="Times New Roman"/>
                <w:color w:val="auto"/>
                <w:kern w:val="2"/>
                <w:sz w:val="24"/>
                <w:szCs w:val="24"/>
                <w:lang w:val="en-US" w:eastAsia="zh-CN" w:bidi="ar-SA"/>
              </w:rPr>
              <w:t>。</w:t>
            </w:r>
          </w:p>
          <w:p w14:paraId="5DEC76A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2、固体废物环境管理要求</w:t>
            </w:r>
          </w:p>
          <w:p w14:paraId="14E99027">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（1）本项目一般固废暂存场</w:t>
            </w:r>
            <w:r>
              <w:rPr>
                <w:rFonts w:hint="eastAsia" w:cs="Times New Roman"/>
                <w:color w:val="auto"/>
                <w:kern w:val="2"/>
                <w:sz w:val="24"/>
                <w:szCs w:val="24"/>
                <w:lang w:val="en-US" w:eastAsia="zh-CN" w:bidi="ar-SA"/>
              </w:rPr>
              <w:t>所</w:t>
            </w:r>
            <w:r>
              <w:rPr>
                <w:rFonts w:hint="default" w:ascii="Times New Roman" w:hAnsi="Times New Roman" w:eastAsia="宋体" w:cs="Times New Roman"/>
                <w:color w:val="auto"/>
                <w:kern w:val="2"/>
                <w:sz w:val="24"/>
                <w:szCs w:val="24"/>
                <w:lang w:val="en-US" w:eastAsia="zh-CN" w:bidi="ar-SA"/>
              </w:rPr>
              <w:t>约20m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项目一般工业固废应按照相关要求分类收集贮存，暂存场所应满《一般工业固体废物贮存和填埋污染控制标准》（GB18599-2020）和《排污许可证申请与核发技术规范-工业固体废物》（HJ1200-2021）中一般工业固体废物污染防控技术要求。具体要求如下：</w:t>
            </w:r>
          </w:p>
          <w:p w14:paraId="2063BD70">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a.设分区暂存，确保各类一般固废得到合理处置；</w:t>
            </w:r>
          </w:p>
          <w:p w14:paraId="77A77FC4">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b.防扬散、防流失、防渗漏，分区暂存各固废；</w:t>
            </w:r>
          </w:p>
          <w:p w14:paraId="460DE6F8">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c.一般固废在运输过程中要防止散落地面，以免产生二次污染；</w:t>
            </w:r>
          </w:p>
          <w:p w14:paraId="5E55A1CE">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d.一般固废均按其资源化、无害化的方式进行处置；</w:t>
            </w:r>
          </w:p>
          <w:p w14:paraId="06ADCAED">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e.场所地面与裙角要用坚固、防渗的建筑材料建造，基础必须防渗，应设计建造径流疏导系统，保证能防止暴雨不会流到临时堆放的场所；</w:t>
            </w:r>
          </w:p>
          <w:p w14:paraId="15C3A915">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f.“防风、防雨、防晒”，外围设置围堰，并做好密闭处理，禁止危险废物及生活垃圾混入。</w:t>
            </w:r>
          </w:p>
          <w:p w14:paraId="7EA94050">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本项目产生的</w:t>
            </w:r>
            <w:r>
              <w:rPr>
                <w:rFonts w:hint="eastAsia" w:ascii="Times New Roman" w:hAnsi="Times New Roman" w:eastAsia="宋体" w:cs="Times New Roman"/>
                <w:color w:val="auto"/>
                <w:kern w:val="2"/>
                <w:sz w:val="24"/>
                <w:szCs w:val="24"/>
                <w:lang w:val="en-US" w:eastAsia="zh-CN" w:bidi="ar-SA"/>
              </w:rPr>
              <w:t>一般固废</w:t>
            </w:r>
            <w:r>
              <w:rPr>
                <w:rFonts w:hint="default" w:ascii="Times New Roman" w:hAnsi="Times New Roman" w:eastAsia="宋体" w:cs="Times New Roman"/>
                <w:color w:val="auto"/>
                <w:kern w:val="2"/>
                <w:sz w:val="24"/>
                <w:szCs w:val="24"/>
                <w:lang w:val="en-US" w:eastAsia="zh-CN" w:bidi="ar-SA"/>
              </w:rPr>
              <w:t>会存放于一般固废暂存场</w:t>
            </w:r>
            <w:r>
              <w:rPr>
                <w:rFonts w:hint="eastAsia" w:cs="Times New Roman"/>
                <w:color w:val="auto"/>
                <w:kern w:val="2"/>
                <w:sz w:val="24"/>
                <w:szCs w:val="24"/>
                <w:lang w:val="en-US" w:eastAsia="zh-CN" w:bidi="ar-SA"/>
              </w:rPr>
              <w:t>所</w:t>
            </w:r>
            <w:r>
              <w:rPr>
                <w:rFonts w:hint="default" w:ascii="Times New Roman" w:hAnsi="Times New Roman" w:eastAsia="宋体" w:cs="Times New Roman"/>
                <w:color w:val="auto"/>
                <w:kern w:val="2"/>
                <w:sz w:val="24"/>
                <w:szCs w:val="24"/>
                <w:lang w:val="en-US" w:eastAsia="zh-CN" w:bidi="ar-SA"/>
              </w:rPr>
              <w:t>，现有一般固废暂存场</w:t>
            </w:r>
            <w:r>
              <w:rPr>
                <w:rFonts w:hint="eastAsia" w:cs="Times New Roman"/>
                <w:color w:val="auto"/>
                <w:kern w:val="2"/>
                <w:sz w:val="24"/>
                <w:szCs w:val="24"/>
                <w:lang w:val="en-US" w:eastAsia="zh-CN" w:bidi="ar-SA"/>
              </w:rPr>
              <w:t>所</w:t>
            </w:r>
            <w:r>
              <w:rPr>
                <w:rFonts w:hint="default" w:ascii="Times New Roman" w:hAnsi="Times New Roman" w:eastAsia="宋体" w:cs="Times New Roman"/>
                <w:color w:val="auto"/>
                <w:kern w:val="2"/>
                <w:sz w:val="24"/>
                <w:szCs w:val="24"/>
                <w:lang w:val="en-US" w:eastAsia="zh-CN" w:bidi="ar-SA"/>
              </w:rPr>
              <w:t>可以满足本项目需求。</w:t>
            </w:r>
          </w:p>
          <w:p w14:paraId="48987BDD">
            <w:pPr>
              <w:pageBreakBefore w:val="0"/>
              <w:kinsoku/>
              <w:topLinePunct w:val="0"/>
              <w:bidi w:val="0"/>
              <w:adjustRightInd w:val="0"/>
              <w:snapToGrid w:val="0"/>
              <w:spacing w:line="360" w:lineRule="auto"/>
              <w:ind w:firstLine="480" w:firstLineChars="200"/>
              <w:rPr>
                <w:rFonts w:hint="default" w:ascii="Times New Roman" w:hAnsi="Times New Roman" w:cs="Times New Roman" w:eastAsiaTheme="minorEastAsia"/>
                <w:b/>
                <w:bCs/>
                <w:color w:val="auto"/>
                <w:sz w:val="24"/>
              </w:rPr>
            </w:pP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cs="Times New Roman" w:eastAsiaTheme="minorEastAsia"/>
                <w:b w:val="0"/>
                <w:bCs w:val="0"/>
                <w:color w:val="auto"/>
                <w:sz w:val="24"/>
              </w:rPr>
              <w:t>危险废物污染防治措施</w:t>
            </w:r>
          </w:p>
          <w:p w14:paraId="7E720AF2">
            <w:pPr>
              <w:pageBreakBefore w:val="0"/>
              <w:kinsoku/>
              <w:topLinePunct w:val="0"/>
              <w:bidi w:val="0"/>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val="en-US" w:eastAsia="zh-CN"/>
              </w:rPr>
              <w:t>本项目危险废物暂存间建设面积约为10m</w:t>
            </w:r>
            <w:r>
              <w:rPr>
                <w:rFonts w:hint="default" w:ascii="Times New Roman" w:hAnsi="Times New Roman" w:cs="Times New Roman" w:eastAsiaTheme="minorEastAsia"/>
                <w:color w:val="auto"/>
                <w:sz w:val="24"/>
                <w:vertAlign w:val="superscript"/>
                <w:lang w:val="en-US" w:eastAsia="zh-CN"/>
              </w:rPr>
              <w:t>2</w:t>
            </w:r>
            <w:r>
              <w:rPr>
                <w:rFonts w:hint="default" w:ascii="Times New Roman" w:hAnsi="Times New Roman" w:cs="Times New Roman" w:eastAsiaTheme="minorEastAsia"/>
                <w:color w:val="auto"/>
                <w:sz w:val="24"/>
                <w:lang w:val="en-US" w:eastAsia="zh-CN"/>
              </w:rPr>
              <w:t>，位于车间</w:t>
            </w:r>
            <w:r>
              <w:rPr>
                <w:rFonts w:hint="eastAsia" w:cs="Times New Roman" w:eastAsiaTheme="minorEastAsia"/>
                <w:color w:val="auto"/>
                <w:sz w:val="24"/>
                <w:lang w:val="en-US" w:eastAsia="zh-CN"/>
              </w:rPr>
              <w:t>东</w:t>
            </w:r>
            <w:r>
              <w:rPr>
                <w:rFonts w:hint="default" w:ascii="Times New Roman" w:hAnsi="Times New Roman" w:cs="Times New Roman" w:eastAsiaTheme="minorEastAsia"/>
                <w:color w:val="auto"/>
                <w:sz w:val="24"/>
                <w:lang w:val="en-US" w:eastAsia="zh-CN"/>
              </w:rPr>
              <w:t>北侧。</w:t>
            </w:r>
            <w:r>
              <w:rPr>
                <w:rFonts w:hint="default" w:ascii="Times New Roman" w:hAnsi="Times New Roman" w:cs="Times New Roman" w:eastAsiaTheme="minorEastAsia"/>
                <w:color w:val="auto"/>
                <w:sz w:val="24"/>
              </w:rPr>
              <w:t>危险废物在厂区内收集、贮存设施应采取防渗、防漏、防雨淋等措施，满足《危险废物贮存污染控制标准》（GB18597</w:t>
            </w:r>
            <w:r>
              <w:rPr>
                <w:rFonts w:hint="default"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rPr>
              <w:t>2023）的规定要求。定期交由有危险废物集中处理资质的单位进行无害化处理。</w:t>
            </w:r>
          </w:p>
          <w:p w14:paraId="3086937C">
            <w:pPr>
              <w:pageBreakBefore w:val="0"/>
              <w:kinsoku/>
              <w:topLinePunct w:val="0"/>
              <w:bidi w:val="0"/>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厂区内危废暂存场地的设置应按《危险废物贮存污染控制标准》（GB18597-2023）要求设置，要求做到以下几点：</w:t>
            </w:r>
          </w:p>
          <w:p w14:paraId="4FE75456">
            <w:pPr>
              <w:pageBreakBefore w:val="0"/>
              <w:kinsoku/>
              <w:topLinePunct w:val="0"/>
              <w:bidi w:val="0"/>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1</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废物贮存设施按《环境保护图形标志》</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GB15562</w:t>
            </w:r>
            <w:r>
              <w:rPr>
                <w:rFonts w:hint="default"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rPr>
              <w:t>1995</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的规定设置警示标志；</w:t>
            </w:r>
          </w:p>
          <w:p w14:paraId="0B958E2D">
            <w:pPr>
              <w:pageBreakBefore w:val="0"/>
              <w:kinsoku/>
              <w:topLinePunct w:val="0"/>
              <w:bidi w:val="0"/>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2</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地面与裙脚要用坚固、防渗的材料建造，建筑材料必须与危险废物相容；必须有气体导出口及气体净化装置；设施内要有安全照明设施和观察窗口；用以存放装载液体、半固体危险废物容器的地方，必须有耐腐蚀的硬化地面，且表面无裂隙；应设计堵截泄漏的裙脚，地面与裙脚所围建的容积不低于堵截最大容器的最大储量或总储量的l/5；不相容的危险废物必须分开存放，并设有隔离间隔断。</w:t>
            </w:r>
          </w:p>
          <w:p w14:paraId="0AEDDFE6">
            <w:pPr>
              <w:pageBreakBefore w:val="0"/>
              <w:kinsoku/>
              <w:topLinePunct w:val="0"/>
              <w:bidi w:val="0"/>
              <w:adjustRightInd w:val="0"/>
              <w:snapToGrid w:val="0"/>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3</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废物贮存设施应配备通讯设备、照明设施、安全防护服装及工具，并设有应急防护设施；</w:t>
            </w:r>
          </w:p>
          <w:p w14:paraId="067A0AD1">
            <w:pPr>
              <w:pageBreakBefore w:val="0"/>
              <w:kinsoku/>
              <w:topLinePunct w:val="0"/>
              <w:bidi w:val="0"/>
              <w:adjustRightInd w:val="0"/>
              <w:snapToGrid w:val="0"/>
              <w:spacing w:line="360" w:lineRule="auto"/>
              <w:ind w:firstLine="480" w:firstLineChars="200"/>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4</w:t>
            </w:r>
            <w:r>
              <w:rPr>
                <w:rFonts w:hint="default" w:ascii="Times New Roman" w:hAnsi="Times New Roman" w:cs="Times New Roman" w:eastAsiaTheme="minorEastAsia"/>
                <w:color w:val="auto"/>
                <w:sz w:val="24"/>
                <w:lang w:eastAsia="zh-CN"/>
              </w:rPr>
              <w:t>）废物贮存设施内清理出来的泄漏物，一律按危险废物处理；</w:t>
            </w:r>
          </w:p>
          <w:p w14:paraId="2FD92028">
            <w:pPr>
              <w:pageBreakBefore w:val="0"/>
              <w:kinsoku/>
              <w:topLinePunct w:val="0"/>
              <w:bidi w:val="0"/>
              <w:adjustRightInd w:val="0"/>
              <w:snapToGrid w:val="0"/>
              <w:spacing w:line="360" w:lineRule="auto"/>
              <w:ind w:firstLine="480" w:firstLineChars="200"/>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5</w:t>
            </w:r>
            <w:r>
              <w:rPr>
                <w:rFonts w:hint="default" w:ascii="Times New Roman" w:hAnsi="Times New Roman" w:cs="Times New Roman" w:eastAsiaTheme="minorEastAsia"/>
                <w:color w:val="auto"/>
                <w:sz w:val="24"/>
                <w:lang w:eastAsia="zh-CN"/>
              </w:rPr>
              <w:t>）建设单位应进行危险废物申报登记。将危险废物的实际产生、贮存、利用、处置等情况纳入生产记录，建立危险废物管理台账和企业内部产生和收集、贮存、转移等部门危险废物交接制度。</w:t>
            </w:r>
          </w:p>
          <w:p w14:paraId="488015F3">
            <w:pPr>
              <w:pageBreakBefore w:val="0"/>
              <w:kinsoku/>
              <w:topLinePunct w:val="0"/>
              <w:bidi w:val="0"/>
              <w:adjustRightInd w:val="0"/>
              <w:snapToGrid w:val="0"/>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eastAsia="zh-CN"/>
              </w:rPr>
              <w:t>综上所述，本项目各项固体废物均得到妥善处置，不会对环境产生二次污染。</w:t>
            </w:r>
          </w:p>
          <w:p w14:paraId="6EC8A496">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（3）环境保护图形标志</w:t>
            </w:r>
          </w:p>
          <w:p w14:paraId="3C6B59D6">
            <w:pPr>
              <w:pStyle w:val="4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color w:val="auto"/>
                <w:sz w:val="24"/>
                <w:szCs w:val="24"/>
                <w:highlight w:val="none"/>
                <w:u w:val="none" w:color="auto"/>
                <w:lang w:val="en-US" w:eastAsia="zh-CN"/>
              </w:rPr>
            </w:pPr>
            <w:r>
              <w:rPr>
                <w:rFonts w:hint="default" w:ascii="Times New Roman" w:hAnsi="Times New Roman" w:eastAsia="宋体" w:cs="Times New Roman"/>
                <w:color w:val="auto"/>
                <w:kern w:val="2"/>
                <w:sz w:val="24"/>
                <w:szCs w:val="24"/>
                <w:lang w:val="en-US" w:eastAsia="zh-CN" w:bidi="ar-SA"/>
              </w:rPr>
              <w:t>在厂区的固体废物贮存处置场应设置环境保护图形标志，图形符号分为提示图形和警告图形符号两种，分别按GB15562.1-1995、GB15562.2-1995、HJ1276-2022执行。环境保护图形符号见表4-</w:t>
            </w:r>
            <w:r>
              <w:rPr>
                <w:rFonts w:hint="eastAsia" w:cs="Times New Roman"/>
                <w:color w:val="auto"/>
                <w:kern w:val="2"/>
                <w:sz w:val="24"/>
                <w:szCs w:val="24"/>
                <w:lang w:val="en-US" w:eastAsia="zh-CN" w:bidi="ar-SA"/>
              </w:rPr>
              <w:t>12</w:t>
            </w:r>
            <w:r>
              <w:rPr>
                <w:rFonts w:hint="default" w:ascii="Times New Roman" w:hAnsi="Times New Roman" w:eastAsia="宋体" w:cs="Times New Roman"/>
                <w:color w:val="auto"/>
                <w:kern w:val="2"/>
                <w:sz w:val="24"/>
                <w:szCs w:val="24"/>
                <w:lang w:val="en-US" w:eastAsia="zh-CN" w:bidi="ar-SA"/>
              </w:rPr>
              <w:t>。</w:t>
            </w:r>
          </w:p>
          <w:p w14:paraId="48D2FA64">
            <w:pPr>
              <w:spacing w:line="360" w:lineRule="auto"/>
              <w:ind w:firstLine="482" w:firstLineChars="200"/>
              <w:jc w:val="center"/>
              <w:rPr>
                <w:rFonts w:hint="default" w:ascii="Times New Roman" w:hAnsi="Times New Roman" w:eastAsia="宋体" w:cs="Times New Roman"/>
                <w:b/>
                <w:color w:val="auto"/>
                <w:sz w:val="24"/>
                <w:szCs w:val="24"/>
                <w:highlight w:val="none"/>
                <w:u w:val="none" w:color="auto"/>
                <w:lang w:val="en-US" w:eastAsia="zh-CN"/>
              </w:rPr>
            </w:pPr>
            <w:r>
              <w:rPr>
                <w:rFonts w:hint="default" w:ascii="Times New Roman" w:hAnsi="Times New Roman" w:eastAsia="宋体" w:cs="Times New Roman"/>
                <w:b/>
                <w:bCs w:val="0"/>
                <w:color w:val="auto"/>
                <w:kern w:val="2"/>
                <w:sz w:val="24"/>
                <w:szCs w:val="24"/>
                <w:lang w:val="en-US" w:eastAsia="zh-CN" w:bidi="ar-SA"/>
              </w:rPr>
              <w:t>表4-1</w:t>
            </w:r>
            <w:r>
              <w:rPr>
                <w:rFonts w:hint="eastAsia"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环境保护图形符号一览表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497"/>
              <w:gridCol w:w="3017"/>
              <w:gridCol w:w="2536"/>
            </w:tblGrid>
            <w:tr w14:paraId="0188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Align w:val="center"/>
                </w:tcPr>
                <w:p w14:paraId="3DA4667E">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序号</w:t>
                  </w:r>
                </w:p>
              </w:tc>
              <w:tc>
                <w:tcPr>
                  <w:tcW w:w="913" w:type="pct"/>
                  <w:vAlign w:val="center"/>
                </w:tcPr>
                <w:p w14:paraId="7F6F471D">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名称</w:t>
                  </w:r>
                </w:p>
              </w:tc>
              <w:tc>
                <w:tcPr>
                  <w:tcW w:w="1840" w:type="pct"/>
                  <w:vAlign w:val="center"/>
                </w:tcPr>
                <w:p w14:paraId="0DE702BE">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提示/警告图形标识</w:t>
                  </w:r>
                </w:p>
              </w:tc>
              <w:tc>
                <w:tcPr>
                  <w:tcW w:w="1546" w:type="pct"/>
                  <w:vAlign w:val="center"/>
                </w:tcPr>
                <w:p w14:paraId="0CB3F879">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功能</w:t>
                  </w:r>
                </w:p>
              </w:tc>
            </w:tr>
            <w:tr w14:paraId="1A28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Align w:val="center"/>
                </w:tcPr>
                <w:p w14:paraId="6453E3F3">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913" w:type="pct"/>
                  <w:vAlign w:val="center"/>
                </w:tcPr>
                <w:p w14:paraId="13FCE5E3">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tc>
              <w:tc>
                <w:tcPr>
                  <w:tcW w:w="1840" w:type="pct"/>
                  <w:vAlign w:val="center"/>
                </w:tcPr>
                <w:p w14:paraId="20265D10">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inline distT="0" distB="0" distL="0" distR="0">
                        <wp:extent cx="685800" cy="695325"/>
                        <wp:effectExtent l="0" t="0" r="0" b="9525"/>
                        <wp:docPr id="1034234040" name="图片 4" descr="说明: 说明: 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34040" name="图片 4" descr="说明: 说明: 说明: 13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85800" cy="695325"/>
                                </a:xfrm>
                                <a:prstGeom prst="rect">
                                  <a:avLst/>
                                </a:prstGeom>
                                <a:noFill/>
                                <a:ln>
                                  <a:noFill/>
                                </a:ln>
                              </pic:spPr>
                            </pic:pic>
                          </a:graphicData>
                        </a:graphic>
                      </wp:inline>
                    </w:drawing>
                  </w:r>
                </w:p>
              </w:tc>
              <w:tc>
                <w:tcPr>
                  <w:tcW w:w="1546" w:type="pct"/>
                  <w:vAlign w:val="center"/>
                </w:tcPr>
                <w:p w14:paraId="0EA93F4A">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表示废气向大气排放</w:t>
                  </w:r>
                </w:p>
              </w:tc>
            </w:tr>
            <w:tr w14:paraId="7A1E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Align w:val="center"/>
                </w:tcPr>
                <w:p w14:paraId="1C654022">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913" w:type="pct"/>
                  <w:vAlign w:val="center"/>
                </w:tcPr>
                <w:p w14:paraId="6158A002">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噪声源</w:t>
                  </w:r>
                </w:p>
              </w:tc>
              <w:tc>
                <w:tcPr>
                  <w:tcW w:w="1840" w:type="pct"/>
                  <w:vAlign w:val="center"/>
                </w:tcPr>
                <w:p w14:paraId="61ED1D97">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inline distT="0" distB="0" distL="0" distR="0">
                        <wp:extent cx="714375" cy="714375"/>
                        <wp:effectExtent l="0" t="0" r="9525" b="9525"/>
                        <wp:docPr id="1750680727" name="图片 3" descr="说明: 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80727" name="图片 3" descr="说明: 说明: 说明: 2006022015180498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14375" cy="714375"/>
                                </a:xfrm>
                                <a:prstGeom prst="rect">
                                  <a:avLst/>
                                </a:prstGeom>
                                <a:noFill/>
                                <a:ln>
                                  <a:noFill/>
                                </a:ln>
                              </pic:spPr>
                            </pic:pic>
                          </a:graphicData>
                        </a:graphic>
                      </wp:inline>
                    </w:drawing>
                  </w:r>
                </w:p>
              </w:tc>
              <w:tc>
                <w:tcPr>
                  <w:tcW w:w="1546" w:type="pct"/>
                  <w:vAlign w:val="center"/>
                </w:tcPr>
                <w:p w14:paraId="71C29BC6">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表示噪声向外环境排放</w:t>
                  </w:r>
                </w:p>
              </w:tc>
            </w:tr>
            <w:tr w14:paraId="6699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Align w:val="center"/>
                </w:tcPr>
                <w:p w14:paraId="5EB843B6">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913" w:type="pct"/>
                  <w:vAlign w:val="center"/>
                </w:tcPr>
                <w:p w14:paraId="09DC2102">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w:t>
                  </w:r>
                </w:p>
              </w:tc>
              <w:tc>
                <w:tcPr>
                  <w:tcW w:w="1840" w:type="pct"/>
                  <w:vAlign w:val="center"/>
                </w:tcPr>
                <w:p w14:paraId="12A448A8">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drawing>
                      <wp:inline distT="0" distB="0" distL="114300" distR="114300">
                        <wp:extent cx="706755" cy="683895"/>
                        <wp:effectExtent l="0" t="0" r="17145" b="190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7"/>
                                <a:stretch>
                                  <a:fillRect/>
                                </a:stretch>
                              </pic:blipFill>
                              <pic:spPr>
                                <a:xfrm>
                                  <a:off x="0" y="0"/>
                                  <a:ext cx="706755" cy="683895"/>
                                </a:xfrm>
                                <a:prstGeom prst="rect">
                                  <a:avLst/>
                                </a:prstGeom>
                                <a:noFill/>
                                <a:ln>
                                  <a:noFill/>
                                </a:ln>
                              </pic:spPr>
                            </pic:pic>
                          </a:graphicData>
                        </a:graphic>
                      </wp:inline>
                    </w:drawing>
                  </w:r>
                </w:p>
              </w:tc>
              <w:tc>
                <w:tcPr>
                  <w:tcW w:w="1546" w:type="pct"/>
                  <w:vAlign w:val="center"/>
                </w:tcPr>
                <w:p w14:paraId="7CCE2B1B">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表示污水向水体排放</w:t>
                  </w:r>
                </w:p>
              </w:tc>
            </w:tr>
            <w:tr w14:paraId="2F14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Align w:val="center"/>
                </w:tcPr>
                <w:p w14:paraId="41C32C9B">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913" w:type="pct"/>
                  <w:vAlign w:val="center"/>
                </w:tcPr>
                <w:p w14:paraId="7CD558BE">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w:t>
                  </w:r>
                </w:p>
              </w:tc>
              <w:tc>
                <w:tcPr>
                  <w:tcW w:w="1840" w:type="pct"/>
                  <w:vAlign w:val="center"/>
                </w:tcPr>
                <w:p w14:paraId="3CFB05C2">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drawing>
                      <wp:inline distT="0" distB="0" distL="114300" distR="114300">
                        <wp:extent cx="683895" cy="675640"/>
                        <wp:effectExtent l="0" t="0" r="1905" b="10160"/>
                        <wp:docPr id="32" name="图片 5" descr="IMG_256"/>
                        <wp:cNvGraphicFramePr/>
                        <a:graphic xmlns:a="http://schemas.openxmlformats.org/drawingml/2006/main">
                          <a:graphicData uri="http://schemas.openxmlformats.org/drawingml/2006/picture">
                            <pic:pic xmlns:pic="http://schemas.openxmlformats.org/drawingml/2006/picture">
                              <pic:nvPicPr>
                                <pic:cNvPr id="32" name="图片 5" descr="IMG_256"/>
                                <pic:cNvPicPr/>
                              </pic:nvPicPr>
                              <pic:blipFill>
                                <a:blip r:embed="rId18"/>
                                <a:srcRect l="2063" t="9023" r="43848" b="5882"/>
                                <a:stretch>
                                  <a:fillRect/>
                                </a:stretch>
                              </pic:blipFill>
                              <pic:spPr>
                                <a:xfrm>
                                  <a:off x="0" y="0"/>
                                  <a:ext cx="683895" cy="675640"/>
                                </a:xfrm>
                                <a:prstGeom prst="rect">
                                  <a:avLst/>
                                </a:prstGeom>
                                <a:noFill/>
                                <a:ln w="9525">
                                  <a:noFill/>
                                </a:ln>
                              </pic:spPr>
                            </pic:pic>
                          </a:graphicData>
                        </a:graphic>
                      </wp:inline>
                    </w:drawing>
                  </w:r>
                </w:p>
              </w:tc>
              <w:tc>
                <w:tcPr>
                  <w:tcW w:w="1546" w:type="pct"/>
                  <w:vAlign w:val="center"/>
                </w:tcPr>
                <w:p w14:paraId="506C58A7">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表示污水向水体排放</w:t>
                  </w:r>
                </w:p>
              </w:tc>
            </w:tr>
            <w:tr w14:paraId="4580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99" w:type="pct"/>
                  <w:vAlign w:val="center"/>
                </w:tcPr>
                <w:p w14:paraId="5A8BF414">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913" w:type="pct"/>
                  <w:vAlign w:val="center"/>
                </w:tcPr>
                <w:p w14:paraId="2272D10C">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一般固废</w:t>
                  </w:r>
                </w:p>
              </w:tc>
              <w:tc>
                <w:tcPr>
                  <w:tcW w:w="1840" w:type="pct"/>
                  <w:vAlign w:val="center"/>
                </w:tcPr>
                <w:p w14:paraId="04EC5700">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674370" cy="502285"/>
                        <wp:effectExtent l="0" t="0" r="11430" b="1206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9"/>
                                <a:stretch>
                                  <a:fillRect/>
                                </a:stretch>
                              </pic:blipFill>
                              <pic:spPr>
                                <a:xfrm>
                                  <a:off x="0" y="0"/>
                                  <a:ext cx="674370" cy="502285"/>
                                </a:xfrm>
                                <a:prstGeom prst="rect">
                                  <a:avLst/>
                                </a:prstGeom>
                                <a:noFill/>
                                <a:ln>
                                  <a:noFill/>
                                </a:ln>
                              </pic:spPr>
                            </pic:pic>
                          </a:graphicData>
                        </a:graphic>
                      </wp:inline>
                    </w:drawing>
                  </w:r>
                </w:p>
              </w:tc>
              <w:tc>
                <w:tcPr>
                  <w:tcW w:w="1546" w:type="pct"/>
                  <w:vAlign w:val="center"/>
                </w:tcPr>
                <w:p w14:paraId="0EC2D291">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一般固废暂存间标识标牌</w:t>
                  </w:r>
                </w:p>
              </w:tc>
            </w:tr>
            <w:tr w14:paraId="357D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Align w:val="center"/>
                </w:tcPr>
                <w:p w14:paraId="6F27198D">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913" w:type="pct"/>
                  <w:vAlign w:val="center"/>
                </w:tcPr>
                <w:p w14:paraId="506EF702">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危险废物</w:t>
                  </w:r>
                </w:p>
              </w:tc>
              <w:tc>
                <w:tcPr>
                  <w:tcW w:w="1840" w:type="pct"/>
                  <w:vAlign w:val="center"/>
                </w:tcPr>
                <w:p w14:paraId="43C88ACC">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drawing>
                      <wp:inline distT="0" distB="0" distL="114300" distR="114300">
                        <wp:extent cx="717550" cy="607060"/>
                        <wp:effectExtent l="0" t="0" r="6350" b="25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0"/>
                                <a:stretch>
                                  <a:fillRect/>
                                </a:stretch>
                              </pic:blipFill>
                              <pic:spPr>
                                <a:xfrm>
                                  <a:off x="0" y="0"/>
                                  <a:ext cx="717550" cy="607060"/>
                                </a:xfrm>
                                <a:prstGeom prst="rect">
                                  <a:avLst/>
                                </a:prstGeom>
                                <a:noFill/>
                                <a:ln>
                                  <a:noFill/>
                                </a:ln>
                              </pic:spPr>
                            </pic:pic>
                          </a:graphicData>
                        </a:graphic>
                      </wp:inline>
                    </w:drawing>
                  </w:r>
                </w:p>
              </w:tc>
              <w:tc>
                <w:tcPr>
                  <w:tcW w:w="1546" w:type="pct"/>
                  <w:vAlign w:val="center"/>
                </w:tcPr>
                <w:p w14:paraId="148910FA">
                  <w:pPr>
                    <w:pStyle w:val="1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危险废物贮存、利用、处置设施标志样式</w:t>
                  </w:r>
                </w:p>
              </w:tc>
            </w:tr>
          </w:tbl>
          <w:p w14:paraId="722BFBC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（五）地下水、土壤环境影响分析</w:t>
            </w:r>
          </w:p>
          <w:p w14:paraId="4E1498C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1、污染源及污染途径</w:t>
            </w:r>
          </w:p>
          <w:p w14:paraId="5F8D94B0">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污染物从污染源进入地下水所经过路径称为地下水污染途径，地下水污染途径是多种多样的。根据工程特性，本项目可能对地下水造成污染的途径主要为：</w:t>
            </w:r>
            <w:r>
              <w:rPr>
                <w:rFonts w:hint="default" w:ascii="Times New Roman" w:hAnsi="Times New Roman" w:eastAsia="宋体" w:cs="Times New Roman"/>
                <w:bCs/>
                <w:color w:val="auto"/>
                <w:sz w:val="24"/>
                <w:szCs w:val="24"/>
                <w:lang w:val="en-US" w:eastAsia="zh-CN"/>
              </w:rPr>
              <w:fldChar w:fldCharType="begin"/>
            </w:r>
            <w:r>
              <w:rPr>
                <w:rFonts w:hint="default" w:ascii="Times New Roman" w:hAnsi="Times New Roman" w:eastAsia="宋体" w:cs="Times New Roman"/>
                <w:bCs/>
                <w:color w:val="auto"/>
                <w:sz w:val="24"/>
                <w:szCs w:val="24"/>
                <w:lang w:val="en-US" w:eastAsia="zh-CN"/>
              </w:rPr>
              <w:instrText xml:space="preserve">=1\*GB3</w:instrText>
            </w:r>
            <w:r>
              <w:rPr>
                <w:rFonts w:hint="default" w:ascii="Times New Roman" w:hAnsi="Times New Roman" w:eastAsia="宋体" w:cs="Times New Roman"/>
                <w:bCs/>
                <w:color w:val="auto"/>
                <w:sz w:val="24"/>
                <w:szCs w:val="24"/>
                <w:lang w:val="en-US" w:eastAsia="zh-CN"/>
              </w:rPr>
              <w:fldChar w:fldCharType="separate"/>
            </w:r>
            <w:r>
              <w:rPr>
                <w:rFonts w:hint="default" w:ascii="Times New Roman" w:hAnsi="Times New Roman" w:eastAsia="宋体" w:cs="Times New Roman"/>
                <w:bCs/>
                <w:color w:val="auto"/>
                <w:sz w:val="24"/>
                <w:szCs w:val="24"/>
                <w:lang w:val="en-US" w:eastAsia="zh-CN"/>
              </w:rPr>
              <w:t>①</w:t>
            </w:r>
            <w:r>
              <w:rPr>
                <w:rFonts w:hint="default" w:ascii="Times New Roman" w:hAnsi="Times New Roman" w:eastAsia="宋体" w:cs="Times New Roman"/>
                <w:bCs/>
                <w:color w:val="auto"/>
                <w:sz w:val="24"/>
                <w:szCs w:val="24"/>
                <w:lang w:val="en-US" w:eastAsia="zh-CN"/>
              </w:rPr>
              <w:fldChar w:fldCharType="end"/>
            </w:r>
            <w:r>
              <w:rPr>
                <w:rFonts w:hint="eastAsia" w:ascii="Times New Roman" w:hAnsi="Times New Roman" w:eastAsia="宋体" w:cs="Times New Roman"/>
                <w:bCs/>
                <w:color w:val="auto"/>
                <w:sz w:val="24"/>
                <w:szCs w:val="24"/>
                <w:lang w:val="en-US" w:eastAsia="zh-CN"/>
              </w:rPr>
              <w:t>危险废物泄漏</w:t>
            </w:r>
            <w:r>
              <w:rPr>
                <w:rFonts w:hint="default" w:ascii="Times New Roman" w:hAnsi="Times New Roman" w:eastAsia="宋体" w:cs="Times New Roman"/>
                <w:bCs/>
                <w:color w:val="auto"/>
                <w:sz w:val="24"/>
                <w:szCs w:val="24"/>
                <w:lang w:val="en-US" w:eastAsia="zh-CN"/>
              </w:rPr>
              <w:t>造成</w:t>
            </w:r>
            <w:r>
              <w:rPr>
                <w:rFonts w:hint="eastAsia" w:ascii="Times New Roman" w:hAnsi="Times New Roman" w:eastAsia="宋体" w:cs="Times New Roman"/>
                <w:bCs/>
                <w:color w:val="auto"/>
                <w:sz w:val="24"/>
                <w:szCs w:val="24"/>
                <w:lang w:val="en-US" w:eastAsia="zh-CN"/>
              </w:rPr>
              <w:t>危废</w:t>
            </w:r>
            <w:r>
              <w:rPr>
                <w:rFonts w:hint="default" w:ascii="Times New Roman" w:hAnsi="Times New Roman" w:eastAsia="宋体" w:cs="Times New Roman"/>
                <w:bCs/>
                <w:color w:val="auto"/>
                <w:sz w:val="24"/>
                <w:szCs w:val="24"/>
                <w:lang w:val="en-US" w:eastAsia="zh-CN"/>
              </w:rPr>
              <w:t>下渗对地下水及土壤造成的污染。</w:t>
            </w:r>
          </w:p>
          <w:p w14:paraId="37F87EF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2、防控措施</w:t>
            </w:r>
          </w:p>
          <w:p w14:paraId="75C46711">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建设项目地下水防治坚持“源头控制、分区防治”的原则，根据《环境影响评价技术导则地下水环境》（HJ610-2016）将</w:t>
            </w:r>
            <w:r>
              <w:rPr>
                <w:rFonts w:hint="eastAsia" w:ascii="Times New Roman" w:hAnsi="Times New Roman" w:eastAsia="宋体" w:cs="Times New Roman"/>
                <w:bCs/>
                <w:color w:val="auto"/>
                <w:sz w:val="24"/>
                <w:szCs w:val="24"/>
                <w:lang w:val="en-US" w:eastAsia="zh-CN"/>
              </w:rPr>
              <w:t>危废暂存间</w:t>
            </w:r>
            <w:r>
              <w:rPr>
                <w:rFonts w:hint="default" w:ascii="Times New Roman" w:hAnsi="Times New Roman" w:eastAsia="宋体" w:cs="Times New Roman"/>
                <w:bCs/>
                <w:color w:val="auto"/>
                <w:sz w:val="24"/>
                <w:szCs w:val="24"/>
                <w:lang w:val="en-US" w:eastAsia="zh-CN"/>
              </w:rPr>
              <w:t>按重点防渗区要求进行防渗处理；将</w:t>
            </w:r>
            <w:r>
              <w:rPr>
                <w:rFonts w:hint="eastAsia" w:ascii="Times New Roman" w:hAnsi="Times New Roman" w:eastAsia="宋体" w:cs="Times New Roman"/>
                <w:bCs/>
                <w:color w:val="auto"/>
                <w:sz w:val="24"/>
                <w:szCs w:val="24"/>
                <w:lang w:val="en-US" w:eastAsia="zh-CN"/>
              </w:rPr>
              <w:t>搅拌</w:t>
            </w:r>
            <w:r>
              <w:rPr>
                <w:rFonts w:hint="default" w:ascii="Times New Roman" w:hAnsi="Times New Roman" w:eastAsia="宋体" w:cs="Times New Roman"/>
                <w:bCs/>
                <w:color w:val="auto"/>
                <w:sz w:val="24"/>
                <w:szCs w:val="24"/>
                <w:lang w:val="en-US" w:eastAsia="zh-CN"/>
              </w:rPr>
              <w:t>车间按一般防渗区要求进行防渗处理；其他区域按简单防渗区进行防渗处理。</w:t>
            </w:r>
          </w:p>
          <w:p w14:paraId="165691B6">
            <w:pPr>
              <w:keepLines w:val="0"/>
              <w:pageBreakBefore w:val="0"/>
              <w:kinsoku/>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本项目防渗分区划分及防渗等级见表4-</w:t>
            </w:r>
            <w:r>
              <w:rPr>
                <w:rFonts w:hint="eastAsia" w:cs="Times New Roman"/>
                <w:bCs/>
                <w:color w:val="auto"/>
                <w:sz w:val="24"/>
                <w:szCs w:val="24"/>
                <w:lang w:val="en-US" w:eastAsia="zh-CN"/>
              </w:rPr>
              <w:t>13</w:t>
            </w:r>
            <w:r>
              <w:rPr>
                <w:rFonts w:hint="default" w:ascii="Times New Roman" w:hAnsi="Times New Roman" w:eastAsia="宋体" w:cs="Times New Roman"/>
                <w:bCs/>
                <w:color w:val="auto"/>
                <w:sz w:val="24"/>
                <w:szCs w:val="24"/>
                <w:lang w:val="en-US" w:eastAsia="zh-CN"/>
              </w:rPr>
              <w:t>。</w:t>
            </w:r>
          </w:p>
          <w:p w14:paraId="017579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2"/>
                <w:szCs w:val="22"/>
                <w:lang w:val="zh-CN" w:eastAsia="zh-CN"/>
              </w:rPr>
            </w:pPr>
            <w:r>
              <w:rPr>
                <w:rFonts w:hint="default" w:ascii="Times New Roman" w:hAnsi="Times New Roman" w:eastAsia="宋体" w:cs="Times New Roman"/>
                <w:b/>
                <w:bCs/>
                <w:color w:val="auto"/>
                <w:sz w:val="22"/>
                <w:szCs w:val="22"/>
                <w:lang w:val="zh-CN" w:eastAsia="zh-CN"/>
              </w:rPr>
              <w:t>表4-</w:t>
            </w:r>
            <w:r>
              <w:rPr>
                <w:rFonts w:hint="eastAsia" w:cs="Times New Roman"/>
                <w:b/>
                <w:bCs/>
                <w:color w:val="auto"/>
                <w:sz w:val="22"/>
                <w:szCs w:val="22"/>
                <w:lang w:val="en-US" w:eastAsia="zh-CN"/>
              </w:rPr>
              <w:t>13</w:t>
            </w:r>
            <w:r>
              <w:rPr>
                <w:rFonts w:hint="default" w:ascii="Times New Roman" w:hAnsi="Times New Roman" w:eastAsia="宋体" w:cs="Times New Roman"/>
                <w:b/>
                <w:bCs/>
                <w:color w:val="auto"/>
                <w:sz w:val="22"/>
                <w:szCs w:val="22"/>
                <w:lang w:val="zh-CN" w:eastAsia="zh-CN"/>
              </w:rPr>
              <w:t>本项目防渗分区划分及防渗等级</w:t>
            </w:r>
          </w:p>
          <w:tbl>
            <w:tblPr>
              <w:tblStyle w:val="4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87"/>
              <w:gridCol w:w="1903"/>
              <w:gridCol w:w="4499"/>
            </w:tblGrid>
            <w:tr w14:paraId="1BD513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786" w:type="dxa"/>
                  <w:tcBorders>
                    <w:tl2br w:val="nil"/>
                    <w:tr2bl w:val="nil"/>
                  </w:tcBorders>
                  <w:noWrap w:val="0"/>
                  <w:vAlign w:val="center"/>
                </w:tcPr>
                <w:p w14:paraId="5A3A59DA">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分区</w:t>
                  </w:r>
                </w:p>
              </w:tc>
              <w:tc>
                <w:tcPr>
                  <w:tcW w:w="1902" w:type="dxa"/>
                  <w:tcBorders>
                    <w:tl2br w:val="nil"/>
                    <w:tr2bl w:val="nil"/>
                  </w:tcBorders>
                  <w:noWrap w:val="0"/>
                  <w:vAlign w:val="center"/>
                </w:tcPr>
                <w:p w14:paraId="1E7A56D4">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位置</w:t>
                  </w:r>
                </w:p>
              </w:tc>
              <w:tc>
                <w:tcPr>
                  <w:tcW w:w="4495" w:type="dxa"/>
                  <w:tcBorders>
                    <w:tl2br w:val="nil"/>
                    <w:tr2bl w:val="nil"/>
                  </w:tcBorders>
                  <w:noWrap w:val="0"/>
                  <w:vAlign w:val="center"/>
                </w:tcPr>
                <w:p w14:paraId="7FBE9393">
                  <w:pPr>
                    <w:keepLines w:val="0"/>
                    <w:pageBreakBefore w:val="0"/>
                    <w:kinsoku/>
                    <w:topLinePunct w:val="0"/>
                    <w:autoSpaceDE w:val="0"/>
                    <w:autoSpaceDN w:val="0"/>
                    <w:bidi w:val="0"/>
                    <w:adjustRightInd w:val="0"/>
                    <w:snapToGrid w:val="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防渗等级</w:t>
                  </w:r>
                </w:p>
              </w:tc>
            </w:tr>
            <w:tr w14:paraId="2E9293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786" w:type="dxa"/>
                  <w:tcBorders>
                    <w:tl2br w:val="nil"/>
                    <w:tr2bl w:val="nil"/>
                  </w:tcBorders>
                  <w:noWrap w:val="0"/>
                  <w:vAlign w:val="center"/>
                </w:tcPr>
                <w:p w14:paraId="2F90BA03">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1902" w:type="dxa"/>
                  <w:tcBorders>
                    <w:tl2br w:val="nil"/>
                    <w:tr2bl w:val="nil"/>
                  </w:tcBorders>
                  <w:noWrap w:val="0"/>
                  <w:vAlign w:val="center"/>
                </w:tcPr>
                <w:p w14:paraId="04B011BD">
                  <w:pPr>
                    <w:keepLines w:val="0"/>
                    <w:pageBreakBefore w:val="0"/>
                    <w:kinsoku/>
                    <w:topLinePunct w:val="0"/>
                    <w:bidi w:val="0"/>
                    <w:adjustRightInd w:val="0"/>
                    <w:snapToGrid w:val="0"/>
                    <w:ind w:left="-105" w:lef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危废暂存间</w:t>
                  </w:r>
                </w:p>
              </w:tc>
              <w:tc>
                <w:tcPr>
                  <w:tcW w:w="4495" w:type="dxa"/>
                  <w:tcBorders>
                    <w:tl2br w:val="nil"/>
                    <w:tr2bl w:val="nil"/>
                  </w:tcBorders>
                  <w:noWrap w:val="0"/>
                  <w:vAlign w:val="center"/>
                </w:tcPr>
                <w:p w14:paraId="1EC4F083">
                  <w:pPr>
                    <w:keepLines w:val="0"/>
                    <w:pageBreakBefore w:val="0"/>
                    <w:kinsoku/>
                    <w:topLinePunct w:val="0"/>
                    <w:bidi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等效黏土防渗层Mb≥6.0m，K≤1×10</w:t>
                  </w:r>
                  <w:r>
                    <w:rPr>
                      <w:rFonts w:hint="default" w:ascii="Times New Roman" w:hAnsi="Times New Roman" w:eastAsia="宋体" w:cs="Times New Roman"/>
                      <w:bCs/>
                      <w:color w:val="auto"/>
                      <w:sz w:val="21"/>
                      <w:szCs w:val="21"/>
                      <w:vertAlign w:val="superscript"/>
                    </w:rPr>
                    <w:t>-</w:t>
                  </w:r>
                  <w:r>
                    <w:rPr>
                      <w:rFonts w:hint="eastAsia" w:cs="Times New Roman"/>
                      <w:bCs/>
                      <w:color w:val="auto"/>
                      <w:sz w:val="21"/>
                      <w:szCs w:val="21"/>
                      <w:vertAlign w:val="superscript"/>
                      <w:lang w:val="en-US" w:eastAsia="zh-CN"/>
                    </w:rPr>
                    <w:t>10</w:t>
                  </w:r>
                  <w:r>
                    <w:rPr>
                      <w:rFonts w:hint="default" w:ascii="Times New Roman" w:hAnsi="Times New Roman" w:eastAsia="宋体" w:cs="Times New Roman"/>
                      <w:bCs/>
                      <w:color w:val="auto"/>
                      <w:sz w:val="21"/>
                      <w:szCs w:val="21"/>
                    </w:rPr>
                    <w:t>cm/s</w:t>
                  </w:r>
                  <w:r>
                    <w:rPr>
                      <w:rFonts w:hint="eastAsia" w:ascii="Times New Roman" w:hAnsi="Times New Roman" w:cs="Times New Roman"/>
                      <w:color w:val="auto"/>
                    </w:rPr>
                    <w:t>；或参照GB18598执行</w:t>
                  </w:r>
                </w:p>
              </w:tc>
            </w:tr>
            <w:tr w14:paraId="1CFE5F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9" w:hRule="atLeast"/>
                <w:jc w:val="center"/>
              </w:trPr>
              <w:tc>
                <w:tcPr>
                  <w:tcW w:w="1786" w:type="dxa"/>
                  <w:tcBorders>
                    <w:tl2br w:val="nil"/>
                    <w:tr2bl w:val="nil"/>
                  </w:tcBorders>
                  <w:noWrap w:val="0"/>
                  <w:vAlign w:val="center"/>
                </w:tcPr>
                <w:p w14:paraId="133662EE">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w:t>
                  </w:r>
                </w:p>
              </w:tc>
              <w:tc>
                <w:tcPr>
                  <w:tcW w:w="1902" w:type="dxa"/>
                  <w:tcBorders>
                    <w:tl2br w:val="nil"/>
                    <w:tr2bl w:val="nil"/>
                  </w:tcBorders>
                  <w:noWrap w:val="0"/>
                  <w:vAlign w:val="center"/>
                </w:tcPr>
                <w:p w14:paraId="137AF78E">
                  <w:pPr>
                    <w:keepLines w:val="0"/>
                    <w:pageBreakBefore w:val="0"/>
                    <w:kinsoku/>
                    <w:topLinePunct w:val="0"/>
                    <w:bidi w:val="0"/>
                    <w:adjustRightInd w:val="0"/>
                    <w:snapToGrid w:val="0"/>
                    <w:ind w:left="-105" w:lef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搅拌</w:t>
                  </w:r>
                  <w:r>
                    <w:rPr>
                      <w:rFonts w:hint="default" w:ascii="Times New Roman" w:hAnsi="Times New Roman" w:eastAsia="宋体" w:cs="Times New Roman"/>
                      <w:color w:val="auto"/>
                      <w:sz w:val="21"/>
                      <w:szCs w:val="21"/>
                      <w:lang w:val="en-US" w:eastAsia="zh-CN"/>
                    </w:rPr>
                    <w:t>车间</w:t>
                  </w:r>
                </w:p>
              </w:tc>
              <w:tc>
                <w:tcPr>
                  <w:tcW w:w="4495" w:type="dxa"/>
                  <w:tcBorders>
                    <w:tl2br w:val="nil"/>
                    <w:tr2bl w:val="nil"/>
                  </w:tcBorders>
                  <w:noWrap w:val="0"/>
                  <w:vAlign w:val="center"/>
                </w:tcPr>
                <w:p w14:paraId="5127C3F1">
                  <w:pPr>
                    <w:keepLines w:val="0"/>
                    <w:pageBreakBefore w:val="0"/>
                    <w:kinsoku/>
                    <w:topLinePunct w:val="0"/>
                    <w:bidi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等效黏土防渗层Mb≥1.5m，K≤1×10</w:t>
                  </w:r>
                  <w:r>
                    <w:rPr>
                      <w:rFonts w:hint="default" w:ascii="Times New Roman" w:hAnsi="Times New Roman" w:eastAsia="宋体" w:cs="Times New Roman"/>
                      <w:bCs/>
                      <w:color w:val="auto"/>
                      <w:sz w:val="21"/>
                      <w:szCs w:val="21"/>
                      <w:vertAlign w:val="superscript"/>
                    </w:rPr>
                    <w:t>-7</w:t>
                  </w:r>
                  <w:r>
                    <w:rPr>
                      <w:rFonts w:hint="default" w:ascii="Times New Roman" w:hAnsi="Times New Roman" w:eastAsia="宋体" w:cs="Times New Roman"/>
                      <w:bCs/>
                      <w:color w:val="auto"/>
                      <w:sz w:val="21"/>
                      <w:szCs w:val="21"/>
                    </w:rPr>
                    <w:t>cm/s</w:t>
                  </w:r>
                  <w:r>
                    <w:rPr>
                      <w:rFonts w:hint="eastAsia" w:ascii="Times New Roman" w:hAnsi="Times New Roman" w:cs="Times New Roman"/>
                      <w:color w:val="auto"/>
                    </w:rPr>
                    <w:t>；或参照GB16889执行</w:t>
                  </w:r>
                </w:p>
              </w:tc>
            </w:tr>
            <w:tr w14:paraId="578560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786" w:type="dxa"/>
                  <w:tcBorders>
                    <w:tl2br w:val="nil"/>
                    <w:tr2bl w:val="nil"/>
                  </w:tcBorders>
                  <w:noWrap w:val="0"/>
                  <w:vAlign w:val="center"/>
                </w:tcPr>
                <w:p w14:paraId="31D96D48">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w:t>
                  </w:r>
                </w:p>
              </w:tc>
              <w:tc>
                <w:tcPr>
                  <w:tcW w:w="1902" w:type="dxa"/>
                  <w:tcBorders>
                    <w:tl2br w:val="nil"/>
                    <w:tr2bl w:val="nil"/>
                  </w:tcBorders>
                  <w:noWrap w:val="0"/>
                  <w:vAlign w:val="center"/>
                </w:tcPr>
                <w:p w14:paraId="08305F95">
                  <w:pPr>
                    <w:keepLines w:val="0"/>
                    <w:pageBreakBefore w:val="0"/>
                    <w:kinsoku/>
                    <w:topLinePunct w:val="0"/>
                    <w:bidi w:val="0"/>
                    <w:adjustRightInd w:val="0"/>
                    <w:snapToGrid w:val="0"/>
                    <w:ind w:left="-105" w:lef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其他区域</w:t>
                  </w:r>
                </w:p>
              </w:tc>
              <w:tc>
                <w:tcPr>
                  <w:tcW w:w="4495" w:type="dxa"/>
                  <w:tcBorders>
                    <w:tl2br w:val="nil"/>
                    <w:tr2bl w:val="nil"/>
                  </w:tcBorders>
                  <w:noWrap w:val="0"/>
                  <w:vAlign w:val="center"/>
                </w:tcPr>
                <w:p w14:paraId="75728CA4">
                  <w:pPr>
                    <w:keepLines w:val="0"/>
                    <w:pageBreakBefore w:val="0"/>
                    <w:kinsoku/>
                    <w:topLinePunct w:val="0"/>
                    <w:bidi w:val="0"/>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一般地面硬化</w:t>
                  </w:r>
                </w:p>
              </w:tc>
            </w:tr>
          </w:tbl>
          <w:p w14:paraId="1FC35338">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重点防渗区防渗措施：</w:t>
            </w:r>
            <w:r>
              <w:rPr>
                <w:rFonts w:hint="default" w:ascii="Times New Roman" w:hAnsi="Times New Roman" w:eastAsia="宋体" w:cs="Times New Roman"/>
                <w:color w:val="auto"/>
                <w:sz w:val="24"/>
                <w:szCs w:val="24"/>
                <w:highlight w:val="none"/>
                <w:lang w:val="en-US" w:eastAsia="zh-CN"/>
              </w:rPr>
              <w:t>防渗层由下至上依次采用300mmC25商品钢筋混凝土浇筑，2mm厚高密度聚乙烯防渗膜，2mm厚树脂膜防腐，渗透系数≤1×10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cm/s，均按照《危险废物贮存污染控制标准》（GB18597-2023）中的要求进行防渗。</w:t>
            </w:r>
          </w:p>
          <w:p w14:paraId="32E2E2ED">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2.1运行期严格管理，加强巡检，及时发现污染物泄漏；一旦出现泄漏及时处理，检查检修设备，将污染物泄漏的环境风险事故降到最低；制定并落实相应环境风险事故应急预案。</w:t>
            </w:r>
          </w:p>
          <w:p w14:paraId="3794B5F3">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2.2固体废物转运、贮存等各环节做好防风、防雨、防渗措施，禁止随意弃置、堆放、填埋。按照有关的规范要求采取上述污染防治措施，可以避免项目对周边土壤产生明显影响，营运期土壤污染防治措施是可行的。</w:t>
            </w:r>
          </w:p>
          <w:p w14:paraId="740BE63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（六）环境风险识别</w:t>
            </w:r>
          </w:p>
          <w:p w14:paraId="01223669">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经查阅《建设项目环境风险评价技术导则》（HJ169-2018）附录B，依据导则附录B，确定本次技改项目涉及的危险物质，并且以危险物质使用情况和贮存情况为基础，根据导则附录C进行危险物质存在量（如存在量呈动态变化，则按年度内最大存在量计算）与临界量比值（Q）的定量估算。</w:t>
            </w:r>
          </w:p>
          <w:p w14:paraId="1CEAF50C">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②当只涉及一种危险物质时，计算该物质的总量与其临界量的比值，即为Q。</w:t>
            </w:r>
          </w:p>
          <w:p w14:paraId="2FC0E670">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③当存在多种危险物质时，则按（1）式计算物质数量与临界量比值（Q）：</w:t>
            </w:r>
          </w:p>
          <w:p w14:paraId="32ADD08C">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1209675" cy="352425"/>
                  <wp:effectExtent l="0" t="0" r="9525"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1"/>
                          <a:stretch>
                            <a:fillRect/>
                          </a:stretch>
                        </pic:blipFill>
                        <pic:spPr>
                          <a:xfrm>
                            <a:off x="0" y="0"/>
                            <a:ext cx="1209675" cy="352425"/>
                          </a:xfrm>
                          <a:prstGeom prst="rect">
                            <a:avLst/>
                          </a:prstGeom>
                          <a:noFill/>
                          <a:ln>
                            <a:noFill/>
                          </a:ln>
                        </pic:spPr>
                      </pic:pic>
                    </a:graphicData>
                  </a:graphic>
                </wp:inline>
              </w:drawing>
            </w:r>
          </w:p>
          <w:p w14:paraId="60E395D6">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式中：q1，q2，…，qn—每种危险物质的最大存在总量，t；</w:t>
            </w:r>
          </w:p>
          <w:p w14:paraId="068DF10A">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Q1，Q2，……，Qn——每种危险物质的临界量，t。</w:t>
            </w:r>
          </w:p>
          <w:p w14:paraId="77AAEE37">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当Q&lt;1时，该项目环境风险潜势为I。</w:t>
            </w:r>
          </w:p>
          <w:p w14:paraId="7A580231">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当Q≥1时，将Q值划分为：（1）1≤Q&lt;10；（2）10≤Q&lt;100；（3）Q≥100。</w:t>
            </w:r>
          </w:p>
          <w:p w14:paraId="7DC649FE">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环境风险评价中物质危险性判别标准见《建设项目环境风险评价技术导则》</w:t>
            </w:r>
          </w:p>
          <w:p w14:paraId="3C02118B">
            <w:pPr>
              <w:pStyle w:val="18"/>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（HJ/T169-2018）附录B的表B.1，对未列入表B.1，其临界量可按表B.2中推荐值选取。</w:t>
            </w:r>
          </w:p>
          <w:p w14:paraId="735DF920">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项目设备中的机油。项目涉及危险物质如下表所示。</w:t>
            </w:r>
          </w:p>
          <w:p w14:paraId="6BBD1E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bCs/>
                <w:color w:val="auto"/>
                <w:sz w:val="22"/>
                <w:szCs w:val="22"/>
                <w:lang w:val="en-US" w:eastAsia="zh-CN"/>
              </w:rPr>
              <w:t>表4-1</w:t>
            </w:r>
            <w:r>
              <w:rPr>
                <w:rFonts w:hint="eastAsia" w:cs="Times New Roman"/>
                <w:b/>
                <w:bCs/>
                <w:color w:val="auto"/>
                <w:sz w:val="22"/>
                <w:szCs w:val="22"/>
                <w:lang w:val="en-US" w:eastAsia="zh-CN"/>
              </w:rPr>
              <w:t>4</w:t>
            </w:r>
            <w:r>
              <w:rPr>
                <w:rFonts w:hint="default" w:ascii="Times New Roman" w:hAnsi="Times New Roman" w:eastAsia="宋体" w:cs="Times New Roman"/>
                <w:b/>
                <w:bCs/>
                <w:color w:val="auto"/>
                <w:sz w:val="22"/>
                <w:szCs w:val="22"/>
                <w:lang w:val="en-US" w:eastAsia="zh-CN"/>
              </w:rPr>
              <w:t>项目危险物质临界量比值Q</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116"/>
              <w:gridCol w:w="1342"/>
              <w:gridCol w:w="1739"/>
              <w:gridCol w:w="1292"/>
              <w:gridCol w:w="989"/>
            </w:tblGrid>
            <w:tr w14:paraId="2DCB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40" w:type="pct"/>
                  <w:noWrap w:val="0"/>
                  <w:vAlign w:val="center"/>
                </w:tcPr>
                <w:p w14:paraId="5FFFE106">
                  <w:pPr>
                    <w:pStyle w:val="57"/>
                    <w:pageBreakBefore w:val="0"/>
                    <w:kinsoku/>
                    <w:topLinePunct w:val="0"/>
                    <w:bidi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 w:val="21"/>
                      <w:szCs w:val="21"/>
                    </w:rPr>
                    <w:t>序号</w:t>
                  </w:r>
                </w:p>
              </w:tc>
              <w:tc>
                <w:tcPr>
                  <w:tcW w:w="1290" w:type="pct"/>
                  <w:noWrap w:val="0"/>
                  <w:vAlign w:val="center"/>
                </w:tcPr>
                <w:p w14:paraId="2F157317">
                  <w:pPr>
                    <w:pStyle w:val="57"/>
                    <w:pageBreakBefore w:val="0"/>
                    <w:kinsoku/>
                    <w:topLinePunct w:val="0"/>
                    <w:bidi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 w:val="21"/>
                      <w:szCs w:val="21"/>
                    </w:rPr>
                    <w:t>物质名称</w:t>
                  </w:r>
                </w:p>
              </w:tc>
              <w:tc>
                <w:tcPr>
                  <w:tcW w:w="818" w:type="pct"/>
                  <w:noWrap w:val="0"/>
                  <w:vAlign w:val="center"/>
                </w:tcPr>
                <w:p w14:paraId="1DC95A39">
                  <w:pPr>
                    <w:pStyle w:val="57"/>
                    <w:pageBreakBefore w:val="0"/>
                    <w:kinsoku/>
                    <w:topLinePunct w:val="0"/>
                    <w:bidi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储存位置</w:t>
                  </w:r>
                </w:p>
              </w:tc>
              <w:tc>
                <w:tcPr>
                  <w:tcW w:w="1060" w:type="pct"/>
                  <w:noWrap w:val="0"/>
                  <w:vAlign w:val="center"/>
                </w:tcPr>
                <w:p w14:paraId="5DAD5C78">
                  <w:pPr>
                    <w:pageBreakBefore w:val="0"/>
                    <w:kinsoku/>
                    <w:topLinePunct w:val="0"/>
                    <w:bidi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 w:val="21"/>
                      <w:szCs w:val="21"/>
                    </w:rPr>
                    <w:t>最大存在量q</w:t>
                  </w:r>
                  <w:r>
                    <w:rPr>
                      <w:rFonts w:hint="default" w:ascii="Times New Roman" w:hAnsi="Times New Roman" w:eastAsia="宋体" w:cs="Times New Roman"/>
                      <w:b/>
                      <w:bCs/>
                      <w:color w:val="auto"/>
                      <w:sz w:val="21"/>
                      <w:szCs w:val="21"/>
                      <w:vertAlign w:val="subscript"/>
                    </w:rPr>
                    <w:t>n</w:t>
                  </w:r>
                  <w:r>
                    <w:rPr>
                      <w:rFonts w:hint="default" w:ascii="Times New Roman" w:hAnsi="Times New Roman" w:eastAsia="宋体" w:cs="Times New Roman"/>
                      <w:b/>
                      <w:bCs/>
                      <w:color w:val="auto"/>
                      <w:sz w:val="21"/>
                      <w:szCs w:val="21"/>
                    </w:rPr>
                    <w:t>（t）</w:t>
                  </w:r>
                </w:p>
              </w:tc>
              <w:tc>
                <w:tcPr>
                  <w:tcW w:w="787" w:type="pct"/>
                  <w:noWrap w:val="0"/>
                  <w:vAlign w:val="center"/>
                </w:tcPr>
                <w:p w14:paraId="67834B17">
                  <w:pPr>
                    <w:pageBreakBefore w:val="0"/>
                    <w:kinsoku/>
                    <w:topLinePunct w:val="0"/>
                    <w:bidi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 w:val="21"/>
                      <w:szCs w:val="21"/>
                    </w:rPr>
                    <w:t>临界量Q</w:t>
                  </w:r>
                  <w:r>
                    <w:rPr>
                      <w:rFonts w:hint="default" w:ascii="Times New Roman" w:hAnsi="Times New Roman" w:eastAsia="宋体" w:cs="Times New Roman"/>
                      <w:b/>
                      <w:bCs/>
                      <w:color w:val="auto"/>
                      <w:sz w:val="21"/>
                      <w:szCs w:val="21"/>
                      <w:vertAlign w:val="subscript"/>
                    </w:rPr>
                    <w:t>n</w:t>
                  </w:r>
                  <w:r>
                    <w:rPr>
                      <w:rFonts w:hint="default" w:ascii="Times New Roman" w:hAnsi="Times New Roman" w:eastAsia="宋体" w:cs="Times New Roman"/>
                      <w:b/>
                      <w:bCs/>
                      <w:color w:val="auto"/>
                      <w:sz w:val="21"/>
                      <w:szCs w:val="21"/>
                    </w:rPr>
                    <w:t>（t）</w:t>
                  </w:r>
                </w:p>
              </w:tc>
              <w:tc>
                <w:tcPr>
                  <w:tcW w:w="603" w:type="pct"/>
                  <w:noWrap w:val="0"/>
                  <w:vAlign w:val="center"/>
                </w:tcPr>
                <w:p w14:paraId="516BA3B9">
                  <w:pPr>
                    <w:pageBreakBefore w:val="0"/>
                    <w:kinsoku/>
                    <w:topLinePunct w:val="0"/>
                    <w:bidi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 w:val="21"/>
                      <w:szCs w:val="21"/>
                    </w:rPr>
                    <w:t>q</w:t>
                  </w:r>
                  <w:r>
                    <w:rPr>
                      <w:rFonts w:hint="default" w:ascii="Times New Roman" w:hAnsi="Times New Roman" w:eastAsia="宋体" w:cs="Times New Roman"/>
                      <w:b/>
                      <w:bCs/>
                      <w:color w:val="auto"/>
                      <w:sz w:val="21"/>
                      <w:szCs w:val="21"/>
                      <w:vertAlign w:val="subscript"/>
                    </w:rPr>
                    <w:t>n</w:t>
                  </w:r>
                  <w:r>
                    <w:rPr>
                      <w:rFonts w:hint="default" w:ascii="Times New Roman" w:hAnsi="Times New Roman" w:eastAsia="宋体" w:cs="Times New Roman"/>
                      <w:b/>
                      <w:bCs/>
                      <w:color w:val="auto"/>
                      <w:sz w:val="21"/>
                      <w:szCs w:val="21"/>
                    </w:rPr>
                    <w:t>/Q</w:t>
                  </w:r>
                  <w:r>
                    <w:rPr>
                      <w:rFonts w:hint="default" w:ascii="Times New Roman" w:hAnsi="Times New Roman" w:eastAsia="宋体" w:cs="Times New Roman"/>
                      <w:b/>
                      <w:bCs/>
                      <w:color w:val="auto"/>
                      <w:sz w:val="21"/>
                      <w:szCs w:val="21"/>
                      <w:vertAlign w:val="subscript"/>
                    </w:rPr>
                    <w:t>n</w:t>
                  </w:r>
                </w:p>
              </w:tc>
            </w:tr>
            <w:tr w14:paraId="2E1F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40" w:type="pct"/>
                  <w:noWrap w:val="0"/>
                  <w:vAlign w:val="center"/>
                </w:tcPr>
                <w:p w14:paraId="356B64E0">
                  <w:pPr>
                    <w:pageBreakBefore w:val="0"/>
                    <w:kinsoku/>
                    <w:topLinePunct w:val="0"/>
                    <w:bidi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0" w:type="pct"/>
                  <w:shd w:val="clear" w:color="auto" w:fill="auto"/>
                  <w:noWrap w:val="0"/>
                  <w:vAlign w:val="center"/>
                </w:tcPr>
                <w:p w14:paraId="30B5FE93">
                  <w:pPr>
                    <w:pageBreakBefore w:val="0"/>
                    <w:kinsoku/>
                    <w:topLinePunct w:val="0"/>
                    <w:bidi w:val="0"/>
                    <w:adjustRightInd w:val="0"/>
                    <w:snapToGrid w:val="0"/>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kern w:val="44"/>
                      <w:sz w:val="21"/>
                      <w:szCs w:val="21"/>
                      <w:lang w:val="en-US" w:eastAsia="zh-CN" w:bidi="ar-SA"/>
                    </w:rPr>
                    <w:t>机油</w:t>
                  </w:r>
                  <w:r>
                    <w:rPr>
                      <w:rFonts w:hint="eastAsia" w:ascii="Times New Roman" w:hAnsi="Times New Roman" w:eastAsia="宋体" w:cs="Times New Roman"/>
                      <w:color w:val="auto"/>
                      <w:kern w:val="44"/>
                      <w:sz w:val="21"/>
                      <w:szCs w:val="21"/>
                      <w:lang w:val="en-US" w:eastAsia="zh-CN" w:bidi="ar-SA"/>
                    </w:rPr>
                    <w:t>、废机油</w:t>
                  </w:r>
                </w:p>
              </w:tc>
              <w:tc>
                <w:tcPr>
                  <w:tcW w:w="818" w:type="pct"/>
                  <w:shd w:val="clear" w:color="auto" w:fill="auto"/>
                  <w:noWrap w:val="0"/>
                  <w:vAlign w:val="center"/>
                </w:tcPr>
                <w:p w14:paraId="5C456C56">
                  <w:pPr>
                    <w:pageBreakBefore w:val="0"/>
                    <w:kinsoku/>
                    <w:topLinePunct w:val="0"/>
                    <w:bidi w:val="0"/>
                    <w:adjustRightInd w:val="0"/>
                    <w:snapToGrid w:val="0"/>
                    <w:jc w:val="center"/>
                    <w:rPr>
                      <w:rFonts w:hint="default" w:ascii="Times New Roman" w:hAnsi="Times New Roman" w:eastAsia="宋体" w:cs="Times New Roman"/>
                      <w:color w:val="auto"/>
                      <w:kern w:val="44"/>
                      <w:sz w:val="21"/>
                      <w:szCs w:val="21"/>
                      <w:lang w:val="en-US" w:eastAsia="zh-CN" w:bidi="ar-SA"/>
                    </w:rPr>
                  </w:pPr>
                  <w:r>
                    <w:rPr>
                      <w:rFonts w:hint="default" w:ascii="Times New Roman" w:hAnsi="Times New Roman" w:eastAsia="宋体" w:cs="Times New Roman"/>
                      <w:color w:val="auto"/>
                      <w:kern w:val="44"/>
                      <w:sz w:val="21"/>
                      <w:szCs w:val="21"/>
                      <w:lang w:val="en-US" w:eastAsia="zh-CN" w:bidi="ar-SA"/>
                    </w:rPr>
                    <w:t>现有设备</w:t>
                  </w:r>
                </w:p>
              </w:tc>
              <w:tc>
                <w:tcPr>
                  <w:tcW w:w="1060" w:type="pct"/>
                  <w:shd w:val="clear" w:color="auto" w:fill="auto"/>
                  <w:noWrap w:val="0"/>
                  <w:vAlign w:val="center"/>
                </w:tcPr>
                <w:p w14:paraId="1392AE1B">
                  <w:pPr>
                    <w:pageBreakBefore w:val="0"/>
                    <w:kinsoku/>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c>
                <w:tcPr>
                  <w:tcW w:w="787" w:type="pct"/>
                  <w:shd w:val="clear" w:color="auto" w:fill="auto"/>
                  <w:noWrap w:val="0"/>
                  <w:vAlign w:val="center"/>
                </w:tcPr>
                <w:p w14:paraId="066D2253">
                  <w:pPr>
                    <w:pageBreakBefore w:val="0"/>
                    <w:kinsoku/>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2500</w:t>
                  </w:r>
                </w:p>
              </w:tc>
              <w:tc>
                <w:tcPr>
                  <w:tcW w:w="603" w:type="pct"/>
                  <w:shd w:val="clear" w:color="auto" w:fill="auto"/>
                  <w:noWrap w:val="0"/>
                  <w:vAlign w:val="center"/>
                </w:tcPr>
                <w:p w14:paraId="2117F887">
                  <w:pPr>
                    <w:pageBreakBefore w:val="0"/>
                    <w:kinsoku/>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0.0004</w:t>
                  </w:r>
                </w:p>
              </w:tc>
            </w:tr>
            <w:tr w14:paraId="09FF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4396" w:type="pct"/>
                  <w:gridSpan w:val="5"/>
                  <w:noWrap w:val="0"/>
                  <w:vAlign w:val="center"/>
                </w:tcPr>
                <w:p w14:paraId="5E9E07AE">
                  <w:pPr>
                    <w:pageBreakBefore w:val="0"/>
                    <w:kinsoku/>
                    <w:topLinePunct w:val="0"/>
                    <w:bidi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合计</w:t>
                  </w:r>
                  <w:r>
                    <w:rPr>
                      <w:rFonts w:hint="default" w:ascii="Times New Roman" w:hAnsi="Times New Roman" w:eastAsia="宋体" w:cs="Times New Roman"/>
                      <w:color w:val="auto"/>
                      <w:kern w:val="44"/>
                      <w:sz w:val="21"/>
                      <w:szCs w:val="21"/>
                      <w:lang w:val="en-US" w:eastAsia="zh-CN" w:bidi="ar-SA"/>
                    </w:rPr>
                    <w:t>（Σq/Q）</w:t>
                  </w:r>
                </w:p>
              </w:tc>
              <w:tc>
                <w:tcPr>
                  <w:tcW w:w="603" w:type="pct"/>
                  <w:shd w:val="clear" w:color="auto" w:fill="auto"/>
                  <w:noWrap w:val="0"/>
                  <w:vAlign w:val="center"/>
                </w:tcPr>
                <w:p w14:paraId="2885A42C">
                  <w:pPr>
                    <w:pageBreakBefore w:val="0"/>
                    <w:kinsoku/>
                    <w:topLinePunct w:val="0"/>
                    <w:bidi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0.0004</w:t>
                  </w:r>
                </w:p>
              </w:tc>
            </w:tr>
          </w:tbl>
          <w:p w14:paraId="30AC3927">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本次项目Q＜1，危险物质存储未超过临界量，无需开展环境风险专项评价。根据HJ/T169-2018《建设项目环境影响风险评价技术导则》表1评价工作等级划分，确定项目环境风险评价工作等级为简单分析。</w:t>
            </w:r>
          </w:p>
          <w:p w14:paraId="468FC3F1">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（1）环境风险调查</w:t>
            </w:r>
          </w:p>
          <w:p w14:paraId="550B4ED1">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使建设项目事故率、损失和环境能够影响达到可接受水平。可能影响环境的途径厂房供电线路老化、破裂引起的火灾。</w:t>
            </w:r>
          </w:p>
          <w:p w14:paraId="3771E3B1">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（2）环境风险分析</w:t>
            </w:r>
          </w:p>
          <w:p w14:paraId="618E4096">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1.电气设备故障引起的火灾</w:t>
            </w:r>
          </w:p>
          <w:p w14:paraId="79F9906A">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企业员工在厂区吸烟或生产过程中不慎造成电气设备故障等，可能引起火灾，有时会发生火灾连片使大批设备烧毁。火灾是通过放出辐射热影响周围环境。如果辐射热的能量足够大，可引起其他可燃物燃烧。物质在燃烧过程中会产生大量浓烟和烟尘，其中含有大量的一氧化碳、二氧化碳及其他有毒气体，带来大气环境污染。</w:t>
            </w:r>
          </w:p>
          <w:p w14:paraId="031C3258">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①厂区内尤其是生产车间和仓库严禁吸烟。</w:t>
            </w:r>
          </w:p>
          <w:p w14:paraId="149F292A">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②定期检查设备的运行状况，发现不良问题及时解决；同时注重加强安全教育，提高职工的安全意识和安全防范能力。</w:t>
            </w:r>
          </w:p>
          <w:p w14:paraId="7163EF04">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③按照相关规定设置逃生系统，设置足够并匹配的消防器材及备用应急电源。</w:t>
            </w:r>
          </w:p>
          <w:p w14:paraId="3D1CAE59">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2.消防及火灾报警系统</w:t>
            </w:r>
          </w:p>
          <w:p w14:paraId="5BA7F252">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根据《建筑设计防火规范》和《建筑灭火器配置设计规范》等要求，设置与生产、储存和办公场所相适应的消防设备。设置火灾自动报警系统。</w:t>
            </w:r>
          </w:p>
          <w:p w14:paraId="25654049">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3.个体防护措施</w:t>
            </w:r>
          </w:p>
          <w:p w14:paraId="0D5E047C">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为巡查员工按要求配置安全帽、工作服、工作鞋等。企业安排专人保管防护用品，定期检查和更新，并定期对操作人员进行身体检查，防治职业病。本项目配备常用的医疗器械、药品，并配置洗眼器、呼吸器、氧气瓶、纱布、急救药箱等紧急状况使用的药品。</w:t>
            </w:r>
          </w:p>
          <w:p w14:paraId="59BE888E">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4.风险监测措施</w:t>
            </w:r>
          </w:p>
          <w:p w14:paraId="418E5811">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安装烟气报警装置，专人定期巡查，定期检修设备，可使风险降到最低程度。</w:t>
            </w:r>
          </w:p>
          <w:p w14:paraId="77AC193D">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项目必须严格执行国家的技术规范和操作规程要求，落实各项安全规章制度，加强监控和管理，避免火灾事故的发生。</w:t>
            </w:r>
          </w:p>
          <w:p w14:paraId="72441735">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在采取了本次环评的上述措施后，该项目对周边环境影响可以接受。故该项目对周围环境的环境风险影响较小，在可接受范围之内。</w:t>
            </w:r>
          </w:p>
          <w:p w14:paraId="2270AF63">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（3）风险防范措施</w:t>
            </w:r>
          </w:p>
          <w:p w14:paraId="08651334">
            <w:pPr>
              <w:pStyle w:val="18"/>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为避免因事故性排放而造成的对环境的污染，通过本报告中有关污染事故的影响分析，提高环境污染的风险意识，加强安全生产的管理，制定重大环境事故发生的应急计划以消除事故隐患，提出解决突出性事故的应急办法。</w:t>
            </w:r>
          </w:p>
          <w:p w14:paraId="1E292A58">
            <w:pPr>
              <w:pStyle w:val="1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leftChars="0" w:right="0"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应急事故池的设置</w:t>
            </w:r>
          </w:p>
          <w:p w14:paraId="334CBA07">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由于事故情况下一旦消防水外泄，将很容易渗入地下，造成地下水体污染，进而也可能对地表水水质产生影响。因此应对车间地面进行硬化，并对其设置导流系统等措施，以防止事故情况下排污、排水造成的泄漏，从而通过地表下渗至地下，对地下水造成污染。</w:t>
            </w:r>
          </w:p>
          <w:p w14:paraId="310EB815">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为此，本次评价提出建设单位事故废水需一定容积的应急事故池收集，厂区新建一座应急池，以接纳事故情况下排放的污水，保证事故情况下不向外环境排放污水。在事故结束之后，应急事故池</w:t>
            </w:r>
            <w:r>
              <w:rPr>
                <w:rFonts w:hint="default" w:ascii="Times New Roman" w:hAnsi="Times New Roman" w:eastAsia="宋体" w:cs="Times New Roman"/>
                <w:bCs/>
                <w:color w:val="auto"/>
                <w:sz w:val="24"/>
                <w:lang w:val="en-US" w:eastAsia="zh-CN"/>
              </w:rPr>
              <w:t>内废水</w:t>
            </w:r>
            <w:r>
              <w:rPr>
                <w:rFonts w:hint="default" w:ascii="Times New Roman" w:hAnsi="Times New Roman" w:eastAsia="宋体" w:cs="Times New Roman"/>
                <w:bCs/>
                <w:color w:val="auto"/>
                <w:sz w:val="24"/>
              </w:rPr>
              <w:t>委托</w:t>
            </w:r>
            <w:r>
              <w:rPr>
                <w:rFonts w:hint="default" w:ascii="Times New Roman" w:hAnsi="Times New Roman" w:eastAsia="宋体" w:cs="Times New Roman"/>
                <w:bCs/>
                <w:color w:val="auto"/>
                <w:sz w:val="24"/>
                <w:lang w:eastAsia="zh-CN"/>
              </w:rPr>
              <w:t>其他</w:t>
            </w:r>
            <w:r>
              <w:rPr>
                <w:rFonts w:hint="default" w:ascii="Times New Roman" w:hAnsi="Times New Roman" w:eastAsia="宋体" w:cs="Times New Roman"/>
                <w:bCs/>
                <w:color w:val="auto"/>
                <w:sz w:val="24"/>
                <w:lang w:val="en-US" w:eastAsia="zh-CN"/>
              </w:rPr>
              <w:t>有资质</w:t>
            </w:r>
            <w:r>
              <w:rPr>
                <w:rFonts w:hint="default" w:ascii="Times New Roman" w:hAnsi="Times New Roman" w:eastAsia="宋体" w:cs="Times New Roman"/>
                <w:bCs/>
                <w:color w:val="auto"/>
                <w:sz w:val="24"/>
              </w:rPr>
              <w:t>单位处理。</w:t>
            </w:r>
          </w:p>
          <w:p w14:paraId="24CC061D">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根据《水体污染防控紧急措施设计导则》中对事故应急池大小的规定：</w:t>
            </w:r>
          </w:p>
          <w:p w14:paraId="4E625886">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V总=（V1+V2-V3）max+V4+V5</w:t>
            </w:r>
          </w:p>
          <w:p w14:paraId="642811D4">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注：（V1+V2-V3）max是指对收集系统范围内不同罐组或装置分别计算V1+V2-V3，取其中最大值。</w:t>
            </w:r>
          </w:p>
          <w:p w14:paraId="57F1996E">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V1——收集系统范围内发生事故的一个罐组或一套装置的物料量。</w:t>
            </w:r>
            <w:r>
              <w:rPr>
                <w:rFonts w:hint="default" w:ascii="Times New Roman" w:hAnsi="Times New Roman" w:eastAsia="宋体" w:cs="Times New Roman"/>
                <w:bCs/>
                <w:color w:val="auto"/>
                <w:sz w:val="24"/>
                <w:lang w:val="en-US" w:eastAsia="zh-CN"/>
              </w:rPr>
              <w:t>本项目不存在</w:t>
            </w:r>
            <w:r>
              <w:rPr>
                <w:rFonts w:hint="default" w:ascii="Times New Roman" w:hAnsi="Times New Roman" w:eastAsia="宋体" w:cs="Times New Roman"/>
                <w:bCs/>
                <w:color w:val="auto"/>
                <w:sz w:val="24"/>
              </w:rPr>
              <w:t>一个罐组或一套装置的物料量</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故</w:t>
            </w:r>
            <w:r>
              <w:rPr>
                <w:rFonts w:hint="default" w:ascii="Times New Roman" w:hAnsi="Times New Roman" w:eastAsia="宋体" w:cs="Times New Roman"/>
                <w:bCs/>
                <w:color w:val="auto"/>
                <w:sz w:val="24"/>
              </w:rPr>
              <w:t>V1=0。</w:t>
            </w:r>
          </w:p>
          <w:p w14:paraId="6BAFA737">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V2——发生事故的储罐或装置的消防水量，m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w:t>
            </w:r>
          </w:p>
          <w:p w14:paraId="0718E9C0">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的消防用水量主要为室内消防用水量。由于项目内的生产车间、原辅材料仓库、危废/固废暂存室均位于室内，因此本次评价仅关注室内消防用水排放的部分。对照《消防给水及消火栓系统技术规范》（GB50973-2014）、《化工建设项目环境保护设计规范》（GB50483-2009）、《事故状态下水体污染的预防与控制技术要求》（Q/SY1190-2009），以及中国石化安环</w:t>
            </w:r>
            <w:r>
              <w:rPr>
                <w:rFonts w:hint="default" w:ascii="Times New Roman" w:hAnsi="Times New Roman" w:eastAsia="宋体" w:cs="Times New Roman"/>
                <w:bCs/>
                <w:color w:val="auto"/>
                <w:sz w:val="24"/>
                <w:lang w:eastAsia="zh-CN"/>
              </w:rPr>
              <w:t>〔2006〕10号“</w:t>
            </w:r>
            <w:r>
              <w:rPr>
                <w:rFonts w:hint="default" w:ascii="Times New Roman" w:hAnsi="Times New Roman" w:eastAsia="宋体" w:cs="Times New Roman"/>
                <w:bCs/>
                <w:color w:val="auto"/>
                <w:sz w:val="24"/>
              </w:rPr>
              <w:t>关于印发《水体环境风险防控要点》（试行）的通知</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及</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水体污染防控紧急措施设计导则</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，来确定事故应急池容量。根据《消防给水及消火栓系统技术规范》（GB50973-2014）表3.5.2建筑物室内消火栓设计流量，本项目生产车间火灾危险性等级为</w:t>
            </w:r>
            <w:r>
              <w:rPr>
                <w:rFonts w:hint="default" w:ascii="Times New Roman" w:hAnsi="Times New Roman" w:eastAsia="宋体" w:cs="Times New Roman"/>
                <w:bCs/>
                <w:color w:val="auto"/>
                <w:sz w:val="24"/>
                <w:lang w:val="en-US" w:eastAsia="zh-CN"/>
              </w:rPr>
              <w:t>丁</w:t>
            </w:r>
            <w:r>
              <w:rPr>
                <w:rFonts w:hint="default" w:ascii="Times New Roman" w:hAnsi="Times New Roman" w:eastAsia="宋体" w:cs="Times New Roman"/>
                <w:bCs/>
                <w:color w:val="auto"/>
                <w:sz w:val="24"/>
              </w:rPr>
              <w:t>类，因此室内消防栓设计流量为</w:t>
            </w:r>
            <w:r>
              <w:rPr>
                <w:rFonts w:hint="default"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en-US" w:eastAsia="zh-CN"/>
              </w:rPr>
              <w:t>0</w:t>
            </w:r>
            <w:r>
              <w:rPr>
                <w:rFonts w:hint="default" w:ascii="Times New Roman" w:hAnsi="Times New Roman" w:eastAsia="宋体" w:cs="Times New Roman"/>
                <w:bCs/>
                <w:color w:val="auto"/>
                <w:sz w:val="24"/>
              </w:rPr>
              <w:t>L/s，同时使用消防水枪数为</w:t>
            </w: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rPr>
              <w:t>，因此项目室内消防栓设计总流量为</w:t>
            </w:r>
            <w:r>
              <w:rPr>
                <w:rFonts w:hint="eastAsia" w:ascii="Times New Roman" w:hAnsi="Times New Roman" w:eastAsia="宋体" w:cs="Times New Roman"/>
                <w:bCs/>
                <w:color w:val="auto"/>
                <w:sz w:val="24"/>
                <w:lang w:val="en-US" w:eastAsia="zh-CN"/>
              </w:rPr>
              <w:t>20</w:t>
            </w:r>
            <w:r>
              <w:rPr>
                <w:rFonts w:hint="default" w:ascii="Times New Roman" w:hAnsi="Times New Roman" w:eastAsia="宋体" w:cs="Times New Roman"/>
                <w:bCs/>
                <w:color w:val="auto"/>
                <w:sz w:val="24"/>
              </w:rPr>
              <w:t>L/s，同一时间内的火灾次数为1次，一次火灾延续时间为60min计算，消火栓消防用水量约</w:t>
            </w:r>
            <w:r>
              <w:rPr>
                <w:rFonts w:hint="eastAsia" w:ascii="Times New Roman" w:hAnsi="Times New Roman" w:eastAsia="宋体" w:cs="Times New Roman"/>
                <w:bCs/>
                <w:color w:val="auto"/>
                <w:sz w:val="24"/>
                <w:lang w:val="en-US" w:eastAsia="zh-CN"/>
              </w:rPr>
              <w:t>72</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w:t>
            </w:r>
          </w:p>
          <w:p w14:paraId="749EC5CD">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V3——发生事故时可以</w:t>
            </w:r>
            <w:r>
              <w:rPr>
                <w:rFonts w:hint="default" w:ascii="Times New Roman" w:hAnsi="Times New Roman" w:eastAsia="宋体" w:cs="Times New Roman"/>
                <w:bCs/>
                <w:color w:val="auto"/>
                <w:sz w:val="24"/>
                <w:lang w:eastAsia="zh-CN"/>
              </w:rPr>
              <w:t>传输</w:t>
            </w:r>
            <w:r>
              <w:rPr>
                <w:rFonts w:hint="default" w:ascii="Times New Roman" w:hAnsi="Times New Roman" w:eastAsia="宋体" w:cs="Times New Roman"/>
                <w:bCs/>
                <w:color w:val="auto"/>
                <w:sz w:val="24"/>
              </w:rPr>
              <w:t>到其他储存或处理设施的物料量，m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。按最坏情况考虑，V3为0m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w:t>
            </w:r>
          </w:p>
          <w:p w14:paraId="3583ECD8">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V4——发生事故时仍必须进入该收集系统的生产废水量，m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。根据项目情况，本项目</w:t>
            </w:r>
            <w:r>
              <w:rPr>
                <w:rFonts w:hint="default" w:ascii="Times New Roman" w:hAnsi="Times New Roman" w:eastAsia="宋体" w:cs="Times New Roman"/>
                <w:bCs/>
                <w:color w:val="auto"/>
                <w:sz w:val="24"/>
                <w:lang w:eastAsia="zh-CN"/>
              </w:rPr>
              <w:t>生产废水</w:t>
            </w:r>
            <w:r>
              <w:rPr>
                <w:rFonts w:hint="eastAsia" w:ascii="Times New Roman" w:hAnsi="Times New Roman" w:eastAsia="宋体" w:cs="Times New Roman"/>
                <w:bCs/>
                <w:color w:val="auto"/>
                <w:sz w:val="24"/>
                <w:lang w:val="en-US" w:eastAsia="zh-CN"/>
              </w:rPr>
              <w:t>经沉淀池循环使用</w:t>
            </w:r>
            <w:r>
              <w:rPr>
                <w:rFonts w:hint="default" w:ascii="Times New Roman" w:hAnsi="Times New Roman" w:eastAsia="宋体" w:cs="Times New Roman"/>
                <w:bCs/>
                <w:color w:val="auto"/>
                <w:sz w:val="24"/>
              </w:rPr>
              <w:t>。故发生事故时进入该收集系统的生产废水量V4取</w:t>
            </w:r>
            <w:r>
              <w:rPr>
                <w:rFonts w:hint="eastAsia" w:ascii="Times New Roman" w:hAnsi="Times New Roman" w:eastAsia="宋体" w:cs="Times New Roman"/>
                <w:bCs/>
                <w:color w:val="auto"/>
                <w:sz w:val="24"/>
                <w:lang w:val="en-US" w:eastAsia="zh-CN"/>
              </w:rPr>
              <w:t>0</w:t>
            </w:r>
            <w:r>
              <w:rPr>
                <w:rFonts w:hint="default" w:ascii="Times New Roman" w:hAnsi="Times New Roman" w:eastAsia="宋体" w:cs="Times New Roman"/>
                <w:bCs/>
                <w:color w:val="auto"/>
                <w:sz w:val="24"/>
              </w:rPr>
              <w:t xml:space="preserve"> 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w:t>
            </w:r>
          </w:p>
          <w:p w14:paraId="6A9C0B3C">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V5——发生事故时可能进入该收集系统的降雨量，m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。由于本项目生产车间均为厂房，不存在露天储存和露天生产，因此V5=0m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w:t>
            </w:r>
          </w:p>
          <w:p w14:paraId="2D0131B0">
            <w:pPr>
              <w:adjustRightInd w:val="0"/>
              <w:snapToGrid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bCs/>
                <w:color w:val="auto"/>
                <w:sz w:val="24"/>
              </w:rPr>
              <w:t>经计算，事故废水总量为</w:t>
            </w:r>
            <w:r>
              <w:rPr>
                <w:rFonts w:hint="eastAsia" w:ascii="Times New Roman" w:hAnsi="Times New Roman" w:eastAsia="宋体" w:cs="Times New Roman"/>
                <w:bCs/>
                <w:color w:val="auto"/>
                <w:sz w:val="24"/>
                <w:lang w:val="en-US" w:eastAsia="zh-CN"/>
              </w:rPr>
              <w:t>72</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根据计算本项目需建设事故池容积为</w:t>
            </w:r>
            <w:r>
              <w:rPr>
                <w:rFonts w:hint="eastAsia" w:ascii="Times New Roman" w:hAnsi="Times New Roman" w:eastAsia="宋体" w:cs="Times New Roman"/>
                <w:bCs/>
                <w:color w:val="auto"/>
                <w:sz w:val="24"/>
                <w:lang w:val="en-US" w:eastAsia="zh-CN"/>
              </w:rPr>
              <w:t>72</w:t>
            </w:r>
            <w:r>
              <w:rPr>
                <w:rFonts w:hint="default" w:ascii="Times New Roman" w:hAnsi="Times New Roman" w:eastAsia="宋体" w:cs="Times New Roman"/>
                <w:bCs/>
                <w:color w:val="auto"/>
                <w:sz w:val="24"/>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eastAsia="zh-CN"/>
              </w:rPr>
              <w:t>。</w:t>
            </w:r>
          </w:p>
          <w:p w14:paraId="5676A045">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kern w:val="2"/>
                <w:sz w:val="24"/>
                <w:szCs w:val="24"/>
                <w:lang w:val="en-US" w:eastAsia="zh-CN" w:bidi="ar-SA"/>
              </w:rPr>
              <w:t>（七）</w:t>
            </w:r>
            <w:r>
              <w:rPr>
                <w:rFonts w:hint="default" w:ascii="Times New Roman" w:hAnsi="Times New Roman" w:eastAsia="宋体" w:cs="Times New Roman"/>
                <w:b/>
                <w:bCs w:val="0"/>
                <w:color w:val="auto"/>
                <w:sz w:val="24"/>
                <w:szCs w:val="24"/>
                <w:lang w:val="en-US" w:eastAsia="zh-CN"/>
              </w:rPr>
              <w:t>环保投资</w:t>
            </w:r>
          </w:p>
          <w:p w14:paraId="04982AB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表4-1</w:t>
            </w:r>
            <w:r>
              <w:rPr>
                <w:rFonts w:hint="eastAsia" w:cs="Times New Roman"/>
                <w:b/>
                <w:bCs/>
                <w:color w:val="auto"/>
                <w:lang w:val="en-US" w:eastAsia="zh-CN"/>
              </w:rPr>
              <w:t>5</w:t>
            </w:r>
            <w:r>
              <w:rPr>
                <w:rFonts w:hint="default" w:ascii="Times New Roman" w:hAnsi="Times New Roman" w:eastAsia="宋体" w:cs="Times New Roman"/>
                <w:b/>
                <w:bCs/>
                <w:color w:val="auto"/>
                <w:lang w:val="en-US" w:eastAsia="zh-CN"/>
              </w:rPr>
              <w:t>环保投资一览表</w:t>
            </w:r>
          </w:p>
          <w:tbl>
            <w:tblPr>
              <w:tblStyle w:val="47"/>
              <w:tblW w:w="82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6"/>
              <w:gridCol w:w="1613"/>
              <w:gridCol w:w="3577"/>
              <w:gridCol w:w="1997"/>
            </w:tblGrid>
            <w:tr w14:paraId="19009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086E">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序号</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40D4">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污染物</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9AC6">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环保措施</w:t>
                  </w:r>
                </w:p>
              </w:tc>
              <w:tc>
                <w:tcPr>
                  <w:tcW w:w="1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6522">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投资金额（万元）</w:t>
                  </w:r>
                </w:p>
              </w:tc>
            </w:tr>
            <w:tr w14:paraId="5C3F2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98AC">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27CD">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废气</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8783">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袋式除尘</w:t>
                  </w:r>
                </w:p>
              </w:tc>
              <w:tc>
                <w:tcPr>
                  <w:tcW w:w="1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0B11">
                  <w:pPr>
                    <w:pStyle w:val="1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2A9E1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A4E9">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D023">
                  <w:pPr>
                    <w:pStyle w:val="1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噪声</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8623">
                  <w:pPr>
                    <w:pStyle w:val="1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选用低噪声设备，采取隔声、消声、减振等</w:t>
                  </w:r>
                </w:p>
              </w:tc>
              <w:tc>
                <w:tcPr>
                  <w:tcW w:w="1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D960">
                  <w:pPr>
                    <w:pStyle w:val="1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5</w:t>
                  </w:r>
                </w:p>
              </w:tc>
            </w:tr>
            <w:tr w14:paraId="6D2A8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CE97">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3208">
                  <w:pPr>
                    <w:pStyle w:val="1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地下水、土壤</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9233">
                  <w:pPr>
                    <w:pStyle w:val="1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危废暂存间按重点防渗区要求进行防渗处理；将</w:t>
                  </w:r>
                  <w:r>
                    <w:rPr>
                      <w:rFonts w:hint="eastAsia" w:ascii="Times New Roman" w:hAnsi="Times New Roman" w:eastAsia="宋体" w:cs="Times New Roman"/>
                      <w:color w:val="auto"/>
                      <w:sz w:val="21"/>
                      <w:szCs w:val="21"/>
                      <w:lang w:val="en-US" w:eastAsia="zh-CN"/>
                    </w:rPr>
                    <w:t>搅拌车</w:t>
                  </w:r>
                  <w:r>
                    <w:rPr>
                      <w:rFonts w:hint="default" w:ascii="Times New Roman" w:hAnsi="Times New Roman" w:eastAsia="宋体" w:cs="Times New Roman"/>
                      <w:color w:val="auto"/>
                      <w:sz w:val="21"/>
                      <w:szCs w:val="21"/>
                      <w:lang w:val="en-US" w:eastAsia="zh-CN"/>
                    </w:rPr>
                    <w:t>间按一般防渗区要求进行防渗处理；其他区域按简单防渗区进行防渗处理。</w:t>
                  </w:r>
                  <w:r>
                    <w:rPr>
                      <w:rFonts w:hint="eastAsia" w:cs="Times New Roman"/>
                      <w:color w:val="auto"/>
                      <w:sz w:val="21"/>
                      <w:szCs w:val="21"/>
                      <w:lang w:val="en-US" w:eastAsia="zh-CN"/>
                    </w:rPr>
                    <w:t>新建事故池。</w:t>
                  </w:r>
                </w:p>
              </w:tc>
              <w:tc>
                <w:tcPr>
                  <w:tcW w:w="1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0541">
                  <w:pPr>
                    <w:pStyle w:val="1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10</w:t>
                  </w:r>
                </w:p>
              </w:tc>
            </w:tr>
            <w:tr w14:paraId="3B61D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37CA">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11D5">
                  <w:pPr>
                    <w:pStyle w:val="1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环境风险</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17D7">
                  <w:pPr>
                    <w:pStyle w:val="1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配备应急物资、编制应急预案、开展应急培训、应急演练等</w:t>
                  </w:r>
                </w:p>
              </w:tc>
              <w:tc>
                <w:tcPr>
                  <w:tcW w:w="1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DDD9">
                  <w:pPr>
                    <w:pStyle w:val="1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10</w:t>
                  </w:r>
                </w:p>
              </w:tc>
            </w:tr>
            <w:tr w14:paraId="35532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6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236796">
                  <w:pPr>
                    <w:pStyle w:val="1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合计</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top"/>
                </w:tcPr>
                <w:p w14:paraId="73B9FACA">
                  <w:pPr>
                    <w:pStyle w:val="15"/>
                    <w:jc w:val="center"/>
                    <w:rPr>
                      <w:rFonts w:hint="default" w:ascii="Times New Roman" w:hAnsi="Times New Roman" w:eastAsia="宋体" w:cs="Times New Roman"/>
                      <w:color w:val="auto"/>
                      <w:sz w:val="21"/>
                      <w:szCs w:val="21"/>
                      <w:lang w:eastAsia="zh-CN"/>
                    </w:rPr>
                  </w:pPr>
                </w:p>
              </w:tc>
              <w:tc>
                <w:tcPr>
                  <w:tcW w:w="1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9504">
                  <w:pPr>
                    <w:pStyle w:val="15"/>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r>
          </w:tbl>
          <w:p w14:paraId="2F5279C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（八）环评与排污许可联动</w:t>
            </w:r>
          </w:p>
          <w:p w14:paraId="0B4223D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根据安徽省生态环境厅文件2021年</w:t>
            </w:r>
            <w:r>
              <w:rPr>
                <w:rFonts w:hint="default" w:ascii="Times New Roman" w:hAnsi="Times New Roman" w:eastAsia="宋体" w:cs="Times New Roman"/>
                <w:color w:val="auto"/>
                <w:sz w:val="24"/>
                <w:lang w:eastAsia="zh-CN"/>
              </w:rPr>
              <w:t>1月30日</w:t>
            </w:r>
            <w:r>
              <w:rPr>
                <w:rFonts w:hint="default" w:ascii="Times New Roman" w:hAnsi="Times New Roman" w:eastAsia="宋体" w:cs="Times New Roman"/>
                <w:color w:val="auto"/>
                <w:sz w:val="24"/>
              </w:rPr>
              <w:t>《关于统筹做好固定污染源排污许可日常监管工作的通知》皖环发</w:t>
            </w:r>
            <w:r>
              <w:rPr>
                <w:rFonts w:hint="default" w:ascii="Times New Roman" w:hAnsi="Times New Roman" w:eastAsia="宋体" w:cs="Times New Roman"/>
                <w:color w:val="auto"/>
                <w:sz w:val="24"/>
                <w:lang w:eastAsia="zh-CN"/>
              </w:rPr>
              <w:t>〔2021〕7号</w:t>
            </w:r>
            <w:r>
              <w:rPr>
                <w:rFonts w:hint="default" w:ascii="Times New Roman" w:hAnsi="Times New Roman" w:eastAsia="宋体" w:cs="Times New Roman"/>
                <w:color w:val="auto"/>
                <w:sz w:val="24"/>
              </w:rPr>
              <w:t>文件内容：二、主要任务——第（七）条积极探索排污许可与环评制度的联动试点中——属于现行《固定污染源排污许可分类管理名录》内重点管理和简化管理的行业，建设单位在组织编制建设项目环境影响报告书</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表</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时，可结合相应行业排污许可证申请与核发技术规范，在环评文件中一并明确</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建设项目环境影响评价与排污许可联动内容</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和《建设项目排污许可申请与填报信息表》，生态环境部门在环评文件受理和审批过程中同步审核。建设单位在实际排污行为发生前申领排污许可证，应按照项目实际建设情况，结合环评内容，填报排污许可申请材料；在编制自主验收报告时，应专章分析排污许可管理要求的落实情况。排污单位应依法开展排污许可证申领或排污许可登记，落实主体责任。排污单位应切实增强自行申报的主动性，并对申报内容的真实性、准确性、规范性负责，牢固树立</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持证排污、按证排污</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的守法意识。</w:t>
            </w:r>
          </w:p>
          <w:p w14:paraId="3ADA7439">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color w:val="auto"/>
                <w:sz w:val="24"/>
              </w:rPr>
              <w:t>根据《固定污染源排污许可分类管理名录》，本项目所属行业类别为</w:t>
            </w:r>
            <w:r>
              <w:rPr>
                <w:rFonts w:hint="eastAsia" w:cs="Times New Roman"/>
                <w:color w:val="auto"/>
                <w:sz w:val="24"/>
                <w:szCs w:val="24"/>
                <w:lang w:val="en-US" w:eastAsia="zh-CN"/>
              </w:rPr>
              <w:t>二十五、非金属矿物制品业 30</w:t>
            </w:r>
            <w:r>
              <w:rPr>
                <w:rFonts w:hint="default" w:ascii="Times New Roman" w:hAnsi="Times New Roman" w:eastAsia="宋体" w:cs="Times New Roman"/>
                <w:color w:val="auto"/>
                <w:sz w:val="24"/>
                <w:szCs w:val="24"/>
                <w:lang w:val="en-US" w:eastAsia="zh-CN"/>
              </w:rPr>
              <w:t xml:space="preserve"> 93、</w:t>
            </w:r>
            <w:r>
              <w:rPr>
                <w:rFonts w:hint="eastAsia" w:cs="Times New Roman"/>
                <w:color w:val="auto"/>
                <w:sz w:val="24"/>
                <w:szCs w:val="24"/>
                <w:lang w:val="en-US" w:eastAsia="zh-CN"/>
              </w:rPr>
              <w:t>63.水泥、石灰和石膏制造301，石膏、水泥制品及类似制品制造302</w:t>
            </w:r>
            <w:r>
              <w:rPr>
                <w:rFonts w:hint="default" w:ascii="Times New Roman" w:hAnsi="Times New Roman" w:eastAsia="宋体" w:cs="Times New Roman"/>
                <w:color w:val="auto"/>
                <w:sz w:val="24"/>
                <w:szCs w:val="24"/>
                <w:lang w:val="en-US" w:eastAsia="zh-CN"/>
              </w:rPr>
              <w:t>中其他，属于登记管理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原项目已于2020年11月24日进行排污登记。根据《排污许可管理条例》第十五条，本项目应当重新进行排污登记。</w:t>
            </w:r>
          </w:p>
        </w:tc>
      </w:tr>
    </w:tbl>
    <w:p w14:paraId="6400EB1B">
      <w:pPr>
        <w:keepLines w:val="0"/>
        <w:pageBreakBefore w:val="0"/>
        <w:kinsoku/>
        <w:topLinePunct w:val="0"/>
        <w:bidi w:val="0"/>
        <w:adjustRightInd w:val="0"/>
        <w:snapToGrid w:val="0"/>
        <w:spacing w:line="360" w:lineRule="auto"/>
        <w:rPr>
          <w:rFonts w:hint="default" w:ascii="Times New Roman" w:hAnsi="Times New Roman" w:eastAsia="宋体" w:cs="Times New Roman"/>
          <w:b/>
          <w:kern w:val="0"/>
          <w:sz w:val="28"/>
          <w:szCs w:val="28"/>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002470C7">
      <w:pPr>
        <w:pStyle w:val="43"/>
        <w:keepLines w:val="0"/>
        <w:pageBreakBefore w:val="0"/>
        <w:kinsoku/>
        <w:topLinePunct w:val="0"/>
        <w:bidi w:val="0"/>
        <w:adjustRightInd w:val="0"/>
        <w:snapToGrid w:val="0"/>
        <w:spacing w:before="0" w:beforeAutospacing="0" w:after="0" w:afterAutospacing="0"/>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五、</w:t>
      </w:r>
      <w:bookmarkStart w:id="3" w:name="_Hlk54167917"/>
      <w:r>
        <w:rPr>
          <w:rFonts w:hint="default" w:ascii="Times New Roman" w:hAnsi="Times New Roman" w:eastAsia="宋体" w:cs="Times New Roman"/>
          <w:snapToGrid w:val="0"/>
          <w:color w:val="auto"/>
          <w:sz w:val="30"/>
          <w:szCs w:val="30"/>
        </w:rPr>
        <w:t>环境保护措施监督检查清单</w:t>
      </w:r>
      <w:bookmarkEnd w:id="3"/>
    </w:p>
    <w:tbl>
      <w:tblPr>
        <w:tblStyle w:val="4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509"/>
        <w:gridCol w:w="1207"/>
        <w:gridCol w:w="2320"/>
        <w:gridCol w:w="2264"/>
      </w:tblGrid>
      <w:tr w14:paraId="4AB3E3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tcBorders>
              <w:tl2br w:val="single" w:color="auto" w:sz="4" w:space="0"/>
            </w:tcBorders>
            <w:noWrap w:val="0"/>
            <w:vAlign w:val="top"/>
          </w:tcPr>
          <w:p w14:paraId="03A48994">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内容</w:t>
            </w:r>
          </w:p>
          <w:p w14:paraId="0A2D4BCB">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要素</w:t>
            </w:r>
          </w:p>
        </w:tc>
        <w:tc>
          <w:tcPr>
            <w:tcW w:w="1509" w:type="dxa"/>
            <w:noWrap w:val="0"/>
            <w:vAlign w:val="center"/>
          </w:tcPr>
          <w:p w14:paraId="06594F25">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排放口（编号、</w:t>
            </w:r>
          </w:p>
          <w:p w14:paraId="57FD9404">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名称）/污染源</w:t>
            </w:r>
          </w:p>
        </w:tc>
        <w:tc>
          <w:tcPr>
            <w:tcW w:w="1207" w:type="dxa"/>
            <w:noWrap w:val="0"/>
            <w:vAlign w:val="center"/>
          </w:tcPr>
          <w:p w14:paraId="6C030561">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污染物项目</w:t>
            </w:r>
          </w:p>
        </w:tc>
        <w:tc>
          <w:tcPr>
            <w:tcW w:w="2320" w:type="dxa"/>
            <w:noWrap w:val="0"/>
            <w:vAlign w:val="center"/>
          </w:tcPr>
          <w:p w14:paraId="16AED909">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环境保护措施</w:t>
            </w:r>
          </w:p>
        </w:tc>
        <w:tc>
          <w:tcPr>
            <w:tcW w:w="2264" w:type="dxa"/>
            <w:noWrap w:val="0"/>
            <w:vAlign w:val="center"/>
          </w:tcPr>
          <w:p w14:paraId="37D0205C">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执行标准</w:t>
            </w:r>
          </w:p>
        </w:tc>
      </w:tr>
      <w:tr w14:paraId="49439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restart"/>
            <w:noWrap w:val="0"/>
            <w:vAlign w:val="center"/>
          </w:tcPr>
          <w:p w14:paraId="132143BA">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大气环境</w:t>
            </w:r>
          </w:p>
        </w:tc>
        <w:tc>
          <w:tcPr>
            <w:tcW w:w="1509" w:type="dxa"/>
            <w:noWrap w:val="0"/>
            <w:vAlign w:val="center"/>
          </w:tcPr>
          <w:p w14:paraId="62AED095">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2</w:t>
            </w:r>
          </w:p>
        </w:tc>
        <w:tc>
          <w:tcPr>
            <w:tcW w:w="1207" w:type="dxa"/>
            <w:noWrap w:val="0"/>
            <w:vAlign w:val="center"/>
          </w:tcPr>
          <w:p w14:paraId="6F86AFDC">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2320" w:type="dxa"/>
            <w:noWrap w:val="0"/>
            <w:vAlign w:val="center"/>
          </w:tcPr>
          <w:p w14:paraId="29EC6B74">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经布袋除尘器处理后15米排气筒（DA00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）排放</w:t>
            </w:r>
          </w:p>
        </w:tc>
        <w:tc>
          <w:tcPr>
            <w:tcW w:w="2264" w:type="dxa"/>
            <w:noWrap w:val="0"/>
            <w:vAlign w:val="center"/>
          </w:tcPr>
          <w:p w14:paraId="071C1105">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《水泥工业大气污染物排放标准》（DB34/3576-2020）</w:t>
            </w:r>
          </w:p>
        </w:tc>
      </w:tr>
      <w:tr w14:paraId="7B5BC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noWrap w:val="0"/>
            <w:vAlign w:val="center"/>
          </w:tcPr>
          <w:p w14:paraId="41A2E93D">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p>
        </w:tc>
        <w:tc>
          <w:tcPr>
            <w:tcW w:w="1509" w:type="dxa"/>
            <w:noWrap w:val="0"/>
            <w:vAlign w:val="center"/>
          </w:tcPr>
          <w:p w14:paraId="0E30E9F4">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w:t>
            </w:r>
          </w:p>
        </w:tc>
        <w:tc>
          <w:tcPr>
            <w:tcW w:w="1207" w:type="dxa"/>
            <w:noWrap w:val="0"/>
            <w:vAlign w:val="center"/>
          </w:tcPr>
          <w:p w14:paraId="566E10C5">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2320" w:type="dxa"/>
            <w:noWrap w:val="0"/>
            <w:vAlign w:val="center"/>
          </w:tcPr>
          <w:p w14:paraId="2DAC35EC">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密闭</w:t>
            </w:r>
            <w:r>
              <w:rPr>
                <w:rFonts w:hint="eastAsia" w:ascii="Times New Roman" w:hAnsi="Times New Roman" w:eastAsia="宋体" w:cs="Times New Roman"/>
                <w:color w:val="auto"/>
                <w:sz w:val="21"/>
                <w:szCs w:val="21"/>
                <w:lang w:val="en-US" w:eastAsia="zh-CN"/>
              </w:rPr>
              <w:t>车间</w:t>
            </w:r>
          </w:p>
        </w:tc>
        <w:tc>
          <w:tcPr>
            <w:tcW w:w="2264" w:type="dxa"/>
            <w:noWrap w:val="0"/>
            <w:vAlign w:val="center"/>
          </w:tcPr>
          <w:p w14:paraId="1FACEDE9">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《水泥工业大气污染物排放标准》（DB34/3576-2020）</w:t>
            </w:r>
          </w:p>
        </w:tc>
      </w:tr>
      <w:tr w14:paraId="306E0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noWrap w:val="0"/>
            <w:vAlign w:val="center"/>
          </w:tcPr>
          <w:p w14:paraId="0106F096">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地表水环境</w:t>
            </w:r>
          </w:p>
        </w:tc>
        <w:tc>
          <w:tcPr>
            <w:tcW w:w="1509" w:type="dxa"/>
            <w:noWrap w:val="0"/>
            <w:vAlign w:val="center"/>
          </w:tcPr>
          <w:p w14:paraId="128B9268">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1207" w:type="dxa"/>
            <w:noWrap w:val="0"/>
            <w:vAlign w:val="center"/>
          </w:tcPr>
          <w:p w14:paraId="62519F3D">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320" w:type="dxa"/>
            <w:noWrap w:val="0"/>
            <w:vAlign w:val="center"/>
          </w:tcPr>
          <w:p w14:paraId="01F15EF8">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化粪池处理后</w:t>
            </w:r>
            <w:r>
              <w:rPr>
                <w:rFonts w:hint="default" w:ascii="Times New Roman" w:hAnsi="Times New Roman" w:eastAsia="宋体" w:cs="Times New Roman"/>
                <w:b w:val="0"/>
                <w:bCs/>
                <w:color w:val="auto"/>
                <w:sz w:val="21"/>
                <w:szCs w:val="21"/>
                <w:lang w:val="en-US" w:eastAsia="zh-CN"/>
              </w:rPr>
              <w:t>定期清掏，不外排</w:t>
            </w:r>
            <w:r>
              <w:rPr>
                <w:rFonts w:hint="eastAsia" w:ascii="Times New Roman" w:hAnsi="Times New Roman" w:eastAsia="宋体" w:cs="Times New Roman"/>
                <w:b w:val="0"/>
                <w:bCs/>
                <w:color w:val="auto"/>
                <w:sz w:val="21"/>
                <w:szCs w:val="21"/>
                <w:lang w:val="en-US" w:eastAsia="zh-CN"/>
              </w:rPr>
              <w:t>；车辆清洗废水经沉淀池处理后循环使用，不外排。</w:t>
            </w:r>
          </w:p>
        </w:tc>
        <w:tc>
          <w:tcPr>
            <w:tcW w:w="2264" w:type="dxa"/>
            <w:noWrap w:val="0"/>
            <w:vAlign w:val="center"/>
          </w:tcPr>
          <w:p w14:paraId="12CDB218">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不外排</w:t>
            </w:r>
          </w:p>
        </w:tc>
      </w:tr>
      <w:tr w14:paraId="2AA98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noWrap w:val="0"/>
            <w:vAlign w:val="center"/>
          </w:tcPr>
          <w:p w14:paraId="61AE59B4">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声环境</w:t>
            </w:r>
          </w:p>
        </w:tc>
        <w:tc>
          <w:tcPr>
            <w:tcW w:w="1509" w:type="dxa"/>
            <w:noWrap w:val="0"/>
            <w:vAlign w:val="center"/>
          </w:tcPr>
          <w:p w14:paraId="5E9FC3C8">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p>
        </w:tc>
        <w:tc>
          <w:tcPr>
            <w:tcW w:w="1207" w:type="dxa"/>
            <w:noWrap w:val="0"/>
            <w:vAlign w:val="center"/>
          </w:tcPr>
          <w:p w14:paraId="11618C59">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2320" w:type="dxa"/>
            <w:noWrap w:val="0"/>
            <w:vAlign w:val="center"/>
          </w:tcPr>
          <w:p w14:paraId="332051D1">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①合理布局；②基础减震；③建筑隔声</w:t>
            </w:r>
          </w:p>
        </w:tc>
        <w:tc>
          <w:tcPr>
            <w:tcW w:w="2264" w:type="dxa"/>
            <w:noWrap w:val="0"/>
            <w:vAlign w:val="center"/>
          </w:tcPr>
          <w:p w14:paraId="7D2167A2">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 12348-2008）2类标准</w:t>
            </w:r>
          </w:p>
        </w:tc>
      </w:tr>
      <w:tr w14:paraId="69284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noWrap w:val="0"/>
            <w:vAlign w:val="center"/>
          </w:tcPr>
          <w:p w14:paraId="3EB15484">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电磁辐射</w:t>
            </w:r>
          </w:p>
        </w:tc>
        <w:tc>
          <w:tcPr>
            <w:tcW w:w="1509" w:type="dxa"/>
            <w:noWrap w:val="0"/>
            <w:vAlign w:val="center"/>
          </w:tcPr>
          <w:p w14:paraId="5F7676DA">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p>
        </w:tc>
        <w:tc>
          <w:tcPr>
            <w:tcW w:w="1207" w:type="dxa"/>
            <w:noWrap w:val="0"/>
            <w:vAlign w:val="center"/>
          </w:tcPr>
          <w:p w14:paraId="544DD9B2">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p>
        </w:tc>
        <w:tc>
          <w:tcPr>
            <w:tcW w:w="2320" w:type="dxa"/>
            <w:noWrap w:val="0"/>
            <w:vAlign w:val="center"/>
          </w:tcPr>
          <w:p w14:paraId="183F1430">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p>
        </w:tc>
        <w:tc>
          <w:tcPr>
            <w:tcW w:w="2264" w:type="dxa"/>
            <w:noWrap w:val="0"/>
            <w:vAlign w:val="center"/>
          </w:tcPr>
          <w:p w14:paraId="70FCC20D">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p>
        </w:tc>
      </w:tr>
      <w:tr w14:paraId="67AF3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restart"/>
            <w:noWrap w:val="0"/>
            <w:vAlign w:val="center"/>
          </w:tcPr>
          <w:p w14:paraId="0F871E25">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固体废物</w:t>
            </w:r>
          </w:p>
        </w:tc>
        <w:tc>
          <w:tcPr>
            <w:tcW w:w="1509" w:type="dxa"/>
            <w:shd w:val="clear" w:color="auto" w:fill="auto"/>
            <w:noWrap w:val="0"/>
            <w:vAlign w:val="center"/>
          </w:tcPr>
          <w:p w14:paraId="333F4C32">
            <w:pPr>
              <w:keepLines w:val="0"/>
              <w:pageBreakBefore w:val="0"/>
              <w:kinsoku/>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废气处理收集粉尘</w:t>
            </w:r>
          </w:p>
        </w:tc>
        <w:tc>
          <w:tcPr>
            <w:tcW w:w="5791" w:type="dxa"/>
            <w:gridSpan w:val="3"/>
            <w:shd w:val="clear" w:color="auto" w:fill="auto"/>
            <w:noWrap w:val="0"/>
            <w:vAlign w:val="center"/>
          </w:tcPr>
          <w:p w14:paraId="268CCF3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一般工业固体废物暂存</w:t>
            </w:r>
            <w:r>
              <w:rPr>
                <w:rFonts w:hint="eastAsia" w:cs="Times New Roman"/>
                <w:color w:val="auto"/>
                <w:kern w:val="2"/>
                <w:sz w:val="21"/>
                <w:szCs w:val="21"/>
                <w:lang w:val="en-US" w:eastAsia="zh-CN" w:bidi="ar-SA"/>
              </w:rPr>
              <w:t>场所</w:t>
            </w:r>
            <w:r>
              <w:rPr>
                <w:rFonts w:hint="default" w:ascii="Times New Roman" w:hAnsi="Times New Roman" w:eastAsia="宋体" w:cs="Times New Roman"/>
                <w:color w:val="auto"/>
                <w:kern w:val="2"/>
                <w:sz w:val="21"/>
                <w:szCs w:val="21"/>
                <w:lang w:val="en-US" w:eastAsia="zh-CN" w:bidi="ar-SA"/>
              </w:rPr>
              <w:t>暂存，</w:t>
            </w:r>
            <w:r>
              <w:rPr>
                <w:rFonts w:hint="eastAsia" w:cs="Times New Roman"/>
                <w:color w:val="auto"/>
                <w:kern w:val="2"/>
                <w:sz w:val="21"/>
                <w:szCs w:val="21"/>
                <w:lang w:val="en-US" w:eastAsia="zh-CN" w:bidi="ar-SA"/>
              </w:rPr>
              <w:t>回用于生产</w:t>
            </w:r>
            <w:r>
              <w:rPr>
                <w:rFonts w:hint="default" w:ascii="Times New Roman" w:hAnsi="Times New Roman" w:eastAsia="宋体" w:cs="Times New Roman"/>
                <w:color w:val="auto"/>
                <w:kern w:val="2"/>
                <w:sz w:val="21"/>
                <w:szCs w:val="21"/>
                <w:lang w:val="en-US" w:eastAsia="zh-CN" w:bidi="ar-SA"/>
              </w:rPr>
              <w:t>。</w:t>
            </w:r>
          </w:p>
        </w:tc>
      </w:tr>
      <w:tr w14:paraId="459FE4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noWrap w:val="0"/>
            <w:vAlign w:val="center"/>
          </w:tcPr>
          <w:p w14:paraId="197B7FDC">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p>
        </w:tc>
        <w:tc>
          <w:tcPr>
            <w:tcW w:w="1509" w:type="dxa"/>
            <w:shd w:val="clear" w:color="auto" w:fill="auto"/>
            <w:noWrap w:val="0"/>
            <w:vAlign w:val="center"/>
          </w:tcPr>
          <w:p w14:paraId="5DEDFD6B">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废机油、废机油桶</w:t>
            </w:r>
          </w:p>
        </w:tc>
        <w:tc>
          <w:tcPr>
            <w:tcW w:w="5791" w:type="dxa"/>
            <w:gridSpan w:val="3"/>
            <w:shd w:val="clear" w:color="auto" w:fill="auto"/>
            <w:noWrap w:val="0"/>
            <w:vAlign w:val="center"/>
          </w:tcPr>
          <w:p w14:paraId="7700286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统一收集存放于危废间</w:t>
            </w:r>
            <w:r>
              <w:rPr>
                <w:rFonts w:hint="eastAsia" w:eastAsia="宋体" w:cs="Times New Roman"/>
                <w:color w:val="auto"/>
                <w:kern w:val="2"/>
                <w:sz w:val="21"/>
                <w:szCs w:val="21"/>
                <w:lang w:val="en-US" w:eastAsia="zh-CN" w:bidi="ar-SA"/>
              </w:rPr>
              <w:t>，定期交由有资质单位处理</w:t>
            </w:r>
          </w:p>
        </w:tc>
      </w:tr>
      <w:tr w14:paraId="617F3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noWrap w:val="0"/>
            <w:vAlign w:val="center"/>
          </w:tcPr>
          <w:p w14:paraId="578A33C5">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土壤及地下水污染防治措施</w:t>
            </w:r>
          </w:p>
        </w:tc>
        <w:tc>
          <w:tcPr>
            <w:tcW w:w="7300" w:type="dxa"/>
            <w:gridSpan w:val="4"/>
            <w:noWrap w:val="0"/>
            <w:vAlign w:val="center"/>
          </w:tcPr>
          <w:p w14:paraId="5C5DB44C">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危废暂存间</w:t>
            </w:r>
            <w:r>
              <w:rPr>
                <w:rFonts w:hint="default" w:ascii="Times New Roman" w:hAnsi="Times New Roman" w:eastAsia="宋体" w:cs="Times New Roman"/>
                <w:color w:val="auto"/>
                <w:sz w:val="21"/>
                <w:szCs w:val="21"/>
                <w:lang w:val="en-US" w:eastAsia="zh-CN"/>
              </w:rPr>
              <w:t>按重点防渗区要求进行防渗处理；将</w:t>
            </w:r>
            <w:r>
              <w:rPr>
                <w:rFonts w:hint="eastAsia" w:ascii="Times New Roman" w:hAnsi="Times New Roman" w:eastAsia="宋体" w:cs="Times New Roman"/>
                <w:color w:val="auto"/>
                <w:sz w:val="21"/>
                <w:szCs w:val="21"/>
                <w:lang w:val="en-US" w:eastAsia="zh-CN"/>
              </w:rPr>
              <w:t>搅拌</w:t>
            </w:r>
            <w:r>
              <w:rPr>
                <w:rFonts w:hint="default" w:ascii="Times New Roman" w:hAnsi="Times New Roman" w:eastAsia="宋体" w:cs="Times New Roman"/>
                <w:color w:val="auto"/>
                <w:sz w:val="21"/>
                <w:szCs w:val="21"/>
                <w:lang w:val="en-US" w:eastAsia="zh-CN"/>
              </w:rPr>
              <w:t>车间按一般防渗区要求进行防渗处理；其他区域按简单防渗区进行防渗处理。</w:t>
            </w:r>
          </w:p>
        </w:tc>
      </w:tr>
      <w:tr w14:paraId="6B656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noWrap w:val="0"/>
            <w:vAlign w:val="center"/>
          </w:tcPr>
          <w:p w14:paraId="11A9C658">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生态保护措施</w:t>
            </w:r>
          </w:p>
        </w:tc>
        <w:tc>
          <w:tcPr>
            <w:tcW w:w="7300" w:type="dxa"/>
            <w:gridSpan w:val="4"/>
            <w:noWrap w:val="0"/>
            <w:vAlign w:val="center"/>
          </w:tcPr>
          <w:p w14:paraId="4AE6388C">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p>
        </w:tc>
      </w:tr>
      <w:tr w14:paraId="4267D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noWrap w:val="0"/>
            <w:vAlign w:val="center"/>
          </w:tcPr>
          <w:p w14:paraId="089A9AD9">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w:t>
            </w:r>
          </w:p>
          <w:p w14:paraId="13B792C3">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防范措施</w:t>
            </w:r>
          </w:p>
        </w:tc>
        <w:tc>
          <w:tcPr>
            <w:tcW w:w="7300" w:type="dxa"/>
            <w:gridSpan w:val="4"/>
            <w:noWrap w:val="0"/>
            <w:vAlign w:val="center"/>
          </w:tcPr>
          <w:p w14:paraId="7FF9B53E">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①厂房内设置灭火器、应急砂土和吸油毡等，设置数量符合《建筑灭火器配置设计规范》GB50140的规定。</w:t>
            </w:r>
          </w:p>
          <w:p w14:paraId="211C3480">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操作人员必须经过专门培训，严格遵守操作规程；定期检查设备及厂房地面完整性，加强管理，发现问题及时维护检修，避免跑冒滴漏现象发生，避免泄漏事故发生，避免石灰水通过地面裂缝进入土壤及地下水。</w:t>
            </w:r>
          </w:p>
          <w:p w14:paraId="14F603CE">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③一旦发生泄漏事故，应及时清理现场，避免现场出现明火，停止生产，危险解除后，再恢复生产。一旦发生泄漏，建设单位工作人员应立即撤离现场，联络专人，采取应急措施，待事故消除后，再进行作业。</w:t>
            </w:r>
          </w:p>
          <w:p w14:paraId="757F876B">
            <w:pPr>
              <w:keepLines w:val="0"/>
              <w:pageBreakBefore w:val="0"/>
              <w:kinsoku/>
              <w:topLinePunct w:val="0"/>
              <w:bidi w:val="0"/>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color w:val="auto"/>
                <w:sz w:val="21"/>
                <w:szCs w:val="21"/>
                <w:lang w:val="en-US" w:eastAsia="zh-CN"/>
              </w:rPr>
              <w:t>④本项目储存的</w:t>
            </w:r>
            <w:r>
              <w:rPr>
                <w:rFonts w:hint="eastAsia" w:cs="Times New Roman"/>
                <w:color w:val="auto"/>
                <w:sz w:val="21"/>
                <w:szCs w:val="21"/>
                <w:lang w:val="en-US" w:eastAsia="zh-CN"/>
              </w:rPr>
              <w:t>废机油</w:t>
            </w:r>
            <w:r>
              <w:rPr>
                <w:rFonts w:hint="default" w:ascii="Times New Roman" w:hAnsi="Times New Roman" w:eastAsia="宋体" w:cs="Times New Roman"/>
                <w:color w:val="auto"/>
                <w:sz w:val="21"/>
                <w:szCs w:val="21"/>
                <w:lang w:val="en-US" w:eastAsia="zh-CN"/>
              </w:rPr>
              <w:t>应严格进行管理，厂房、存储设施、运输车辆必须设符合规范的标识标牌。</w:t>
            </w:r>
          </w:p>
        </w:tc>
      </w:tr>
      <w:tr w14:paraId="28062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noWrap w:val="0"/>
            <w:vAlign w:val="center"/>
          </w:tcPr>
          <w:p w14:paraId="2A607D66">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其他环境</w:t>
            </w:r>
          </w:p>
          <w:p w14:paraId="1EB27F08">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管理要求</w:t>
            </w:r>
          </w:p>
        </w:tc>
        <w:tc>
          <w:tcPr>
            <w:tcW w:w="7300" w:type="dxa"/>
            <w:gridSpan w:val="4"/>
            <w:noWrap w:val="0"/>
            <w:vAlign w:val="center"/>
          </w:tcPr>
          <w:p w14:paraId="6692C0F3">
            <w:pPr>
              <w:keepLines w:val="0"/>
              <w:pageBreakBefore w:val="0"/>
              <w:kinsoku/>
              <w:topLinePunct w:val="0"/>
              <w:bidi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①严格执行“三同时”制度；②严格执行排污许可证管理制度；③建立环境报告制度；④健全污染治理设施管理制度；</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=5\*GB3</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⑤</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建立环境目标管理责任制和奖惩条例；</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=6\*GB3</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⑥</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建立环境管理和监测体系，保证日常管理及监测工作。</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=7\*GB3</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⑦</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对废气治理设施开展安全风险辨识管控，健全内部污染防治设施稳定运行和管理责任制度，严格依据标准规范建设环境治理设施，确保环境治理设施安全、稳定、有效运行。</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=8\*GB3</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⑧</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建立从危险废物产生、收集、贮存、运输、利用、处置等各项环保和安全职责制度。</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=9\*GB3</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⑨</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制定其他各项环境保护工作制度并严格执行。</w:t>
            </w:r>
          </w:p>
        </w:tc>
      </w:tr>
    </w:tbl>
    <w:p w14:paraId="3DAD2211">
      <w:pPr>
        <w:pStyle w:val="43"/>
        <w:keepLines w:val="0"/>
        <w:pageBreakBefore w:val="0"/>
        <w:kinsoku/>
        <w:topLinePunct w:val="0"/>
        <w:bidi w:val="0"/>
        <w:adjustRightInd w:val="0"/>
        <w:snapToGrid w:val="0"/>
        <w:spacing w:before="0" w:beforeAutospacing="0" w:after="0" w:afterAutospacing="0"/>
        <w:jc w:val="center"/>
        <w:outlineLvl w:val="0"/>
        <w:rPr>
          <w:rFonts w:hint="default" w:ascii="Times New Roman" w:hAnsi="Times New Roman" w:eastAsia="宋体" w:cs="Times New Roman"/>
          <w:snapToGrid w:val="0"/>
          <w:sz w:val="30"/>
          <w:szCs w:val="30"/>
        </w:rPr>
      </w:pPr>
      <w:r>
        <w:rPr>
          <w:rFonts w:hint="default" w:ascii="Times New Roman" w:hAnsi="Times New Roman" w:eastAsia="宋体" w:cs="Times New Roman"/>
          <w:snapToGrid w:val="0"/>
        </w:rPr>
        <w:br w:type="page"/>
      </w:r>
      <w:r>
        <w:rPr>
          <w:rFonts w:hint="default" w:ascii="Times New Roman" w:hAnsi="Times New Roman" w:eastAsia="宋体" w:cs="Times New Roman"/>
          <w:snapToGrid w:val="0"/>
          <w:sz w:val="30"/>
          <w:szCs w:val="30"/>
        </w:rPr>
        <w:t>六、结论</w:t>
      </w:r>
    </w:p>
    <w:tbl>
      <w:tblPr>
        <w:tblStyle w:val="4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E27E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8E5B870">
            <w:pPr>
              <w:keepLines w:val="0"/>
              <w:pageBreakBefore w:val="0"/>
              <w:kinsoku/>
              <w:topLinePunct w:val="0"/>
              <w:autoSpaceDE w:val="0"/>
              <w:autoSpaceDN w:val="0"/>
              <w:bidi w:val="0"/>
              <w:adjustRightInd w:val="0"/>
              <w:snapToGrid w:val="0"/>
              <w:spacing w:line="480" w:lineRule="exact"/>
              <w:ind w:firstLine="480" w:firstLineChars="200"/>
              <w:rPr>
                <w:rFonts w:hint="default" w:ascii="Times New Roman" w:hAnsi="Times New Roman" w:eastAsia="宋体" w:cs="Times New Roman"/>
                <w:b w:val="0"/>
                <w:bCs/>
                <w:kern w:val="0"/>
                <w:sz w:val="24"/>
              </w:rPr>
            </w:pPr>
            <w:r>
              <w:rPr>
                <w:rFonts w:hint="default" w:ascii="Times New Roman" w:hAnsi="Times New Roman" w:eastAsia="宋体" w:cs="Times New Roman"/>
                <w:b w:val="0"/>
                <w:bCs/>
                <w:kern w:val="0"/>
                <w:sz w:val="24"/>
              </w:rPr>
              <w:t>本项目选址合理，采取的各项污染防治措施可行、有效。各项污染均能做到达标排放，对评价区域环境影响较小。因此，在污染防治措施到位的情况下，从环保角度来讲，本项目建设是可行的。</w:t>
            </w:r>
          </w:p>
          <w:p w14:paraId="267D284D">
            <w:pPr>
              <w:keepLines w:val="0"/>
              <w:pageBreakBefore w:val="0"/>
              <w:kinsoku/>
              <w:topLinePunct w:val="0"/>
              <w:autoSpaceDE w:val="0"/>
              <w:autoSpaceDN w:val="0"/>
              <w:bidi w:val="0"/>
              <w:adjustRightInd w:val="0"/>
              <w:snapToGrid w:val="0"/>
              <w:spacing w:line="480" w:lineRule="exact"/>
              <w:ind w:firstLine="480" w:firstLineChars="200"/>
              <w:rPr>
                <w:rFonts w:hint="default" w:ascii="Times New Roman" w:hAnsi="Times New Roman" w:eastAsia="宋体" w:cs="Times New Roman"/>
                <w:sz w:val="24"/>
              </w:rPr>
            </w:pPr>
          </w:p>
        </w:tc>
      </w:tr>
    </w:tbl>
    <w:p w14:paraId="08B85830">
      <w:pPr>
        <w:keepLines w:val="0"/>
        <w:pageBreakBefore w:val="0"/>
        <w:kinsoku/>
        <w:topLinePunct w:val="0"/>
        <w:bidi w:val="0"/>
        <w:adjustRightInd w:val="0"/>
        <w:snapToGrid w:val="0"/>
        <w:rPr>
          <w:rFonts w:hint="default" w:ascii="Times New Roman" w:hAnsi="Times New Roman" w:eastAsia="宋体" w:cs="Times New Roman"/>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1CBB2C6A">
      <w:pPr>
        <w:pStyle w:val="43"/>
        <w:keepLines w:val="0"/>
        <w:pageBreakBefore w:val="0"/>
        <w:kinsoku/>
        <w:topLinePunct w:val="0"/>
        <w:bidi w:val="0"/>
        <w:adjustRightInd w:val="0"/>
        <w:snapToGrid w:val="0"/>
        <w:spacing w:before="0" w:beforeAutospacing="0" w:after="0" w:afterAutospacing="0"/>
        <w:outlineLvl w:val="0"/>
        <w:rPr>
          <w:rFonts w:hint="default" w:ascii="Times New Roman" w:hAnsi="Times New Roman" w:eastAsia="宋体" w:cs="Times New Roman"/>
          <w:snapToGrid w:val="0"/>
          <w:sz w:val="32"/>
          <w:szCs w:val="32"/>
        </w:rPr>
      </w:pPr>
      <w:r>
        <w:rPr>
          <w:rFonts w:hint="default" w:ascii="Times New Roman" w:hAnsi="Times New Roman" w:eastAsia="宋体" w:cs="Times New Roman"/>
          <w:snapToGrid w:val="0"/>
          <w:sz w:val="32"/>
          <w:szCs w:val="32"/>
        </w:rPr>
        <w:t>附表</w:t>
      </w:r>
    </w:p>
    <w:p w14:paraId="78A46EDC">
      <w:pPr>
        <w:keepLines w:val="0"/>
        <w:pageBreakBefore w:val="0"/>
        <w:kinsoku/>
        <w:topLinePunct w:val="0"/>
        <w:autoSpaceDE w:val="0"/>
        <w:autoSpaceDN w:val="0"/>
        <w:bidi w:val="0"/>
        <w:adjustRightInd w:val="0"/>
        <w:snapToGrid w:val="0"/>
        <w:spacing w:line="480" w:lineRule="exact"/>
        <w:ind w:firstLine="600" w:firstLineChars="200"/>
        <w:jc w:val="right"/>
        <w:rPr>
          <w:rFonts w:hint="default" w:ascii="Times New Roman" w:hAnsi="Times New Roman" w:eastAsia="宋体" w:cs="Times New Roman"/>
          <w:bCs/>
          <w:sz w:val="30"/>
          <w:szCs w:val="30"/>
        </w:rPr>
      </w:pPr>
      <w:r>
        <w:rPr>
          <w:rFonts w:hint="default" w:ascii="Times New Roman" w:hAnsi="Times New Roman" w:eastAsia="宋体" w:cs="Times New Roman"/>
          <w:bCs/>
          <w:sz w:val="30"/>
          <w:szCs w:val="30"/>
        </w:rPr>
        <w:t>建设项目污染物排放量汇总表单位：t/a</w:t>
      </w:r>
    </w:p>
    <w:tbl>
      <w:tblPr>
        <w:tblStyle w:val="4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588"/>
        <w:gridCol w:w="1575"/>
        <w:gridCol w:w="1365"/>
        <w:gridCol w:w="1680"/>
        <w:gridCol w:w="1598"/>
      </w:tblGrid>
      <w:tr w14:paraId="0C600E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tcBorders>
              <w:tl2br w:val="single" w:color="auto" w:sz="4" w:space="0"/>
            </w:tcBorders>
            <w:noWrap w:val="0"/>
            <w:tcMar>
              <w:left w:w="28" w:type="dxa"/>
              <w:right w:w="28" w:type="dxa"/>
            </w:tcMar>
            <w:vAlign w:val="center"/>
          </w:tcPr>
          <w:p w14:paraId="3D5FED49">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p>
          <w:p w14:paraId="73C3E409">
            <w:pPr>
              <w:keepLines w:val="0"/>
              <w:pageBreakBefore w:val="0"/>
              <w:kinsoku/>
              <w:topLinePunct w:val="0"/>
              <w:bidi w:val="0"/>
              <w:adjustRightInd w:val="0"/>
              <w:snapToGrid w:val="0"/>
              <w:ind w:firstLine="240" w:firstLineChars="1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分类</w:t>
            </w:r>
          </w:p>
        </w:tc>
        <w:tc>
          <w:tcPr>
            <w:tcW w:w="1417" w:type="dxa"/>
            <w:noWrap w:val="0"/>
            <w:tcMar>
              <w:left w:w="28" w:type="dxa"/>
              <w:right w:w="28" w:type="dxa"/>
            </w:tcMar>
            <w:vAlign w:val="center"/>
          </w:tcPr>
          <w:p w14:paraId="366E6217">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污染物名称</w:t>
            </w:r>
          </w:p>
        </w:tc>
        <w:tc>
          <w:tcPr>
            <w:tcW w:w="1701" w:type="dxa"/>
            <w:noWrap w:val="0"/>
            <w:tcMar>
              <w:left w:w="28" w:type="dxa"/>
              <w:right w:w="28" w:type="dxa"/>
            </w:tcMar>
            <w:vAlign w:val="center"/>
          </w:tcPr>
          <w:p w14:paraId="418A2816">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现有工程</w:t>
            </w:r>
          </w:p>
          <w:p w14:paraId="24C3179B">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排放量（固体废物产生量）</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=1\*GB3\*MERGEFORMAT</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fldChar w:fldCharType="end"/>
            </w:r>
          </w:p>
        </w:tc>
        <w:tc>
          <w:tcPr>
            <w:tcW w:w="1276" w:type="dxa"/>
            <w:noWrap w:val="0"/>
            <w:tcMar>
              <w:left w:w="28" w:type="dxa"/>
              <w:right w:w="28" w:type="dxa"/>
            </w:tcMar>
            <w:vAlign w:val="center"/>
          </w:tcPr>
          <w:p w14:paraId="3B813675">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现有工程</w:t>
            </w:r>
          </w:p>
          <w:p w14:paraId="2A753CAA">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许可排放量</w:t>
            </w:r>
          </w:p>
          <w:p w14:paraId="4166E612">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=2\*GB3\*MERGEFORMAT</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fldChar w:fldCharType="end"/>
            </w:r>
          </w:p>
        </w:tc>
        <w:tc>
          <w:tcPr>
            <w:tcW w:w="1588" w:type="dxa"/>
            <w:noWrap w:val="0"/>
            <w:tcMar>
              <w:left w:w="28" w:type="dxa"/>
              <w:right w:w="28" w:type="dxa"/>
            </w:tcMar>
            <w:vAlign w:val="center"/>
          </w:tcPr>
          <w:p w14:paraId="4FF7B480">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在建工程</w:t>
            </w:r>
          </w:p>
          <w:p w14:paraId="4BBE2E3D">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排放量（固体废物产生量）</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=3\*GB3\*MERGEFORMAT</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fldChar w:fldCharType="end"/>
            </w:r>
          </w:p>
        </w:tc>
        <w:tc>
          <w:tcPr>
            <w:tcW w:w="1575" w:type="dxa"/>
            <w:noWrap w:val="0"/>
            <w:tcMar>
              <w:left w:w="28" w:type="dxa"/>
              <w:right w:w="28" w:type="dxa"/>
            </w:tcMar>
            <w:vAlign w:val="center"/>
          </w:tcPr>
          <w:p w14:paraId="09018D38">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p>
          <w:p w14:paraId="3F13DDB6">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排放量（固体废物产生量）</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=4\*GB3\*MERGEFORMAT</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fldChar w:fldCharType="end"/>
            </w:r>
          </w:p>
        </w:tc>
        <w:tc>
          <w:tcPr>
            <w:tcW w:w="1365" w:type="dxa"/>
            <w:noWrap w:val="0"/>
            <w:tcMar>
              <w:left w:w="28" w:type="dxa"/>
              <w:right w:w="28" w:type="dxa"/>
            </w:tcMar>
            <w:vAlign w:val="center"/>
          </w:tcPr>
          <w:p w14:paraId="62F10F43">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以新带老削减量</w:t>
            </w:r>
          </w:p>
          <w:p w14:paraId="0DAC6275">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（新建项目不填）</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=5\*GB3\*MERGEFORMAT</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fldChar w:fldCharType="end"/>
            </w:r>
          </w:p>
        </w:tc>
        <w:tc>
          <w:tcPr>
            <w:tcW w:w="1680" w:type="dxa"/>
            <w:noWrap w:val="0"/>
            <w:tcMar>
              <w:left w:w="28" w:type="dxa"/>
              <w:right w:w="28" w:type="dxa"/>
            </w:tcMar>
            <w:vAlign w:val="center"/>
          </w:tcPr>
          <w:p w14:paraId="6D24139E">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本项目建成后</w:t>
            </w:r>
          </w:p>
          <w:p w14:paraId="681ADE67">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全厂排放量（固体废物产生量）</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=6\*GB3\*MERGEFORMAT</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lang w:val="en-US" w:eastAsia="zh-CN"/>
              </w:rPr>
              <w:fldChar w:fldCharType="end"/>
            </w:r>
          </w:p>
        </w:tc>
        <w:tc>
          <w:tcPr>
            <w:tcW w:w="1598" w:type="dxa"/>
            <w:noWrap w:val="0"/>
            <w:tcMar>
              <w:left w:w="28" w:type="dxa"/>
              <w:right w:w="28" w:type="dxa"/>
            </w:tcMar>
            <w:vAlign w:val="center"/>
          </w:tcPr>
          <w:p w14:paraId="3BE46507">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变化量</w:t>
            </w:r>
          </w:p>
          <w:p w14:paraId="5E37FED2">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=7\*GB3\*MERGEFORMAT</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lang w:val="en-US" w:eastAsia="zh-CN"/>
              </w:rPr>
              <w:fldChar w:fldCharType="end"/>
            </w:r>
          </w:p>
        </w:tc>
      </w:tr>
      <w:tr w14:paraId="16AEA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noWrap w:val="0"/>
            <w:vAlign w:val="center"/>
          </w:tcPr>
          <w:p w14:paraId="46C921C9">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w:t>
            </w:r>
          </w:p>
        </w:tc>
        <w:tc>
          <w:tcPr>
            <w:tcW w:w="1417" w:type="dxa"/>
            <w:shd w:val="clear" w:color="auto" w:fill="auto"/>
            <w:noWrap w:val="0"/>
            <w:vAlign w:val="center"/>
          </w:tcPr>
          <w:p w14:paraId="36684F53">
            <w:pPr>
              <w:keepLines w:val="0"/>
              <w:pageBreakBefore w:val="0"/>
              <w:kinsoku/>
              <w:topLinePunct w:val="0"/>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颗粒物</w:t>
            </w:r>
          </w:p>
        </w:tc>
        <w:tc>
          <w:tcPr>
            <w:tcW w:w="1701" w:type="dxa"/>
            <w:shd w:val="clear" w:color="auto" w:fill="auto"/>
            <w:noWrap w:val="0"/>
            <w:vAlign w:val="center"/>
          </w:tcPr>
          <w:p w14:paraId="6A777AE3">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0.549</w:t>
            </w:r>
          </w:p>
        </w:tc>
        <w:tc>
          <w:tcPr>
            <w:tcW w:w="1276" w:type="dxa"/>
            <w:shd w:val="clear" w:color="auto" w:fill="auto"/>
            <w:noWrap w:val="0"/>
            <w:vAlign w:val="center"/>
          </w:tcPr>
          <w:p w14:paraId="4ADC094B">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2.138</w:t>
            </w:r>
          </w:p>
        </w:tc>
        <w:tc>
          <w:tcPr>
            <w:tcW w:w="1588" w:type="dxa"/>
            <w:shd w:val="clear" w:color="auto" w:fill="auto"/>
            <w:noWrap w:val="0"/>
            <w:vAlign w:val="center"/>
          </w:tcPr>
          <w:p w14:paraId="5B9A5B32">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0.549</w:t>
            </w:r>
          </w:p>
        </w:tc>
        <w:tc>
          <w:tcPr>
            <w:tcW w:w="1575" w:type="dxa"/>
            <w:shd w:val="clear" w:color="auto" w:fill="auto"/>
            <w:noWrap w:val="0"/>
            <w:vAlign w:val="center"/>
          </w:tcPr>
          <w:p w14:paraId="4CADD312">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0.12</w:t>
            </w:r>
          </w:p>
        </w:tc>
        <w:tc>
          <w:tcPr>
            <w:tcW w:w="1365" w:type="dxa"/>
            <w:shd w:val="clear" w:color="auto" w:fill="auto"/>
            <w:noWrap w:val="0"/>
            <w:vAlign w:val="center"/>
          </w:tcPr>
          <w:p w14:paraId="4FE90F07">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w:t>
            </w:r>
          </w:p>
        </w:tc>
        <w:tc>
          <w:tcPr>
            <w:tcW w:w="1680" w:type="dxa"/>
            <w:shd w:val="clear" w:color="auto" w:fill="auto"/>
            <w:noWrap w:val="0"/>
            <w:vAlign w:val="center"/>
          </w:tcPr>
          <w:p w14:paraId="7726F30E">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1.2</w:t>
            </w:r>
            <w:r>
              <w:rPr>
                <w:rFonts w:hint="eastAsia" w:cs="Times New Roman"/>
                <w:color w:val="auto"/>
                <w:kern w:val="0"/>
                <w:sz w:val="24"/>
                <w:szCs w:val="24"/>
                <w:lang w:val="en-US" w:eastAsia="zh-CN" w:bidi="ar-SA"/>
              </w:rPr>
              <w:t>18</w:t>
            </w:r>
          </w:p>
        </w:tc>
        <w:tc>
          <w:tcPr>
            <w:tcW w:w="1598" w:type="dxa"/>
            <w:shd w:val="clear" w:color="auto" w:fill="auto"/>
            <w:noWrap w:val="0"/>
            <w:vAlign w:val="center"/>
          </w:tcPr>
          <w:p w14:paraId="6AE90150">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+0.</w:t>
            </w:r>
            <w:r>
              <w:rPr>
                <w:rFonts w:hint="eastAsia" w:cs="Times New Roman"/>
                <w:color w:val="auto"/>
                <w:kern w:val="0"/>
                <w:sz w:val="24"/>
                <w:szCs w:val="24"/>
                <w:lang w:val="en-US" w:eastAsia="zh-CN" w:bidi="ar-SA"/>
              </w:rPr>
              <w:t>669</w:t>
            </w:r>
          </w:p>
        </w:tc>
      </w:tr>
      <w:tr w14:paraId="1E057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restart"/>
            <w:noWrap w:val="0"/>
            <w:vAlign w:val="center"/>
          </w:tcPr>
          <w:p w14:paraId="0F18D02F">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w:t>
            </w:r>
          </w:p>
        </w:tc>
        <w:tc>
          <w:tcPr>
            <w:tcW w:w="1417" w:type="dxa"/>
            <w:noWrap w:val="0"/>
            <w:vAlign w:val="center"/>
          </w:tcPr>
          <w:p w14:paraId="5CC9BB6B">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COD</w:t>
            </w:r>
          </w:p>
        </w:tc>
        <w:tc>
          <w:tcPr>
            <w:tcW w:w="1701" w:type="dxa"/>
            <w:noWrap w:val="0"/>
            <w:vAlign w:val="center"/>
          </w:tcPr>
          <w:p w14:paraId="1DB17C0D">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276" w:type="dxa"/>
            <w:noWrap w:val="0"/>
            <w:vAlign w:val="center"/>
          </w:tcPr>
          <w:p w14:paraId="330DAABA">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588" w:type="dxa"/>
            <w:shd w:val="clear" w:color="auto" w:fill="auto"/>
            <w:noWrap w:val="0"/>
            <w:vAlign w:val="center"/>
          </w:tcPr>
          <w:p w14:paraId="37A146BA">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575" w:type="dxa"/>
            <w:noWrap w:val="0"/>
            <w:vAlign w:val="center"/>
          </w:tcPr>
          <w:p w14:paraId="597646CB">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365" w:type="dxa"/>
            <w:shd w:val="clear" w:color="auto" w:fill="auto"/>
            <w:noWrap w:val="0"/>
            <w:vAlign w:val="center"/>
          </w:tcPr>
          <w:p w14:paraId="1BD9C00F">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680" w:type="dxa"/>
            <w:shd w:val="clear" w:color="auto" w:fill="auto"/>
            <w:noWrap w:val="0"/>
            <w:vAlign w:val="center"/>
          </w:tcPr>
          <w:p w14:paraId="0229B443">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598" w:type="dxa"/>
            <w:noWrap w:val="0"/>
            <w:vAlign w:val="center"/>
          </w:tcPr>
          <w:p w14:paraId="2E939693">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r>
      <w:tr w14:paraId="17768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noWrap w:val="0"/>
            <w:vAlign w:val="center"/>
          </w:tcPr>
          <w:p w14:paraId="0768D7E6">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p>
        </w:tc>
        <w:tc>
          <w:tcPr>
            <w:tcW w:w="1417" w:type="dxa"/>
            <w:noWrap w:val="0"/>
            <w:vAlign w:val="center"/>
          </w:tcPr>
          <w:p w14:paraId="43FA8ED9">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p>
        </w:tc>
        <w:tc>
          <w:tcPr>
            <w:tcW w:w="1701" w:type="dxa"/>
            <w:noWrap w:val="0"/>
            <w:vAlign w:val="center"/>
          </w:tcPr>
          <w:p w14:paraId="74C41EF9">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276" w:type="dxa"/>
            <w:noWrap w:val="0"/>
            <w:vAlign w:val="center"/>
          </w:tcPr>
          <w:p w14:paraId="0C53A49D">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588" w:type="dxa"/>
            <w:shd w:val="clear" w:color="auto" w:fill="auto"/>
            <w:noWrap w:val="0"/>
            <w:vAlign w:val="center"/>
          </w:tcPr>
          <w:p w14:paraId="126A5789">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575" w:type="dxa"/>
            <w:noWrap w:val="0"/>
            <w:vAlign w:val="center"/>
          </w:tcPr>
          <w:p w14:paraId="672A732B">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365" w:type="dxa"/>
            <w:shd w:val="clear" w:color="auto" w:fill="auto"/>
            <w:noWrap w:val="0"/>
            <w:vAlign w:val="center"/>
          </w:tcPr>
          <w:p w14:paraId="7EAA5563">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680" w:type="dxa"/>
            <w:shd w:val="clear" w:color="auto" w:fill="auto"/>
            <w:noWrap w:val="0"/>
            <w:vAlign w:val="center"/>
          </w:tcPr>
          <w:p w14:paraId="4CEB5028">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598" w:type="dxa"/>
            <w:noWrap w:val="0"/>
            <w:vAlign w:val="center"/>
          </w:tcPr>
          <w:p w14:paraId="746395EC">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r>
      <w:tr w14:paraId="1C506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noWrap w:val="0"/>
            <w:vAlign w:val="center"/>
          </w:tcPr>
          <w:p w14:paraId="3D88D73A">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生活垃圾</w:t>
            </w:r>
          </w:p>
        </w:tc>
        <w:tc>
          <w:tcPr>
            <w:tcW w:w="1417" w:type="dxa"/>
            <w:noWrap w:val="0"/>
            <w:vAlign w:val="center"/>
          </w:tcPr>
          <w:p w14:paraId="59E5E2E3">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生活垃圾</w:t>
            </w:r>
          </w:p>
        </w:tc>
        <w:tc>
          <w:tcPr>
            <w:tcW w:w="1701" w:type="dxa"/>
            <w:shd w:val="clear" w:color="auto" w:fill="auto"/>
            <w:noWrap w:val="0"/>
            <w:vAlign w:val="center"/>
          </w:tcPr>
          <w:p w14:paraId="7870F66D">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1.5</w:t>
            </w:r>
          </w:p>
        </w:tc>
        <w:tc>
          <w:tcPr>
            <w:tcW w:w="1276" w:type="dxa"/>
            <w:noWrap w:val="0"/>
            <w:vAlign w:val="center"/>
          </w:tcPr>
          <w:p w14:paraId="56348948">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588" w:type="dxa"/>
            <w:shd w:val="clear" w:color="auto" w:fill="auto"/>
            <w:noWrap w:val="0"/>
            <w:vAlign w:val="center"/>
          </w:tcPr>
          <w:p w14:paraId="5C8270BC">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0</w:t>
            </w:r>
          </w:p>
        </w:tc>
        <w:tc>
          <w:tcPr>
            <w:tcW w:w="1575" w:type="dxa"/>
            <w:noWrap w:val="0"/>
            <w:vAlign w:val="center"/>
          </w:tcPr>
          <w:p w14:paraId="68279579">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w:t>
            </w:r>
          </w:p>
        </w:tc>
        <w:tc>
          <w:tcPr>
            <w:tcW w:w="1365" w:type="dxa"/>
            <w:shd w:val="clear" w:color="auto" w:fill="auto"/>
            <w:noWrap w:val="0"/>
            <w:vAlign w:val="center"/>
          </w:tcPr>
          <w:p w14:paraId="29462484">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w:t>
            </w:r>
          </w:p>
        </w:tc>
        <w:tc>
          <w:tcPr>
            <w:tcW w:w="1680" w:type="dxa"/>
            <w:shd w:val="clear" w:color="auto" w:fill="auto"/>
            <w:noWrap w:val="0"/>
            <w:vAlign w:val="center"/>
          </w:tcPr>
          <w:p w14:paraId="637D37AF">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1.5</w:t>
            </w:r>
          </w:p>
        </w:tc>
        <w:tc>
          <w:tcPr>
            <w:tcW w:w="1598" w:type="dxa"/>
            <w:noWrap w:val="0"/>
            <w:vAlign w:val="center"/>
          </w:tcPr>
          <w:p w14:paraId="7DB80A4D">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0</w:t>
            </w:r>
          </w:p>
        </w:tc>
      </w:tr>
      <w:tr w14:paraId="2176E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noWrap w:val="0"/>
            <w:vAlign w:val="center"/>
          </w:tcPr>
          <w:p w14:paraId="56121024">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一般工业</w:t>
            </w:r>
          </w:p>
          <w:p w14:paraId="39571B5E">
            <w:pPr>
              <w:keepLines w:val="0"/>
              <w:pageBreakBefore w:val="0"/>
              <w:kinsoku/>
              <w:topLinePunct w:val="0"/>
              <w:bidi w:val="0"/>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固体废物</w:t>
            </w:r>
          </w:p>
        </w:tc>
        <w:tc>
          <w:tcPr>
            <w:tcW w:w="1417" w:type="dxa"/>
            <w:shd w:val="clear" w:color="auto" w:fill="auto"/>
            <w:noWrap w:val="0"/>
            <w:vAlign w:val="center"/>
          </w:tcPr>
          <w:p w14:paraId="689F3B59">
            <w:pPr>
              <w:keepLines w:val="0"/>
              <w:pageBreakBefore w:val="0"/>
              <w:kinsoku/>
              <w:topLinePunct w:val="0"/>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废气处理收集粉尘</w:t>
            </w:r>
          </w:p>
        </w:tc>
        <w:tc>
          <w:tcPr>
            <w:tcW w:w="1701" w:type="dxa"/>
            <w:shd w:val="clear" w:color="auto" w:fill="auto"/>
            <w:noWrap w:val="0"/>
            <w:vAlign w:val="center"/>
          </w:tcPr>
          <w:p w14:paraId="046E1CC1">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110.80625</w:t>
            </w:r>
          </w:p>
        </w:tc>
        <w:tc>
          <w:tcPr>
            <w:tcW w:w="1276" w:type="dxa"/>
            <w:shd w:val="clear" w:color="auto" w:fill="auto"/>
            <w:noWrap w:val="0"/>
            <w:vAlign w:val="center"/>
          </w:tcPr>
          <w:p w14:paraId="45011CDC">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588" w:type="dxa"/>
            <w:shd w:val="clear" w:color="auto" w:fill="auto"/>
            <w:noWrap w:val="0"/>
            <w:vAlign w:val="center"/>
          </w:tcPr>
          <w:p w14:paraId="58D1CF68">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110.80625</w:t>
            </w:r>
          </w:p>
        </w:tc>
        <w:tc>
          <w:tcPr>
            <w:tcW w:w="1575" w:type="dxa"/>
            <w:shd w:val="clear" w:color="auto" w:fill="auto"/>
            <w:noWrap w:val="0"/>
            <w:vAlign w:val="center"/>
          </w:tcPr>
          <w:p w14:paraId="3A993CE6">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5.88</w:t>
            </w:r>
          </w:p>
        </w:tc>
        <w:tc>
          <w:tcPr>
            <w:tcW w:w="1365" w:type="dxa"/>
            <w:shd w:val="clear" w:color="auto" w:fill="auto"/>
            <w:noWrap w:val="0"/>
            <w:vAlign w:val="center"/>
          </w:tcPr>
          <w:p w14:paraId="3B398976">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w:t>
            </w:r>
          </w:p>
        </w:tc>
        <w:tc>
          <w:tcPr>
            <w:tcW w:w="1680" w:type="dxa"/>
            <w:shd w:val="clear" w:color="auto" w:fill="auto"/>
            <w:noWrap w:val="0"/>
            <w:vAlign w:val="center"/>
          </w:tcPr>
          <w:p w14:paraId="4F24A723">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227.7865</w:t>
            </w:r>
          </w:p>
        </w:tc>
        <w:tc>
          <w:tcPr>
            <w:tcW w:w="1598" w:type="dxa"/>
            <w:shd w:val="clear" w:color="auto" w:fill="auto"/>
            <w:noWrap w:val="0"/>
            <w:vAlign w:val="center"/>
          </w:tcPr>
          <w:p w14:paraId="1387D543">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eastAsia="宋体" w:cs="Times New Roman"/>
                <w:color w:val="auto"/>
                <w:kern w:val="0"/>
                <w:sz w:val="24"/>
                <w:szCs w:val="24"/>
                <w:lang w:val="en-US" w:eastAsia="zh-CN" w:bidi="ar-SA"/>
              </w:rPr>
              <w:t>+116.</w:t>
            </w:r>
            <w:r>
              <w:rPr>
                <w:rFonts w:hint="eastAsia" w:cs="Times New Roman"/>
                <w:color w:val="auto"/>
                <w:kern w:val="0"/>
                <w:sz w:val="24"/>
                <w:szCs w:val="24"/>
                <w:lang w:val="en-US" w:eastAsia="zh-CN" w:bidi="ar-SA"/>
              </w:rPr>
              <w:t>68625</w:t>
            </w:r>
          </w:p>
        </w:tc>
      </w:tr>
      <w:tr w14:paraId="353F2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shd w:val="clear" w:color="auto" w:fill="auto"/>
            <w:noWrap w:val="0"/>
            <w:vAlign w:val="center"/>
          </w:tcPr>
          <w:p w14:paraId="52010349">
            <w:pPr>
              <w:keepLines w:val="0"/>
              <w:pageBreakBefore w:val="0"/>
              <w:kinsoku/>
              <w:topLinePunct w:val="0"/>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危险废物</w:t>
            </w:r>
          </w:p>
        </w:tc>
        <w:tc>
          <w:tcPr>
            <w:tcW w:w="1417" w:type="dxa"/>
            <w:shd w:val="clear" w:color="auto" w:fill="auto"/>
            <w:noWrap w:val="0"/>
            <w:vAlign w:val="center"/>
          </w:tcPr>
          <w:p w14:paraId="02DD21B5">
            <w:pPr>
              <w:keepLines w:val="0"/>
              <w:pageBreakBefore w:val="0"/>
              <w:kinsoku/>
              <w:topLinePunct w:val="0"/>
              <w:bidi w:val="0"/>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废机油、废机油桶</w:t>
            </w:r>
          </w:p>
        </w:tc>
        <w:tc>
          <w:tcPr>
            <w:tcW w:w="1701" w:type="dxa"/>
            <w:shd w:val="clear" w:color="auto" w:fill="auto"/>
            <w:noWrap w:val="0"/>
            <w:vAlign w:val="center"/>
          </w:tcPr>
          <w:p w14:paraId="16520161">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0</w:t>
            </w:r>
          </w:p>
        </w:tc>
        <w:tc>
          <w:tcPr>
            <w:tcW w:w="1276" w:type="dxa"/>
            <w:shd w:val="clear" w:color="auto" w:fill="auto"/>
            <w:noWrap w:val="0"/>
            <w:vAlign w:val="center"/>
          </w:tcPr>
          <w:p w14:paraId="0B82B6F9">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w:t>
            </w:r>
          </w:p>
        </w:tc>
        <w:tc>
          <w:tcPr>
            <w:tcW w:w="1588" w:type="dxa"/>
            <w:shd w:val="clear" w:color="auto" w:fill="auto"/>
            <w:noWrap w:val="0"/>
            <w:vAlign w:val="center"/>
          </w:tcPr>
          <w:p w14:paraId="1BD44B6B">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0</w:t>
            </w:r>
          </w:p>
        </w:tc>
        <w:tc>
          <w:tcPr>
            <w:tcW w:w="1575" w:type="dxa"/>
            <w:shd w:val="clear" w:color="auto" w:fill="auto"/>
            <w:noWrap w:val="0"/>
            <w:vAlign w:val="center"/>
          </w:tcPr>
          <w:p w14:paraId="361A71C3">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w:t>
            </w:r>
          </w:p>
        </w:tc>
        <w:tc>
          <w:tcPr>
            <w:tcW w:w="1365" w:type="dxa"/>
            <w:shd w:val="clear" w:color="auto" w:fill="auto"/>
            <w:noWrap w:val="0"/>
            <w:vAlign w:val="center"/>
          </w:tcPr>
          <w:p w14:paraId="6A35B888">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w:t>
            </w:r>
          </w:p>
        </w:tc>
        <w:tc>
          <w:tcPr>
            <w:tcW w:w="1680" w:type="dxa"/>
            <w:shd w:val="clear" w:color="auto" w:fill="auto"/>
            <w:noWrap w:val="0"/>
            <w:vAlign w:val="center"/>
          </w:tcPr>
          <w:p w14:paraId="35E79E6E">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w:t>
            </w:r>
          </w:p>
        </w:tc>
        <w:tc>
          <w:tcPr>
            <w:tcW w:w="1598" w:type="dxa"/>
            <w:shd w:val="clear" w:color="auto" w:fill="auto"/>
            <w:noWrap w:val="0"/>
            <w:vAlign w:val="center"/>
          </w:tcPr>
          <w:p w14:paraId="22E8BD8C">
            <w:pPr>
              <w:keepLines w:val="0"/>
              <w:pageBreakBefore w:val="0"/>
              <w:kinsoku/>
              <w:topLinePunct w:val="0"/>
              <w:bidi w:val="0"/>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w:t>
            </w:r>
          </w:p>
        </w:tc>
      </w:tr>
    </w:tbl>
    <w:p w14:paraId="248C51F3">
      <w:pPr>
        <w:pStyle w:val="136"/>
        <w:keepLines w:val="0"/>
        <w:pageBreakBefore w:val="0"/>
        <w:kinsoku/>
        <w:topLinePunct w:val="0"/>
        <w:bidi w:val="0"/>
        <w:adjustRightInd w:val="0"/>
        <w:snapToGrid w:val="0"/>
        <w:spacing w:before="192" w:beforeLines="80" w:after="24"/>
        <w:jc w:val="left"/>
        <w:rPr>
          <w:rFonts w:hint="default" w:ascii="Times New Roman" w:hAnsi="Times New Roman" w:eastAsia="宋体" w:cs="Times New Roman"/>
        </w:rPr>
      </w:pPr>
      <w:r>
        <w:rPr>
          <w:rFonts w:hint="default" w:ascii="Times New Roman" w:hAnsi="Times New Roman" w:eastAsia="宋体" w:cs="Times New Roman"/>
          <w:snapToGrid w:val="0"/>
          <w:kern w:val="21"/>
          <w:szCs w:val="21"/>
        </w:rPr>
        <w:t>注：</w:t>
      </w:r>
      <w:r>
        <w:rPr>
          <w:rFonts w:hint="default" w:ascii="Times New Roman" w:hAnsi="Times New Roman" w:eastAsia="宋体" w:cs="Times New Roman"/>
          <w:snapToGrid w:val="0"/>
          <w:spacing w:val="-16"/>
          <w:kern w:val="21"/>
          <w:szCs w:val="21"/>
        </w:rPr>
        <w:fldChar w:fldCharType="begin"/>
      </w:r>
      <w:r>
        <w:rPr>
          <w:rFonts w:hint="default" w:ascii="Times New Roman" w:hAnsi="Times New Roman" w:eastAsia="宋体" w:cs="Times New Roman"/>
          <w:snapToGrid w:val="0"/>
          <w:spacing w:val="-16"/>
          <w:kern w:val="21"/>
          <w:szCs w:val="21"/>
        </w:rPr>
        <w:instrText xml:space="preserve">=6\*GB3\*MERGEFORMAT</w:instrText>
      </w:r>
      <w:r>
        <w:rPr>
          <w:rFonts w:hint="default" w:ascii="Times New Roman" w:hAnsi="Times New Roman" w:eastAsia="宋体" w:cs="Times New Roman"/>
          <w:snapToGrid w:val="0"/>
          <w:spacing w:val="-16"/>
          <w:kern w:val="21"/>
          <w:szCs w:val="21"/>
        </w:rPr>
        <w:fldChar w:fldCharType="separate"/>
      </w:r>
      <w:r>
        <w:rPr>
          <w:rFonts w:hint="default" w:ascii="Times New Roman" w:hAnsi="Times New Roman" w:eastAsia="宋体" w:cs="Times New Roman"/>
          <w:szCs w:val="21"/>
        </w:rPr>
        <w:t>⑥</w:t>
      </w:r>
      <w:r>
        <w:rPr>
          <w:rFonts w:hint="default" w:ascii="Times New Roman" w:hAnsi="Times New Roman" w:eastAsia="宋体" w:cs="Times New Roman"/>
          <w:snapToGrid w:val="0"/>
          <w:spacing w:val="-16"/>
          <w:kern w:val="21"/>
          <w:szCs w:val="21"/>
        </w:rPr>
        <w:fldChar w:fldCharType="end"/>
      </w:r>
      <w:r>
        <w:rPr>
          <w:rFonts w:hint="default" w:ascii="Times New Roman" w:hAnsi="Times New Roman" w:eastAsia="宋体" w:cs="Times New Roman"/>
          <w:snapToGrid w:val="0"/>
          <w:spacing w:val="-1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=1\*GB3\*MERGEFORMAT</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①</w:t>
      </w:r>
      <w:r>
        <w:rPr>
          <w:rFonts w:hint="default" w:ascii="Times New Roman" w:hAnsi="Times New Roman" w:eastAsia="宋体" w:cs="Times New Roman"/>
          <w:snapToGrid w:val="0"/>
          <w:spacing w:val="-6"/>
          <w:kern w:val="21"/>
          <w:szCs w:val="21"/>
        </w:rPr>
        <w:fldChar w:fldCharType="end"/>
      </w:r>
      <w:r>
        <w:rPr>
          <w:rFonts w:hint="default" w:ascii="Times New Roman" w:hAnsi="Times New Roman" w:eastAsia="宋体" w:cs="Times New Roman"/>
          <w:snapToGrid w:val="0"/>
          <w:spacing w:val="-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=3\*GB3\*MERGEFORMAT</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③</w:t>
      </w:r>
      <w:r>
        <w:rPr>
          <w:rFonts w:hint="default" w:ascii="Times New Roman" w:hAnsi="Times New Roman" w:eastAsia="宋体" w:cs="Times New Roman"/>
          <w:snapToGrid w:val="0"/>
          <w:spacing w:val="-6"/>
          <w:kern w:val="21"/>
          <w:szCs w:val="21"/>
        </w:rPr>
        <w:fldChar w:fldCharType="end"/>
      </w:r>
      <w:r>
        <w:rPr>
          <w:rFonts w:hint="default" w:ascii="Times New Roman" w:hAnsi="Times New Roman" w:eastAsia="宋体" w:cs="Times New Roman"/>
          <w:snapToGrid w:val="0"/>
          <w:spacing w:val="-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=4\*GB3\*MERGEFORMAT</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④</w:t>
      </w:r>
      <w:r>
        <w:rPr>
          <w:rFonts w:hint="default" w:ascii="Times New Roman" w:hAnsi="Times New Roman" w:eastAsia="宋体" w:cs="Times New Roman"/>
          <w:snapToGrid w:val="0"/>
          <w:spacing w:val="-6"/>
          <w:kern w:val="21"/>
          <w:szCs w:val="21"/>
        </w:rPr>
        <w:fldChar w:fldCharType="end"/>
      </w:r>
      <w:r>
        <w:rPr>
          <w:rFonts w:hint="default" w:ascii="Times New Roman" w:hAnsi="Times New Roman" w:eastAsia="宋体" w:cs="Times New Roman"/>
          <w:snapToGrid w:val="0"/>
          <w:spacing w:val="-6"/>
          <w:kern w:val="21"/>
          <w:szCs w:val="21"/>
        </w:rPr>
        <w:t>-</w:t>
      </w:r>
      <w:r>
        <w:rPr>
          <w:rFonts w:hint="default" w:ascii="Times New Roman" w:hAnsi="Times New Roman" w:eastAsia="宋体" w:cs="Times New Roman"/>
          <w:snapToGrid w:val="0"/>
          <w:spacing w:val="-16"/>
          <w:kern w:val="21"/>
          <w:szCs w:val="21"/>
        </w:rPr>
        <w:fldChar w:fldCharType="begin"/>
      </w:r>
      <w:r>
        <w:rPr>
          <w:rFonts w:hint="default" w:ascii="Times New Roman" w:hAnsi="Times New Roman" w:eastAsia="宋体" w:cs="Times New Roman"/>
          <w:snapToGrid w:val="0"/>
          <w:spacing w:val="-16"/>
          <w:kern w:val="21"/>
          <w:szCs w:val="21"/>
        </w:rPr>
        <w:instrText xml:space="preserve">=5\*GB3\*MERGEFORMAT</w:instrText>
      </w:r>
      <w:r>
        <w:rPr>
          <w:rFonts w:hint="default" w:ascii="Times New Roman" w:hAnsi="Times New Roman" w:eastAsia="宋体" w:cs="Times New Roman"/>
          <w:snapToGrid w:val="0"/>
          <w:spacing w:val="-16"/>
          <w:kern w:val="21"/>
          <w:szCs w:val="21"/>
        </w:rPr>
        <w:fldChar w:fldCharType="separate"/>
      </w:r>
      <w:r>
        <w:rPr>
          <w:rFonts w:hint="default" w:ascii="Times New Roman" w:hAnsi="Times New Roman" w:eastAsia="宋体" w:cs="Times New Roman"/>
          <w:szCs w:val="21"/>
        </w:rPr>
        <w:t>⑤</w:t>
      </w:r>
      <w:r>
        <w:rPr>
          <w:rFonts w:hint="default" w:ascii="Times New Roman" w:hAnsi="Times New Roman" w:eastAsia="宋体" w:cs="Times New Roman"/>
          <w:snapToGrid w:val="0"/>
          <w:spacing w:val="-16"/>
          <w:kern w:val="21"/>
          <w:szCs w:val="21"/>
        </w:rPr>
        <w:fldChar w:fldCharType="end"/>
      </w:r>
      <w:r>
        <w:rPr>
          <w:rFonts w:hint="default" w:ascii="Times New Roman" w:hAnsi="Times New Roman" w:eastAsia="宋体" w:cs="Times New Roman"/>
          <w:snapToGrid w:val="0"/>
          <w:spacing w:val="-1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=7\*GB3\*MERGEFORMAT</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⑦</w:t>
      </w:r>
      <w:r>
        <w:rPr>
          <w:rFonts w:hint="default" w:ascii="Times New Roman" w:hAnsi="Times New Roman" w:eastAsia="宋体" w:cs="Times New Roman"/>
          <w:snapToGrid w:val="0"/>
          <w:spacing w:val="-6"/>
          <w:kern w:val="21"/>
          <w:szCs w:val="21"/>
        </w:rPr>
        <w:fldChar w:fldCharType="end"/>
      </w:r>
      <w:r>
        <w:rPr>
          <w:rFonts w:hint="default" w:ascii="Times New Roman" w:hAnsi="Times New Roman" w:eastAsia="宋体" w:cs="Times New Roman"/>
          <w:snapToGrid w:val="0"/>
          <w:spacing w:val="-6"/>
          <w:kern w:val="21"/>
          <w:szCs w:val="21"/>
        </w:rPr>
        <w:t>=</w:t>
      </w:r>
      <w:r>
        <w:rPr>
          <w:rFonts w:hint="default" w:ascii="Times New Roman" w:hAnsi="Times New Roman" w:eastAsia="宋体" w:cs="Times New Roman"/>
          <w:snapToGrid w:val="0"/>
          <w:spacing w:val="-16"/>
          <w:kern w:val="21"/>
          <w:szCs w:val="21"/>
        </w:rPr>
        <w:fldChar w:fldCharType="begin"/>
      </w:r>
      <w:r>
        <w:rPr>
          <w:rFonts w:hint="default" w:ascii="Times New Roman" w:hAnsi="Times New Roman" w:eastAsia="宋体" w:cs="Times New Roman"/>
          <w:snapToGrid w:val="0"/>
          <w:spacing w:val="-16"/>
          <w:kern w:val="21"/>
          <w:szCs w:val="21"/>
        </w:rPr>
        <w:instrText xml:space="preserve">=6\*GB3\*MERGEFORMAT</w:instrText>
      </w:r>
      <w:r>
        <w:rPr>
          <w:rFonts w:hint="default" w:ascii="Times New Roman" w:hAnsi="Times New Roman" w:eastAsia="宋体" w:cs="Times New Roman"/>
          <w:snapToGrid w:val="0"/>
          <w:spacing w:val="-16"/>
          <w:kern w:val="21"/>
          <w:szCs w:val="21"/>
        </w:rPr>
        <w:fldChar w:fldCharType="separate"/>
      </w:r>
      <w:r>
        <w:rPr>
          <w:rFonts w:hint="default" w:ascii="Times New Roman" w:hAnsi="Times New Roman" w:eastAsia="宋体" w:cs="Times New Roman"/>
          <w:szCs w:val="21"/>
        </w:rPr>
        <w:t>⑥</w:t>
      </w:r>
      <w:r>
        <w:rPr>
          <w:rFonts w:hint="default" w:ascii="Times New Roman" w:hAnsi="Times New Roman" w:eastAsia="宋体" w:cs="Times New Roman"/>
          <w:snapToGrid w:val="0"/>
          <w:spacing w:val="-16"/>
          <w:kern w:val="21"/>
          <w:szCs w:val="21"/>
        </w:rPr>
        <w:fldChar w:fldCharType="end"/>
      </w:r>
      <w:r>
        <w:rPr>
          <w:rFonts w:hint="default" w:ascii="Times New Roman" w:hAnsi="Times New Roman" w:eastAsia="宋体" w:cs="Times New Roman"/>
          <w:snapToGrid w:val="0"/>
          <w:spacing w:val="-1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=1\*GB3\*MERGEFORMAT</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①</w:t>
      </w:r>
      <w:r>
        <w:rPr>
          <w:rFonts w:hint="default" w:ascii="Times New Roman" w:hAnsi="Times New Roman" w:eastAsia="宋体" w:cs="Times New Roman"/>
          <w:snapToGrid w:val="0"/>
          <w:spacing w:val="-6"/>
          <w:kern w:val="21"/>
          <w:szCs w:val="21"/>
        </w:rPr>
        <w:fldChar w:fldCharType="end"/>
      </w:r>
    </w:p>
    <w:p w14:paraId="2D97BBC9">
      <w:pPr>
        <w:keepLines w:val="0"/>
        <w:pageBreakBefore w:val="0"/>
        <w:kinsoku/>
        <w:topLinePunct w:val="0"/>
        <w:bidi w:val="0"/>
        <w:adjustRightInd w:val="0"/>
        <w:snapToGrid w:val="0"/>
        <w:rPr>
          <w:rFonts w:hint="default" w:ascii="Times New Roman" w:hAnsi="Times New Roman" w:eastAsia="宋体" w:cs="Times New Roman"/>
        </w:rPr>
        <w:sectPr>
          <w:pgSz w:w="16838" w:h="11905" w:orient="landscape"/>
          <w:pgMar w:top="1803" w:right="1440" w:bottom="1803" w:left="1440"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3FD9EAA9">
      <w:pPr>
        <w:keepLines w:val="0"/>
        <w:pageBreakBefore w:val="0"/>
        <w:kinsoku/>
        <w:topLinePunct w:val="0"/>
        <w:bidi w:val="0"/>
        <w:adjustRightInd w:val="0"/>
        <w:snapToGrid w:val="0"/>
        <w:spacing w:line="460" w:lineRule="exact"/>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附件：</w:t>
      </w:r>
    </w:p>
    <w:p w14:paraId="558EC7B3">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附件1环评委托书</w:t>
      </w:r>
    </w:p>
    <w:p w14:paraId="5890091D">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附件</w:t>
      </w:r>
      <w:r>
        <w:rPr>
          <w:rFonts w:hint="default" w:ascii="Times New Roman" w:hAnsi="Times New Roman" w:eastAsia="宋体" w:cs="Times New Roman"/>
          <w:sz w:val="28"/>
          <w:szCs w:val="28"/>
          <w:lang w:val="en-US" w:eastAsia="zh-CN"/>
        </w:rPr>
        <w:t>2备案文件</w:t>
      </w:r>
    </w:p>
    <w:p w14:paraId="5B8B9B4F">
      <w:pPr>
        <w:keepLines w:val="0"/>
        <w:pageBreakBefore w:val="0"/>
        <w:kinsoku/>
        <w:topLinePunct w:val="0"/>
        <w:bidi w:val="0"/>
        <w:adjustRightInd w:val="0"/>
        <w:snapToGrid w:val="0"/>
        <w:spacing w:line="460" w:lineRule="exact"/>
        <w:ind w:firstLine="560" w:firstLineChars="200"/>
        <w:rPr>
          <w:rFonts w:hint="default" w:cs="Times New Roman"/>
          <w:sz w:val="28"/>
          <w:szCs w:val="28"/>
          <w:lang w:val="en-US" w:eastAsia="zh-CN"/>
        </w:rPr>
      </w:pPr>
      <w:r>
        <w:rPr>
          <w:rFonts w:hint="eastAsia" w:cs="Times New Roman"/>
          <w:sz w:val="28"/>
          <w:szCs w:val="28"/>
          <w:lang w:val="en-US" w:eastAsia="zh-CN"/>
        </w:rPr>
        <w:t>附件3选址情况说明</w:t>
      </w:r>
    </w:p>
    <w:p w14:paraId="2A5A23DF">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附件4</w:t>
      </w:r>
      <w:r>
        <w:rPr>
          <w:rFonts w:hint="eastAsia" w:cs="Times New Roman"/>
          <w:sz w:val="28"/>
          <w:szCs w:val="28"/>
          <w:lang w:val="en-US" w:eastAsia="zh-CN"/>
        </w:rPr>
        <w:t>《濉溪县恒鑫再生资源有限公司年加工30万吨煤矸石、建筑垃圾建设项目环境影响报告表》审批意见</w:t>
      </w:r>
    </w:p>
    <w:p w14:paraId="623FAB1E">
      <w:pPr>
        <w:keepLines w:val="0"/>
        <w:pageBreakBefore w:val="0"/>
        <w:kinsoku/>
        <w:topLinePunct w:val="0"/>
        <w:bidi w:val="0"/>
        <w:adjustRightInd w:val="0"/>
        <w:snapToGrid w:val="0"/>
        <w:spacing w:line="460" w:lineRule="exac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附件</w:t>
      </w:r>
      <w:r>
        <w:rPr>
          <w:rFonts w:hint="eastAsia" w:cs="Times New Roman"/>
          <w:sz w:val="28"/>
          <w:szCs w:val="28"/>
          <w:lang w:val="en-US" w:eastAsia="zh-CN"/>
        </w:rPr>
        <w:t>5</w:t>
      </w:r>
      <w:r>
        <w:rPr>
          <w:rFonts w:hint="eastAsia" w:ascii="Times New Roman" w:hAnsi="Times New Roman" w:eastAsia="宋体" w:cs="Times New Roman"/>
          <w:sz w:val="28"/>
          <w:szCs w:val="28"/>
          <w:lang w:val="en-US" w:eastAsia="zh-CN"/>
        </w:rPr>
        <w:t>濉溪县恒鑫再生资源有限公司年加工30万吨煤矸石、建筑垃圾建设项目阶段性竣工环境保护验收意见</w:t>
      </w:r>
    </w:p>
    <w:p w14:paraId="7653CEC9">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附件</w:t>
      </w:r>
      <w:r>
        <w:rPr>
          <w:rFonts w:hint="eastAsia" w:cs="Times New Roman"/>
          <w:sz w:val="28"/>
          <w:szCs w:val="28"/>
          <w:lang w:val="en-US" w:eastAsia="zh-CN"/>
        </w:rPr>
        <w:t>6</w:t>
      </w:r>
      <w:r>
        <w:rPr>
          <w:rFonts w:hint="default" w:ascii="Times New Roman" w:hAnsi="Times New Roman" w:eastAsia="宋体" w:cs="Times New Roman"/>
          <w:sz w:val="28"/>
          <w:szCs w:val="28"/>
          <w:lang w:val="en-US" w:eastAsia="zh-CN"/>
        </w:rPr>
        <w:t>排污登记回执</w:t>
      </w:r>
    </w:p>
    <w:p w14:paraId="3FFEE023">
      <w:pPr>
        <w:keepLines w:val="0"/>
        <w:pageBreakBefore w:val="0"/>
        <w:kinsoku/>
        <w:topLinePunct w:val="0"/>
        <w:bidi w:val="0"/>
        <w:adjustRightInd w:val="0"/>
        <w:snapToGrid w:val="0"/>
        <w:spacing w:line="460" w:lineRule="exact"/>
        <w:rPr>
          <w:rFonts w:hint="default" w:ascii="Times New Roman" w:hAnsi="Times New Roman" w:eastAsia="宋体" w:cs="Times New Roman"/>
          <w:sz w:val="24"/>
        </w:rPr>
      </w:pPr>
    </w:p>
    <w:p w14:paraId="3B3B1C54">
      <w:pPr>
        <w:keepLines w:val="0"/>
        <w:pageBreakBefore w:val="0"/>
        <w:kinsoku/>
        <w:topLinePunct w:val="0"/>
        <w:bidi w:val="0"/>
        <w:adjustRightInd w:val="0"/>
        <w:snapToGrid w:val="0"/>
        <w:spacing w:line="460" w:lineRule="exact"/>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附图：</w:t>
      </w:r>
    </w:p>
    <w:p w14:paraId="4529A8F8">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附图1项目地理位置</w:t>
      </w:r>
      <w:r>
        <w:rPr>
          <w:rFonts w:hint="default" w:ascii="Times New Roman" w:hAnsi="Times New Roman" w:eastAsia="宋体" w:cs="Times New Roman"/>
          <w:sz w:val="28"/>
          <w:szCs w:val="28"/>
          <w:lang w:val="en-US" w:eastAsia="zh-CN"/>
        </w:rPr>
        <w:t>图</w:t>
      </w:r>
    </w:p>
    <w:p w14:paraId="7A07EDE3">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附图2</w:t>
      </w:r>
      <w:r>
        <w:rPr>
          <w:rFonts w:hint="default" w:ascii="Times New Roman" w:hAnsi="Times New Roman" w:eastAsia="宋体" w:cs="Times New Roman"/>
          <w:sz w:val="28"/>
          <w:szCs w:val="28"/>
          <w:lang w:val="en-US" w:eastAsia="zh-CN"/>
        </w:rPr>
        <w:t>淮北市生态保护红线图</w:t>
      </w:r>
    </w:p>
    <w:p w14:paraId="508A289E">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附图3</w:t>
      </w:r>
      <w:r>
        <w:rPr>
          <w:rFonts w:hint="default" w:ascii="Times New Roman" w:hAnsi="Times New Roman" w:eastAsia="宋体" w:cs="Times New Roman"/>
          <w:sz w:val="28"/>
          <w:szCs w:val="28"/>
          <w:lang w:val="en-US" w:eastAsia="zh-CN"/>
        </w:rPr>
        <w:t>淮北市水环境分区管控图</w:t>
      </w:r>
    </w:p>
    <w:p w14:paraId="38C1C71E">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附图4</w:t>
      </w:r>
      <w:r>
        <w:rPr>
          <w:rFonts w:hint="default" w:ascii="Times New Roman" w:hAnsi="Times New Roman" w:eastAsia="宋体" w:cs="Times New Roman"/>
          <w:sz w:val="28"/>
          <w:szCs w:val="28"/>
          <w:lang w:val="en-US" w:eastAsia="zh-CN"/>
        </w:rPr>
        <w:t>淮北市大气环境分区管控图</w:t>
      </w:r>
    </w:p>
    <w:p w14:paraId="18ED6249">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附图5</w:t>
      </w:r>
      <w:r>
        <w:rPr>
          <w:rFonts w:hint="default" w:ascii="Times New Roman" w:hAnsi="Times New Roman" w:eastAsia="宋体" w:cs="Times New Roman"/>
          <w:sz w:val="28"/>
          <w:szCs w:val="28"/>
          <w:lang w:val="en-US" w:eastAsia="zh-CN"/>
        </w:rPr>
        <w:t>淮北市土壤环境风险分区防控图</w:t>
      </w:r>
    </w:p>
    <w:p w14:paraId="472AAAF1">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附图6</w:t>
      </w:r>
      <w:r>
        <w:rPr>
          <w:rFonts w:hint="default" w:ascii="Times New Roman" w:hAnsi="Times New Roman" w:eastAsia="宋体" w:cs="Times New Roman"/>
          <w:sz w:val="28"/>
          <w:szCs w:val="28"/>
          <w:lang w:val="en-US" w:eastAsia="zh-CN"/>
        </w:rPr>
        <w:t>淮北市环境管控单元图</w:t>
      </w:r>
    </w:p>
    <w:p w14:paraId="24794D4A">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附图7环境敏感保护目标图</w:t>
      </w:r>
    </w:p>
    <w:p w14:paraId="2D918AE3">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附图8项目区平面布置图</w:t>
      </w:r>
    </w:p>
    <w:p w14:paraId="1F5B6AC1">
      <w:pPr>
        <w:keepLines w:val="0"/>
        <w:pageBreakBefore w:val="0"/>
        <w:kinsoku/>
        <w:topLinePunct w:val="0"/>
        <w:bidi w:val="0"/>
        <w:adjustRightInd w:val="0"/>
        <w:snapToGrid w:val="0"/>
        <w:spacing w:line="460" w:lineRule="exact"/>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附图9分区防渗图</w:t>
      </w:r>
    </w:p>
    <w:p w14:paraId="2E2C3D1B">
      <w:pPr>
        <w:keepLines w:val="0"/>
        <w:pageBreakBefore w:val="0"/>
        <w:kinsoku/>
        <w:topLinePunct w:val="0"/>
        <w:bidi w:val="0"/>
        <w:adjustRightInd w:val="0"/>
        <w:snapToGrid w:val="0"/>
        <w:spacing w:line="460" w:lineRule="exact"/>
        <w:ind w:firstLine="480" w:firstLineChars="200"/>
        <w:rPr>
          <w:rFonts w:hint="default" w:ascii="Times New Roman" w:hAnsi="Times New Roman" w:eastAsia="宋体" w:cs="Times New Roman"/>
          <w:sz w:val="24"/>
          <w:lang w:val="en-US" w:eastAsia="zh-CN"/>
        </w:rPr>
      </w:pPr>
    </w:p>
    <w:p w14:paraId="776A38FD">
      <w:pPr>
        <w:pStyle w:val="57"/>
        <w:rPr>
          <w:rFonts w:hint="default" w:ascii="Times New Roman" w:hAnsi="Times New Roman" w:eastAsia="宋体" w:cs="Times New Roman"/>
          <w:sz w:val="24"/>
          <w:lang w:val="en-US" w:eastAsia="zh-CN"/>
        </w:rPr>
      </w:pPr>
    </w:p>
    <w:p w14:paraId="6F5A2431">
      <w:pPr>
        <w:rPr>
          <w:rFonts w:hint="default"/>
          <w:lang w:val="en-US" w:eastAsia="zh-CN"/>
        </w:rPr>
      </w:pPr>
    </w:p>
    <w:p w14:paraId="5768F135">
      <w:pPr>
        <w:pStyle w:val="2"/>
        <w:rPr>
          <w:rFonts w:hint="default" w:ascii="Times New Roman" w:hAnsi="Times New Roman" w:eastAsia="宋体" w:cs="Times New Roman"/>
          <w:lang w:val="en-US" w:eastAsia="zh-CN"/>
        </w:rPr>
      </w:pPr>
    </w:p>
    <w:p w14:paraId="405FDD8E">
      <w:pPr>
        <w:pStyle w:val="18"/>
        <w:rPr>
          <w:rFonts w:hint="default" w:ascii="Times New Roman" w:hAnsi="Times New Roman" w:eastAsia="宋体" w:cs="Times New Roman"/>
          <w:sz w:val="24"/>
          <w:lang w:val="en-US" w:eastAsia="zh-CN"/>
        </w:rPr>
      </w:pPr>
    </w:p>
    <w:p w14:paraId="416EA84F">
      <w:pPr>
        <w:pStyle w:val="61"/>
        <w:rPr>
          <w:rFonts w:hint="default" w:ascii="Times New Roman" w:hAnsi="Times New Roman" w:eastAsia="宋体" w:cs="Times New Roman"/>
          <w:sz w:val="24"/>
          <w:lang w:val="en-US" w:eastAsia="zh-CN"/>
        </w:rPr>
      </w:pPr>
    </w:p>
    <w:p w14:paraId="675DF4DF">
      <w:pPr>
        <w:pStyle w:val="61"/>
        <w:rPr>
          <w:rFonts w:hint="default" w:ascii="Times New Roman" w:hAnsi="Times New Roman" w:eastAsia="宋体" w:cs="Times New Roman"/>
          <w:sz w:val="24"/>
          <w:lang w:val="en-US" w:eastAsia="zh-CN"/>
        </w:rPr>
      </w:pPr>
    </w:p>
    <w:p w14:paraId="1CEB5DC4">
      <w:pPr>
        <w:pStyle w:val="61"/>
        <w:rPr>
          <w:rFonts w:hint="default" w:ascii="Times New Roman" w:hAnsi="Times New Roman" w:eastAsia="宋体" w:cs="Times New Roman"/>
          <w:sz w:val="24"/>
          <w:lang w:val="en-US" w:eastAsia="zh-CN"/>
        </w:rPr>
      </w:pPr>
    </w:p>
    <w:p w14:paraId="10C548EC">
      <w:pPr>
        <w:pStyle w:val="61"/>
        <w:rPr>
          <w:rFonts w:hint="default" w:ascii="Times New Roman" w:hAnsi="Times New Roman" w:eastAsia="宋体" w:cs="Times New Roman"/>
          <w:sz w:val="24"/>
          <w:lang w:val="en-US" w:eastAsia="zh-CN"/>
        </w:rPr>
      </w:pPr>
    </w:p>
    <w:p w14:paraId="346F2C6E">
      <w:pPr>
        <w:pStyle w:val="61"/>
        <w:rPr>
          <w:rFonts w:hint="default" w:ascii="Times New Roman" w:hAnsi="Times New Roman" w:eastAsia="宋体" w:cs="Times New Roman"/>
          <w:sz w:val="24"/>
          <w:lang w:val="en-US" w:eastAsia="zh-CN"/>
        </w:rPr>
      </w:pPr>
    </w:p>
    <w:p w14:paraId="28263E28">
      <w:pPr>
        <w:pStyle w:val="61"/>
        <w:rPr>
          <w:rFonts w:hint="default" w:ascii="Times New Roman" w:hAnsi="Times New Roman" w:eastAsia="宋体" w:cs="Times New Roman"/>
          <w:sz w:val="24"/>
          <w:lang w:val="en-US" w:eastAsia="zh-CN"/>
        </w:rPr>
      </w:pPr>
    </w:p>
    <w:p w14:paraId="7947F684">
      <w:pPr>
        <w:keepNext w:val="0"/>
        <w:keepLines w:val="0"/>
        <w:pageBreakBefore/>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kern w:val="2"/>
          <w:sz w:val="32"/>
          <w:szCs w:val="32"/>
          <w:lang w:val="en-US" w:eastAsia="zh-CN" w:bidi="ar-SA"/>
        </w:rPr>
      </w:pPr>
      <w:r>
        <w:rPr>
          <w:rFonts w:hint="default" w:ascii="Times New Roman" w:hAnsi="Times New Roman" w:eastAsia="宋体" w:cs="Times New Roman"/>
          <w:b/>
          <w:bCs/>
          <w:color w:val="auto"/>
          <w:sz w:val="32"/>
          <w:szCs w:val="32"/>
          <w:lang w:val="en-US" w:eastAsia="zh-CN"/>
        </w:rPr>
        <w:t>附件一</w:t>
      </w:r>
      <w:r>
        <w:rPr>
          <w:rFonts w:hint="default" w:ascii="Times New Roman" w:hAnsi="Times New Roman" w:eastAsia="宋体" w:cs="Times New Roman"/>
          <w:b/>
          <w:bCs/>
          <w:color w:val="auto"/>
          <w:kern w:val="2"/>
          <w:sz w:val="32"/>
          <w:szCs w:val="32"/>
          <w:lang w:val="en-US" w:eastAsia="zh-CN" w:bidi="ar-SA"/>
        </w:rPr>
        <w:t>委托书</w:t>
      </w:r>
    </w:p>
    <w:p w14:paraId="42732857">
      <w:pPr>
        <w:spacing w:before="156" w:line="223" w:lineRule="auto"/>
        <w:ind w:left="0" w:leftChars="0" w:firstLine="0" w:firstLineChars="0"/>
        <w:jc w:val="center"/>
        <w:outlineLvl w:val="0"/>
        <w:rPr>
          <w:rFonts w:hint="default" w:ascii="Times New Roman" w:hAnsi="Times New Roman" w:eastAsia="宋体" w:cs="Times New Roman"/>
          <w:sz w:val="48"/>
          <w:szCs w:val="48"/>
        </w:rPr>
      </w:pPr>
      <w:r>
        <w:rPr>
          <w:rFonts w:hint="default" w:ascii="Times New Roman" w:hAnsi="Times New Roman" w:eastAsia="宋体" w:cs="Times New Roman"/>
          <w:spacing w:val="5"/>
          <w:sz w:val="48"/>
          <w:szCs w:val="48"/>
        </w:rPr>
        <w:t>委</w:t>
      </w:r>
      <w:r>
        <w:rPr>
          <w:rFonts w:hint="default" w:ascii="Times New Roman" w:hAnsi="Times New Roman" w:eastAsia="宋体" w:cs="Times New Roman"/>
          <w:spacing w:val="3"/>
          <w:sz w:val="48"/>
          <w:szCs w:val="48"/>
        </w:rPr>
        <w:t>托书</w:t>
      </w:r>
    </w:p>
    <w:p w14:paraId="3D4B8334">
      <w:pPr>
        <w:spacing w:line="298" w:lineRule="auto"/>
        <w:rPr>
          <w:rFonts w:hint="default" w:ascii="Times New Roman" w:hAnsi="Times New Roman" w:eastAsia="宋体" w:cs="Times New Roman"/>
          <w:sz w:val="21"/>
        </w:rPr>
      </w:pPr>
    </w:p>
    <w:p w14:paraId="0601E7F3">
      <w:pPr>
        <w:spacing w:line="298" w:lineRule="auto"/>
        <w:rPr>
          <w:rFonts w:hint="default" w:ascii="Times New Roman" w:hAnsi="Times New Roman" w:eastAsia="宋体" w:cs="Times New Roman"/>
          <w:sz w:val="21"/>
        </w:rPr>
      </w:pPr>
    </w:p>
    <w:p w14:paraId="351C3766">
      <w:pPr>
        <w:spacing w:before="107" w:line="360" w:lineRule="auto"/>
        <w:ind w:left="95"/>
        <w:rPr>
          <w:rFonts w:hint="default" w:ascii="Times New Roman" w:hAnsi="Times New Roman" w:eastAsia="宋体" w:cs="Times New Roman"/>
          <w:spacing w:val="-8"/>
          <w:sz w:val="32"/>
          <w:szCs w:val="32"/>
        </w:rPr>
      </w:pPr>
      <w:r>
        <w:rPr>
          <w:rFonts w:hint="default" w:ascii="Times New Roman" w:hAnsi="Times New Roman" w:eastAsia="宋体" w:cs="Times New Roman"/>
          <w:spacing w:val="-8"/>
          <w:sz w:val="32"/>
          <w:szCs w:val="32"/>
          <w:u w:val="single" w:color="auto"/>
        </w:rPr>
        <w:t>安徽</w:t>
      </w:r>
      <w:r>
        <w:rPr>
          <w:rFonts w:hint="default" w:ascii="Times New Roman" w:hAnsi="Times New Roman" w:eastAsia="宋体" w:cs="Times New Roman"/>
          <w:spacing w:val="-8"/>
          <w:sz w:val="32"/>
          <w:szCs w:val="32"/>
          <w:u w:val="single" w:color="auto"/>
          <w:lang w:eastAsia="zh-CN"/>
        </w:rPr>
        <w:t>西科环境</w:t>
      </w:r>
      <w:r>
        <w:rPr>
          <w:rFonts w:hint="default" w:ascii="Times New Roman" w:hAnsi="Times New Roman" w:eastAsia="宋体" w:cs="Times New Roman"/>
          <w:spacing w:val="-8"/>
          <w:sz w:val="32"/>
          <w:szCs w:val="32"/>
          <w:u w:val="single" w:color="auto"/>
        </w:rPr>
        <w:t>工程有限公司</w:t>
      </w:r>
      <w:r>
        <w:rPr>
          <w:rFonts w:hint="default" w:ascii="Times New Roman" w:hAnsi="Times New Roman" w:eastAsia="宋体" w:cs="Times New Roman"/>
          <w:spacing w:val="-8"/>
          <w:sz w:val="32"/>
          <w:szCs w:val="32"/>
        </w:rPr>
        <w:t>：</w:t>
      </w:r>
    </w:p>
    <w:p w14:paraId="23D47697">
      <w:pPr>
        <w:spacing w:before="107" w:line="360" w:lineRule="auto"/>
        <w:ind w:left="95"/>
        <w:rPr>
          <w:rFonts w:hint="default" w:ascii="Times New Roman" w:hAnsi="Times New Roman" w:eastAsia="宋体" w:cs="Times New Roman"/>
          <w:spacing w:val="-8"/>
          <w:sz w:val="32"/>
          <w:szCs w:val="32"/>
        </w:rPr>
      </w:pPr>
    </w:p>
    <w:p w14:paraId="1AFDC387">
      <w:pPr>
        <w:spacing w:before="107" w:line="360" w:lineRule="auto"/>
        <w:ind w:left="95" w:firstLine="640" w:firstLineChars="200"/>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我公司投资建设水稳站固废利用技术改造项目，已经淮北市濉溪县</w:t>
      </w:r>
      <w:r>
        <w:rPr>
          <w:rFonts w:hint="eastAsia" w:ascii="Times New Roman" w:hAnsi="Times New Roman" w:eastAsia="宋体" w:cs="Times New Roman"/>
          <w:color w:val="auto"/>
          <w:sz w:val="32"/>
          <w:szCs w:val="32"/>
          <w:lang w:val="en-US" w:eastAsia="zh-CN"/>
        </w:rPr>
        <w:t>经济</w:t>
      </w:r>
      <w:r>
        <w:rPr>
          <w:rFonts w:hint="default" w:ascii="Times New Roman" w:hAnsi="Times New Roman" w:eastAsia="宋体" w:cs="Times New Roman"/>
          <w:color w:val="auto"/>
          <w:sz w:val="32"/>
          <w:szCs w:val="32"/>
          <w:lang w:val="en-US" w:eastAsia="zh-CN"/>
        </w:rPr>
        <w:t>和信息化局备案，须编制环境影响报告表。根据《中华人民共和国环境影响评价法》及《建设项目环境保护管理条例》有关规定，现委托贵公司对该项目进行环境影响评价，编制并提交此项目环境影响评价报告表。</w:t>
      </w:r>
    </w:p>
    <w:p w14:paraId="36BC95E4">
      <w:pPr>
        <w:spacing w:before="107" w:line="360" w:lineRule="auto"/>
        <w:ind w:left="95" w:firstLine="640" w:firstLineChars="200"/>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其他相关事宜以有关合同或协议为准。</w:t>
      </w:r>
    </w:p>
    <w:p w14:paraId="52C79295">
      <w:pPr>
        <w:spacing w:before="107" w:line="360" w:lineRule="auto"/>
        <w:ind w:left="95" w:firstLine="640" w:firstLineChars="200"/>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特此委托。</w:t>
      </w:r>
    </w:p>
    <w:p w14:paraId="116690C1">
      <w:pPr>
        <w:spacing w:before="107" w:line="360" w:lineRule="auto"/>
        <w:ind w:left="95" w:firstLine="640" w:firstLineChars="200"/>
        <w:rPr>
          <w:rFonts w:hint="default" w:ascii="Times New Roman" w:hAnsi="Times New Roman" w:eastAsia="宋体" w:cs="Times New Roman"/>
          <w:color w:val="auto"/>
          <w:sz w:val="32"/>
          <w:szCs w:val="32"/>
          <w:lang w:val="en-US" w:eastAsia="zh-CN"/>
        </w:rPr>
      </w:pPr>
    </w:p>
    <w:p w14:paraId="06461021">
      <w:pPr>
        <w:wordWrap w:val="0"/>
        <w:spacing w:before="107" w:line="360" w:lineRule="auto"/>
        <w:ind w:left="95" w:firstLine="640" w:firstLineChars="200"/>
        <w:jc w:val="right"/>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建设单位（盖章）：</w:t>
      </w:r>
    </w:p>
    <w:p w14:paraId="010AC578">
      <w:pPr>
        <w:wordWrap w:val="0"/>
        <w:spacing w:before="107" w:line="360" w:lineRule="auto"/>
        <w:ind w:left="95" w:firstLine="640" w:firstLineChars="200"/>
        <w:jc w:val="center"/>
        <w:rPr>
          <w:rFonts w:hint="default" w:ascii="Times New Roman" w:hAnsi="Times New Roman" w:eastAsia="宋体" w:cs="Times New Roman"/>
          <w:sz w:val="32"/>
          <w:szCs w:val="32"/>
        </w:rPr>
      </w:pPr>
      <w:r>
        <w:rPr>
          <w:rFonts w:hint="eastAsia" w:cs="Times New Roman"/>
          <w:color w:val="auto"/>
          <w:sz w:val="32"/>
          <w:szCs w:val="32"/>
          <w:lang w:val="en-US" w:eastAsia="zh-CN"/>
        </w:rPr>
        <w:t xml:space="preserve">                               </w:t>
      </w:r>
      <w:r>
        <w:rPr>
          <w:rFonts w:hint="default" w:ascii="Times New Roman" w:hAnsi="Times New Roman" w:eastAsia="宋体" w:cs="Times New Roman"/>
          <w:color w:val="auto"/>
          <w:sz w:val="32"/>
          <w:szCs w:val="32"/>
          <w:lang w:val="en-US" w:eastAsia="zh-CN"/>
        </w:rPr>
        <w:t>年</w:t>
      </w:r>
      <w:r>
        <w:rPr>
          <w:rFonts w:hint="eastAsia" w:cs="Times New Roman"/>
          <w:color w:val="auto"/>
          <w:sz w:val="32"/>
          <w:szCs w:val="32"/>
          <w:lang w:val="en-US" w:eastAsia="zh-CN"/>
        </w:rPr>
        <w:t xml:space="preserve">    </w:t>
      </w:r>
      <w:r>
        <w:rPr>
          <w:rFonts w:hint="default" w:ascii="Times New Roman" w:hAnsi="Times New Roman" w:eastAsia="宋体" w:cs="Times New Roman"/>
          <w:color w:val="auto"/>
          <w:sz w:val="32"/>
          <w:szCs w:val="32"/>
          <w:lang w:val="en-US" w:eastAsia="zh-CN"/>
        </w:rPr>
        <w:t>月</w:t>
      </w:r>
      <w:r>
        <w:rPr>
          <w:rFonts w:hint="eastAsia" w:cs="Times New Roman"/>
          <w:color w:val="auto"/>
          <w:sz w:val="32"/>
          <w:szCs w:val="32"/>
          <w:lang w:val="en-US" w:eastAsia="zh-CN"/>
        </w:rPr>
        <w:t xml:space="preserve">    </w:t>
      </w:r>
      <w:r>
        <w:rPr>
          <w:rFonts w:hint="default" w:ascii="Times New Roman" w:hAnsi="Times New Roman" w:eastAsia="宋体" w:cs="Times New Roman"/>
          <w:color w:val="auto"/>
          <w:sz w:val="32"/>
          <w:szCs w:val="32"/>
          <w:lang w:val="en-US" w:eastAsia="zh-CN"/>
        </w:rPr>
        <w:t>日</w:t>
      </w:r>
    </w:p>
    <w:p w14:paraId="16D88A5F">
      <w:pPr>
        <w:pStyle w:val="57"/>
        <w:rPr>
          <w:rFonts w:hint="default" w:ascii="Times New Roman" w:hAnsi="Times New Roman" w:eastAsia="宋体" w:cs="Times New Roman"/>
          <w:b/>
          <w:bCs/>
          <w:color w:val="auto"/>
          <w:kern w:val="2"/>
          <w:sz w:val="32"/>
          <w:szCs w:val="32"/>
          <w:lang w:val="en-US" w:eastAsia="zh-CN" w:bidi="ar-SA"/>
        </w:rPr>
      </w:pPr>
    </w:p>
    <w:p w14:paraId="5B7EA33E">
      <w:pPr>
        <w:pStyle w:val="2"/>
        <w:keepNext w:val="0"/>
        <w:keepLines w:val="0"/>
        <w:pageBreakBefore/>
        <w:widowControl w:val="0"/>
        <w:kinsoku/>
        <w:wordWrap/>
        <w:overflowPunct/>
        <w:topLinePunct w:val="0"/>
        <w:autoSpaceDE/>
        <w:autoSpaceDN/>
        <w:bidi w:val="0"/>
        <w:adjustRightInd/>
        <w:snapToGrid/>
        <w:spacing w:beforeAutospacing="0" w:afterAutospacing="0" w:line="260" w:lineRule="auto"/>
        <w:ind w:left="431" w:hanging="431"/>
        <w:textAlignment w:val="auto"/>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t>附件二备案文件</w:t>
      </w:r>
    </w:p>
    <w:p w14:paraId="08960488">
      <w:pPr>
        <w:pStyle w:val="2"/>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32"/>
          <w:szCs w:val="32"/>
          <w:lang w:val="en-US" w:eastAsia="zh-CN"/>
        </w:rPr>
        <w:drawing>
          <wp:inline distT="0" distB="0" distL="114300" distR="114300">
            <wp:extent cx="5440045" cy="7252335"/>
            <wp:effectExtent l="0" t="0" r="8255" b="5715"/>
            <wp:docPr id="36" name="图片 36" descr="备案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备案新"/>
                    <pic:cNvPicPr>
                      <a:picLocks noChangeAspect="1"/>
                    </pic:cNvPicPr>
                  </pic:nvPicPr>
                  <pic:blipFill>
                    <a:blip r:embed="rId22"/>
                    <a:stretch>
                      <a:fillRect/>
                    </a:stretch>
                  </pic:blipFill>
                  <pic:spPr>
                    <a:xfrm>
                      <a:off x="0" y="0"/>
                      <a:ext cx="5440045" cy="7252335"/>
                    </a:xfrm>
                    <a:prstGeom prst="rect">
                      <a:avLst/>
                    </a:prstGeom>
                  </pic:spPr>
                </pic:pic>
              </a:graphicData>
            </a:graphic>
          </wp:inline>
        </w:drawing>
      </w:r>
    </w:p>
    <w:p w14:paraId="7626E521">
      <w:pPr>
        <w:rPr>
          <w:rFonts w:hint="default" w:ascii="Times New Roman" w:hAnsi="Times New Roman" w:eastAsia="宋体" w:cs="Times New Roman"/>
          <w:lang w:val="en-US" w:eastAsia="zh-CN"/>
        </w:rPr>
      </w:pPr>
    </w:p>
    <w:p w14:paraId="01B817FA">
      <w:pPr>
        <w:rPr>
          <w:rFonts w:hint="default" w:ascii="Times New Roman" w:hAnsi="Times New Roman" w:eastAsia="宋体" w:cs="Times New Roman"/>
          <w:lang w:val="en-US" w:eastAsia="zh-CN"/>
        </w:rPr>
      </w:pPr>
    </w:p>
    <w:p w14:paraId="01775BDD">
      <w:pPr>
        <w:rPr>
          <w:rFonts w:hint="default" w:ascii="Times New Roman" w:hAnsi="Times New Roman" w:eastAsia="宋体" w:cs="Times New Roman"/>
          <w:lang w:val="en-US" w:eastAsia="zh-CN"/>
        </w:rPr>
      </w:pPr>
    </w:p>
    <w:p w14:paraId="04A07B3F">
      <w:pPr>
        <w:rPr>
          <w:rFonts w:hint="default" w:ascii="Times New Roman" w:hAnsi="Times New Roman" w:eastAsia="宋体" w:cs="Times New Roman"/>
          <w:lang w:val="en-US" w:eastAsia="zh-CN"/>
        </w:rPr>
      </w:pPr>
    </w:p>
    <w:p w14:paraId="2A34B609">
      <w:pPr>
        <w:rPr>
          <w:rFonts w:hint="default" w:ascii="Times New Roman" w:hAnsi="Times New Roman" w:eastAsia="宋体" w:cs="Times New Roman"/>
          <w:lang w:val="en-US" w:eastAsia="zh-CN"/>
        </w:rPr>
      </w:pPr>
    </w:p>
    <w:p w14:paraId="0363D493">
      <w:pPr>
        <w:rPr>
          <w:rFonts w:hint="eastAsia" w:cs="Times New Roman"/>
          <w:b/>
          <w:bCs/>
          <w:color w:val="auto"/>
          <w:kern w:val="2"/>
          <w:sz w:val="32"/>
          <w:szCs w:val="32"/>
          <w:lang w:val="en-US" w:eastAsia="zh-CN" w:bidi="ar-SA"/>
        </w:rPr>
      </w:pPr>
      <w:r>
        <w:rPr>
          <w:rFonts w:hint="default" w:ascii="Times New Roman" w:hAnsi="Times New Roman" w:eastAsia="宋体" w:cs="Times New Roman"/>
          <w:b/>
          <w:bCs/>
          <w:color w:val="auto"/>
          <w:kern w:val="2"/>
          <w:sz w:val="32"/>
          <w:szCs w:val="32"/>
          <w:lang w:val="en-US" w:eastAsia="zh-CN" w:bidi="ar-SA"/>
        </w:rPr>
        <w:t>附件三</w:t>
      </w:r>
      <w:r>
        <w:rPr>
          <w:rFonts w:hint="eastAsia" w:cs="Times New Roman"/>
          <w:b/>
          <w:bCs/>
          <w:color w:val="auto"/>
          <w:kern w:val="2"/>
          <w:sz w:val="32"/>
          <w:szCs w:val="32"/>
          <w:lang w:val="en-US" w:eastAsia="zh-CN" w:bidi="ar-SA"/>
        </w:rPr>
        <w:t>选址情况说明</w:t>
      </w:r>
    </w:p>
    <w:p w14:paraId="32B08BDB">
      <w:pPr>
        <w:pStyle w:val="57"/>
        <w:rPr>
          <w:rFonts w:hint="default"/>
          <w:lang w:val="en-US" w:eastAsia="zh-CN"/>
        </w:rPr>
      </w:pPr>
      <w:r>
        <w:drawing>
          <wp:inline distT="0" distB="0" distL="114300" distR="114300">
            <wp:extent cx="5086350" cy="71247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5086350" cy="7124700"/>
                    </a:xfrm>
                    <a:prstGeom prst="rect">
                      <a:avLst/>
                    </a:prstGeom>
                    <a:noFill/>
                    <a:ln>
                      <a:noFill/>
                    </a:ln>
                  </pic:spPr>
                </pic:pic>
              </a:graphicData>
            </a:graphic>
          </wp:inline>
        </w:drawing>
      </w:r>
      <w:r>
        <w:drawing>
          <wp:inline distT="0" distB="0" distL="114300" distR="114300">
            <wp:extent cx="5086350" cy="71151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4"/>
                    <a:stretch>
                      <a:fillRect/>
                    </a:stretch>
                  </pic:blipFill>
                  <pic:spPr>
                    <a:xfrm>
                      <a:off x="0" y="0"/>
                      <a:ext cx="5086350" cy="7115175"/>
                    </a:xfrm>
                    <a:prstGeom prst="rect">
                      <a:avLst/>
                    </a:prstGeom>
                    <a:noFill/>
                    <a:ln>
                      <a:noFill/>
                    </a:ln>
                  </pic:spPr>
                </pic:pic>
              </a:graphicData>
            </a:graphic>
          </wp:inline>
        </w:drawing>
      </w:r>
      <w:r>
        <w:drawing>
          <wp:inline distT="0" distB="0" distL="114300" distR="114300">
            <wp:extent cx="5086350" cy="7115175"/>
            <wp:effectExtent l="0" t="0" r="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tretch>
                      <a:fillRect/>
                    </a:stretch>
                  </pic:blipFill>
                  <pic:spPr>
                    <a:xfrm>
                      <a:off x="0" y="0"/>
                      <a:ext cx="5086350" cy="7115175"/>
                    </a:xfrm>
                    <a:prstGeom prst="rect">
                      <a:avLst/>
                    </a:prstGeom>
                    <a:noFill/>
                    <a:ln>
                      <a:noFill/>
                    </a:ln>
                  </pic:spPr>
                </pic:pic>
              </a:graphicData>
            </a:graphic>
          </wp:inline>
        </w:drawing>
      </w:r>
    </w:p>
    <w:p w14:paraId="1ABB1E78">
      <w:pPr>
        <w:rPr>
          <w:rFonts w:hint="eastAsia" w:cs="Times New Roman"/>
          <w:b/>
          <w:bCs/>
          <w:color w:val="auto"/>
          <w:kern w:val="2"/>
          <w:sz w:val="32"/>
          <w:szCs w:val="32"/>
          <w:lang w:val="en-US" w:eastAsia="zh-CN" w:bidi="ar-SA"/>
        </w:rPr>
      </w:pPr>
    </w:p>
    <w:p w14:paraId="30FC0E8B">
      <w:pPr>
        <w:rPr>
          <w:rFonts w:hint="eastAsia" w:cs="Times New Roman"/>
          <w:b/>
          <w:bCs/>
          <w:color w:val="auto"/>
          <w:kern w:val="2"/>
          <w:sz w:val="32"/>
          <w:szCs w:val="32"/>
          <w:lang w:val="en-US" w:eastAsia="zh-CN" w:bidi="ar-SA"/>
        </w:rPr>
      </w:pPr>
    </w:p>
    <w:p w14:paraId="645DAEAA">
      <w:pPr>
        <w:rPr>
          <w:rFonts w:hint="eastAsia" w:cs="Times New Roman"/>
          <w:b/>
          <w:bCs/>
          <w:color w:val="auto"/>
          <w:kern w:val="2"/>
          <w:sz w:val="32"/>
          <w:szCs w:val="32"/>
          <w:lang w:val="en-US" w:eastAsia="zh-CN" w:bidi="ar-SA"/>
        </w:rPr>
      </w:pPr>
    </w:p>
    <w:p w14:paraId="7AFCBF52">
      <w:pPr>
        <w:rPr>
          <w:rFonts w:hint="eastAsia" w:cs="Times New Roman"/>
          <w:b/>
          <w:bCs/>
          <w:color w:val="auto"/>
          <w:kern w:val="2"/>
          <w:sz w:val="32"/>
          <w:szCs w:val="32"/>
          <w:lang w:val="en-US" w:eastAsia="zh-CN" w:bidi="ar-SA"/>
        </w:rPr>
      </w:pPr>
    </w:p>
    <w:p w14:paraId="4CAB7A37">
      <w:pPr>
        <w:rPr>
          <w:rFonts w:hint="eastAsia" w:cs="Times New Roman"/>
          <w:b/>
          <w:bCs/>
          <w:color w:val="auto"/>
          <w:kern w:val="2"/>
          <w:sz w:val="32"/>
          <w:szCs w:val="32"/>
          <w:lang w:val="en-US" w:eastAsia="zh-CN" w:bidi="ar-SA"/>
        </w:rPr>
      </w:pPr>
    </w:p>
    <w:p w14:paraId="68D46E01">
      <w:pPr>
        <w:rPr>
          <w:rFonts w:hint="eastAsia" w:cs="Times New Roman"/>
          <w:b/>
          <w:bCs/>
          <w:color w:val="auto"/>
          <w:kern w:val="2"/>
          <w:sz w:val="32"/>
          <w:szCs w:val="32"/>
          <w:lang w:val="en-US" w:eastAsia="zh-CN" w:bidi="ar-SA"/>
        </w:rPr>
      </w:pPr>
    </w:p>
    <w:p w14:paraId="71C907E4">
      <w:pPr>
        <w:rPr>
          <w:rFonts w:hint="eastAsia" w:cs="Times New Roman"/>
          <w:b/>
          <w:bCs/>
          <w:color w:val="auto"/>
          <w:kern w:val="2"/>
          <w:sz w:val="32"/>
          <w:szCs w:val="32"/>
          <w:lang w:val="en-US" w:eastAsia="zh-CN" w:bidi="ar-SA"/>
        </w:rPr>
      </w:pPr>
    </w:p>
    <w:p w14:paraId="59AA3AE1">
      <w:pPr>
        <w:rPr>
          <w:rFonts w:hint="default" w:ascii="Times New Roman" w:hAnsi="Times New Roman" w:eastAsia="宋体" w:cs="Times New Roman"/>
          <w:b/>
          <w:bCs/>
          <w:color w:val="auto"/>
          <w:kern w:val="2"/>
          <w:sz w:val="32"/>
          <w:szCs w:val="32"/>
          <w:lang w:val="en-US" w:eastAsia="zh-CN" w:bidi="ar-SA"/>
        </w:rPr>
      </w:pPr>
      <w:r>
        <w:rPr>
          <w:rFonts w:hint="eastAsia" w:cs="Times New Roman"/>
          <w:b/>
          <w:bCs/>
          <w:color w:val="auto"/>
          <w:kern w:val="2"/>
          <w:sz w:val="32"/>
          <w:szCs w:val="32"/>
          <w:lang w:val="en-US" w:eastAsia="zh-CN" w:bidi="ar-SA"/>
        </w:rPr>
        <w:t>附件四</w:t>
      </w:r>
      <w:r>
        <w:rPr>
          <w:rFonts w:hint="default" w:ascii="Times New Roman" w:hAnsi="Times New Roman" w:eastAsia="宋体" w:cs="Times New Roman"/>
          <w:b/>
          <w:bCs/>
          <w:color w:val="auto"/>
          <w:kern w:val="2"/>
          <w:sz w:val="32"/>
          <w:szCs w:val="32"/>
          <w:lang w:val="en-US" w:eastAsia="zh-CN" w:bidi="ar-SA"/>
        </w:rPr>
        <w:t>《濉溪县恒鑫再生资源有限公司年加工30万吨煤矸石、建筑垃圾建设项目环境影响报告表》审批意见（濉环行审〔2019〕33号）。</w:t>
      </w:r>
    </w:p>
    <w:p w14:paraId="7F3C0EE2">
      <w:pPr>
        <w:rPr>
          <w:rFonts w:hint="default" w:ascii="Times New Roman" w:hAnsi="Times New Roman" w:eastAsia="宋体" w:cs="Times New Roman"/>
          <w:lang w:val="en-US" w:eastAsia="zh-CN"/>
        </w:rPr>
      </w:pPr>
    </w:p>
    <w:p w14:paraId="149E2775">
      <w:pPr>
        <w:pStyle w:val="32"/>
        <w:rPr>
          <w:rFonts w:hint="default" w:ascii="Times New Roman" w:hAnsi="Times New Roman" w:eastAsia="宋体" w:cs="Times New Roman"/>
          <w:lang w:val="en-US" w:eastAsia="zh-CN"/>
        </w:rPr>
      </w:pPr>
    </w:p>
    <w:p w14:paraId="263FDDD8">
      <w:pPr>
        <w:pStyle w:val="3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262880" cy="7245985"/>
            <wp:effectExtent l="0" t="0" r="13970" b="12065"/>
            <wp:docPr id="37" name="图片 37" descr="批复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批复原1"/>
                    <pic:cNvPicPr>
                      <a:picLocks noChangeAspect="1"/>
                    </pic:cNvPicPr>
                  </pic:nvPicPr>
                  <pic:blipFill>
                    <a:blip r:embed="rId26"/>
                    <a:stretch>
                      <a:fillRect/>
                    </a:stretch>
                  </pic:blipFill>
                  <pic:spPr>
                    <a:xfrm>
                      <a:off x="0" y="0"/>
                      <a:ext cx="5262880" cy="724598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262880" cy="7245985"/>
            <wp:effectExtent l="0" t="0" r="13970" b="12065"/>
            <wp:docPr id="38" name="图片 38" descr="批复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批复原2"/>
                    <pic:cNvPicPr>
                      <a:picLocks noChangeAspect="1"/>
                    </pic:cNvPicPr>
                  </pic:nvPicPr>
                  <pic:blipFill>
                    <a:blip r:embed="rId27"/>
                    <a:stretch>
                      <a:fillRect/>
                    </a:stretch>
                  </pic:blipFill>
                  <pic:spPr>
                    <a:xfrm>
                      <a:off x="0" y="0"/>
                      <a:ext cx="5262880" cy="724598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262880" cy="7245985"/>
            <wp:effectExtent l="0" t="0" r="13970" b="12065"/>
            <wp:docPr id="39" name="图片 39" descr="批复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批复原3"/>
                    <pic:cNvPicPr>
                      <a:picLocks noChangeAspect="1"/>
                    </pic:cNvPicPr>
                  </pic:nvPicPr>
                  <pic:blipFill>
                    <a:blip r:embed="rId28"/>
                    <a:stretch>
                      <a:fillRect/>
                    </a:stretch>
                  </pic:blipFill>
                  <pic:spPr>
                    <a:xfrm>
                      <a:off x="0" y="0"/>
                      <a:ext cx="5262880" cy="7245985"/>
                    </a:xfrm>
                    <a:prstGeom prst="rect">
                      <a:avLst/>
                    </a:prstGeom>
                  </pic:spPr>
                </pic:pic>
              </a:graphicData>
            </a:graphic>
          </wp:inline>
        </w:drawing>
      </w:r>
    </w:p>
    <w:p w14:paraId="763507B9">
      <w:pPr>
        <w:rPr>
          <w:rFonts w:hint="default" w:ascii="Times New Roman" w:hAnsi="Times New Roman" w:eastAsia="宋体" w:cs="Times New Roman"/>
          <w:lang w:val="en-US" w:eastAsia="zh-CN"/>
        </w:rPr>
      </w:pPr>
    </w:p>
    <w:p w14:paraId="20F3FC7E">
      <w:pPr>
        <w:rPr>
          <w:rFonts w:hint="eastAsia" w:ascii="Times New Roman" w:hAnsi="Times New Roman" w:eastAsia="宋体" w:cs="Times New Roman"/>
          <w:b/>
          <w:bCs/>
          <w:color w:val="auto"/>
          <w:kern w:val="2"/>
          <w:sz w:val="32"/>
          <w:szCs w:val="32"/>
          <w:lang w:val="en-US" w:eastAsia="zh-CN" w:bidi="ar-SA"/>
        </w:rPr>
      </w:pPr>
    </w:p>
    <w:p w14:paraId="20A94D0D">
      <w:pPr>
        <w:rPr>
          <w:rFonts w:hint="eastAsia" w:ascii="Times New Roman" w:hAnsi="Times New Roman" w:eastAsia="宋体" w:cs="Times New Roman"/>
          <w:b/>
          <w:bCs/>
          <w:color w:val="auto"/>
          <w:kern w:val="2"/>
          <w:sz w:val="32"/>
          <w:szCs w:val="32"/>
          <w:lang w:val="en-US" w:eastAsia="zh-CN" w:bidi="ar-SA"/>
        </w:rPr>
      </w:pPr>
    </w:p>
    <w:p w14:paraId="4CCAC418">
      <w:pPr>
        <w:rPr>
          <w:rFonts w:hint="eastAsia" w:ascii="Times New Roman" w:hAnsi="Times New Roman" w:eastAsia="宋体" w:cs="Times New Roman"/>
          <w:b/>
          <w:bCs/>
          <w:color w:val="auto"/>
          <w:kern w:val="2"/>
          <w:sz w:val="32"/>
          <w:szCs w:val="32"/>
          <w:lang w:val="en-US" w:eastAsia="zh-CN" w:bidi="ar-SA"/>
        </w:rPr>
      </w:pPr>
    </w:p>
    <w:p w14:paraId="3709636A">
      <w:pPr>
        <w:rPr>
          <w:rFonts w:hint="eastAsia" w:ascii="Times New Roman" w:hAnsi="Times New Roman" w:eastAsia="宋体" w:cs="Times New Roman"/>
          <w:b/>
          <w:bCs/>
          <w:color w:val="auto"/>
          <w:kern w:val="2"/>
          <w:sz w:val="32"/>
          <w:szCs w:val="32"/>
          <w:lang w:val="en-US" w:eastAsia="zh-CN" w:bidi="ar-SA"/>
        </w:rPr>
      </w:pPr>
    </w:p>
    <w:p w14:paraId="3354D7B5">
      <w:pPr>
        <w:rPr>
          <w:rFonts w:hint="eastAsia" w:ascii="Times New Roman" w:hAnsi="Times New Roman" w:eastAsia="宋体" w:cs="Times New Roman"/>
          <w:b/>
          <w:bCs/>
          <w:color w:val="auto"/>
          <w:kern w:val="2"/>
          <w:sz w:val="32"/>
          <w:szCs w:val="32"/>
          <w:lang w:val="en-US" w:eastAsia="zh-CN" w:bidi="ar-SA"/>
        </w:rPr>
      </w:pPr>
    </w:p>
    <w:p w14:paraId="27121E63">
      <w:pPr>
        <w:rPr>
          <w:rFonts w:hint="eastAsia" w:ascii="Times New Roman" w:hAnsi="Times New Roman" w:eastAsia="宋体" w:cs="Times New Roman"/>
          <w:b/>
          <w:bCs/>
          <w:color w:val="auto"/>
          <w:kern w:val="2"/>
          <w:sz w:val="32"/>
          <w:szCs w:val="32"/>
          <w:lang w:val="en-US" w:eastAsia="zh-CN" w:bidi="ar-SA"/>
        </w:rPr>
      </w:pPr>
    </w:p>
    <w:p w14:paraId="5D72F9A2">
      <w:pPr>
        <w:rPr>
          <w:rFonts w:hint="default" w:ascii="Times New Roman" w:hAnsi="Times New Roman" w:eastAsia="宋体" w:cs="Times New Roman"/>
          <w:b/>
          <w:bCs/>
          <w:color w:val="auto"/>
          <w:kern w:val="2"/>
          <w:sz w:val="32"/>
          <w:szCs w:val="32"/>
          <w:lang w:val="en-US" w:eastAsia="zh-CN" w:bidi="ar-SA"/>
        </w:rPr>
      </w:pPr>
      <w:r>
        <w:rPr>
          <w:rFonts w:hint="eastAsia" w:ascii="Times New Roman" w:hAnsi="Times New Roman" w:eastAsia="宋体" w:cs="Times New Roman"/>
          <w:b/>
          <w:bCs/>
          <w:color w:val="auto"/>
          <w:kern w:val="2"/>
          <w:sz w:val="32"/>
          <w:szCs w:val="32"/>
          <w:lang w:val="en-US" w:eastAsia="zh-CN" w:bidi="ar-SA"/>
        </w:rPr>
        <w:t>附件</w:t>
      </w:r>
      <w:r>
        <w:rPr>
          <w:rFonts w:hint="eastAsia" w:cs="Times New Roman"/>
          <w:b/>
          <w:bCs/>
          <w:color w:val="auto"/>
          <w:kern w:val="2"/>
          <w:sz w:val="32"/>
          <w:szCs w:val="32"/>
          <w:lang w:val="en-US" w:eastAsia="zh-CN" w:bidi="ar-SA"/>
        </w:rPr>
        <w:t>五</w:t>
      </w:r>
      <w:r>
        <w:rPr>
          <w:rFonts w:hint="default" w:ascii="Times New Roman" w:hAnsi="Times New Roman" w:eastAsia="宋体" w:cs="Times New Roman"/>
          <w:b/>
          <w:bCs/>
          <w:color w:val="auto"/>
          <w:kern w:val="2"/>
          <w:sz w:val="32"/>
          <w:szCs w:val="32"/>
          <w:lang w:val="en-US" w:eastAsia="zh-CN" w:bidi="ar-SA"/>
        </w:rPr>
        <w:t>濉溪县恒鑫再生资源有限公司年加工30万吨煤矸石、建筑垃圾建设项目</w:t>
      </w:r>
      <w:r>
        <w:rPr>
          <w:rFonts w:hint="eastAsia" w:eastAsia="宋体" w:cs="Times New Roman"/>
          <w:b/>
          <w:bCs/>
          <w:color w:val="auto"/>
          <w:kern w:val="2"/>
          <w:sz w:val="32"/>
          <w:szCs w:val="32"/>
          <w:lang w:val="en-US" w:eastAsia="zh-CN" w:bidi="ar-SA"/>
        </w:rPr>
        <w:t>阶段性竣工环境保护验收意见</w:t>
      </w:r>
    </w:p>
    <w:p w14:paraId="4100614D">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263515" cy="7442835"/>
            <wp:effectExtent l="0" t="0" r="13335" b="5715"/>
            <wp:docPr id="40" name="图片 40" descr="6、恒鑫验收意见051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恒鑫验收意见0516_00"/>
                    <pic:cNvPicPr>
                      <a:picLocks noChangeAspect="1"/>
                    </pic:cNvPicPr>
                  </pic:nvPicPr>
                  <pic:blipFill>
                    <a:blip r:embed="rId29"/>
                    <a:stretch>
                      <a:fillRect/>
                    </a:stretch>
                  </pic:blipFill>
                  <pic:spPr>
                    <a:xfrm>
                      <a:off x="0" y="0"/>
                      <a:ext cx="5263515" cy="744283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263515" cy="7442835"/>
            <wp:effectExtent l="0" t="0" r="13335" b="5715"/>
            <wp:docPr id="41" name="图片 41" descr="6、恒鑫验收意见051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恒鑫验收意见0516_01"/>
                    <pic:cNvPicPr>
                      <a:picLocks noChangeAspect="1"/>
                    </pic:cNvPicPr>
                  </pic:nvPicPr>
                  <pic:blipFill>
                    <a:blip r:embed="rId30"/>
                    <a:stretch>
                      <a:fillRect/>
                    </a:stretch>
                  </pic:blipFill>
                  <pic:spPr>
                    <a:xfrm>
                      <a:off x="0" y="0"/>
                      <a:ext cx="5263515" cy="744283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263515" cy="7442835"/>
            <wp:effectExtent l="0" t="0" r="13335" b="5715"/>
            <wp:docPr id="44" name="图片 44" descr="6、恒鑫验收意见051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恒鑫验收意见0516_02"/>
                    <pic:cNvPicPr>
                      <a:picLocks noChangeAspect="1"/>
                    </pic:cNvPicPr>
                  </pic:nvPicPr>
                  <pic:blipFill>
                    <a:blip r:embed="rId31"/>
                    <a:stretch>
                      <a:fillRect/>
                    </a:stretch>
                  </pic:blipFill>
                  <pic:spPr>
                    <a:xfrm>
                      <a:off x="0" y="0"/>
                      <a:ext cx="5263515" cy="744283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263515" cy="7442835"/>
            <wp:effectExtent l="0" t="0" r="13335" b="5715"/>
            <wp:docPr id="45" name="图片 45" descr="6、恒鑫验收意见051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恒鑫验收意见0516_03"/>
                    <pic:cNvPicPr>
                      <a:picLocks noChangeAspect="1"/>
                    </pic:cNvPicPr>
                  </pic:nvPicPr>
                  <pic:blipFill>
                    <a:blip r:embed="rId32"/>
                    <a:stretch>
                      <a:fillRect/>
                    </a:stretch>
                  </pic:blipFill>
                  <pic:spPr>
                    <a:xfrm>
                      <a:off x="0" y="0"/>
                      <a:ext cx="5263515" cy="744283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261610" cy="3720465"/>
            <wp:effectExtent l="0" t="0" r="15240" b="13335"/>
            <wp:docPr id="48" name="图片 48" descr="6、恒鑫验收意见051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恒鑫验收意见0516_04"/>
                    <pic:cNvPicPr>
                      <a:picLocks noChangeAspect="1"/>
                    </pic:cNvPicPr>
                  </pic:nvPicPr>
                  <pic:blipFill>
                    <a:blip r:embed="rId33"/>
                    <a:stretch>
                      <a:fillRect/>
                    </a:stretch>
                  </pic:blipFill>
                  <pic:spPr>
                    <a:xfrm>
                      <a:off x="0" y="0"/>
                      <a:ext cx="5261610" cy="3720465"/>
                    </a:xfrm>
                    <a:prstGeom prst="rect">
                      <a:avLst/>
                    </a:prstGeom>
                  </pic:spPr>
                </pic:pic>
              </a:graphicData>
            </a:graphic>
          </wp:inline>
        </w:drawing>
      </w:r>
    </w:p>
    <w:p w14:paraId="07845104">
      <w:pPr>
        <w:pStyle w:val="57"/>
        <w:rPr>
          <w:rFonts w:hint="default" w:ascii="Times New Roman" w:hAnsi="Times New Roman" w:eastAsia="宋体" w:cs="Times New Roman"/>
          <w:lang w:val="en-US" w:eastAsia="zh-CN"/>
        </w:rPr>
      </w:pPr>
    </w:p>
    <w:p w14:paraId="6DE6CBF5">
      <w:pPr>
        <w:rPr>
          <w:rFonts w:hint="default" w:ascii="Times New Roman" w:hAnsi="Times New Roman" w:eastAsia="宋体" w:cs="Times New Roman"/>
          <w:lang w:val="en-US" w:eastAsia="zh-CN"/>
        </w:rPr>
      </w:pPr>
    </w:p>
    <w:p w14:paraId="1941843D">
      <w:pPr>
        <w:pStyle w:val="57"/>
        <w:rPr>
          <w:rFonts w:hint="default" w:ascii="Times New Roman" w:hAnsi="Times New Roman" w:eastAsia="宋体" w:cs="Times New Roman"/>
          <w:lang w:val="en-US" w:eastAsia="zh-CN"/>
        </w:rPr>
      </w:pPr>
    </w:p>
    <w:p w14:paraId="31C74034">
      <w:pPr>
        <w:rPr>
          <w:rFonts w:hint="default" w:ascii="Times New Roman" w:hAnsi="Times New Roman" w:eastAsia="宋体" w:cs="Times New Roman"/>
          <w:lang w:val="en-US" w:eastAsia="zh-CN"/>
        </w:rPr>
      </w:pPr>
    </w:p>
    <w:p w14:paraId="0192BEFD">
      <w:pPr>
        <w:pStyle w:val="57"/>
        <w:rPr>
          <w:rFonts w:hint="default" w:ascii="Times New Roman" w:hAnsi="Times New Roman" w:eastAsia="宋体" w:cs="Times New Roman"/>
          <w:lang w:val="en-US" w:eastAsia="zh-CN"/>
        </w:rPr>
      </w:pPr>
    </w:p>
    <w:p w14:paraId="7FF0D574">
      <w:pPr>
        <w:rPr>
          <w:rFonts w:hint="default" w:ascii="Times New Roman" w:hAnsi="Times New Roman" w:eastAsia="宋体" w:cs="Times New Roman"/>
          <w:lang w:val="en-US" w:eastAsia="zh-CN"/>
        </w:rPr>
      </w:pPr>
    </w:p>
    <w:p w14:paraId="7E1C6652">
      <w:pPr>
        <w:pStyle w:val="57"/>
        <w:rPr>
          <w:rFonts w:hint="default" w:ascii="Times New Roman" w:hAnsi="Times New Roman" w:eastAsia="宋体" w:cs="Times New Roman"/>
          <w:lang w:val="en-US" w:eastAsia="zh-CN"/>
        </w:rPr>
      </w:pPr>
    </w:p>
    <w:p w14:paraId="09843F2C">
      <w:pPr>
        <w:rPr>
          <w:rFonts w:hint="default" w:ascii="Times New Roman" w:hAnsi="Times New Roman" w:eastAsia="宋体" w:cs="Times New Roman"/>
          <w:lang w:val="en-US" w:eastAsia="zh-CN"/>
        </w:rPr>
      </w:pPr>
    </w:p>
    <w:p w14:paraId="438BF3DF">
      <w:pPr>
        <w:pStyle w:val="57"/>
        <w:rPr>
          <w:rFonts w:hint="default" w:ascii="Times New Roman" w:hAnsi="Times New Roman" w:eastAsia="宋体" w:cs="Times New Roman"/>
          <w:lang w:val="en-US" w:eastAsia="zh-CN"/>
        </w:rPr>
      </w:pPr>
    </w:p>
    <w:p w14:paraId="07DC909F">
      <w:pPr>
        <w:rPr>
          <w:rFonts w:hint="default" w:ascii="Times New Roman" w:hAnsi="Times New Roman" w:eastAsia="宋体" w:cs="Times New Roman"/>
          <w:lang w:val="en-US" w:eastAsia="zh-CN"/>
        </w:rPr>
      </w:pPr>
    </w:p>
    <w:p w14:paraId="17370818">
      <w:pPr>
        <w:pStyle w:val="57"/>
        <w:rPr>
          <w:rFonts w:hint="default" w:ascii="Times New Roman" w:hAnsi="Times New Roman" w:eastAsia="宋体" w:cs="Times New Roman"/>
          <w:lang w:val="en-US" w:eastAsia="zh-CN"/>
        </w:rPr>
      </w:pPr>
    </w:p>
    <w:p w14:paraId="47216B78">
      <w:pPr>
        <w:rPr>
          <w:rFonts w:hint="default" w:ascii="Times New Roman" w:hAnsi="Times New Roman" w:eastAsia="宋体" w:cs="Times New Roman"/>
          <w:lang w:val="en-US" w:eastAsia="zh-CN"/>
        </w:rPr>
      </w:pPr>
    </w:p>
    <w:p w14:paraId="6CAF885A">
      <w:pPr>
        <w:pStyle w:val="57"/>
        <w:rPr>
          <w:rFonts w:hint="default" w:ascii="Times New Roman" w:hAnsi="Times New Roman" w:eastAsia="宋体" w:cs="Times New Roman"/>
          <w:lang w:val="en-US" w:eastAsia="zh-CN"/>
        </w:rPr>
      </w:pPr>
    </w:p>
    <w:p w14:paraId="62F1ABB7">
      <w:pPr>
        <w:rPr>
          <w:rFonts w:hint="default" w:ascii="Times New Roman" w:hAnsi="Times New Roman" w:eastAsia="宋体" w:cs="Times New Roman"/>
          <w:lang w:val="en-US" w:eastAsia="zh-CN"/>
        </w:rPr>
      </w:pPr>
    </w:p>
    <w:p w14:paraId="3FE29DA8">
      <w:pPr>
        <w:pStyle w:val="57"/>
        <w:rPr>
          <w:rFonts w:hint="default" w:ascii="Times New Roman" w:hAnsi="Times New Roman" w:eastAsia="宋体" w:cs="Times New Roman"/>
          <w:lang w:val="en-US" w:eastAsia="zh-CN"/>
        </w:rPr>
      </w:pPr>
    </w:p>
    <w:p w14:paraId="6D61F29D">
      <w:pPr>
        <w:rPr>
          <w:rFonts w:hint="default" w:ascii="Times New Roman" w:hAnsi="Times New Roman" w:eastAsia="宋体" w:cs="Times New Roman"/>
          <w:lang w:val="en-US" w:eastAsia="zh-CN"/>
        </w:rPr>
      </w:pPr>
    </w:p>
    <w:p w14:paraId="2A2FB655">
      <w:pPr>
        <w:pStyle w:val="57"/>
        <w:rPr>
          <w:rFonts w:hint="default" w:ascii="Times New Roman" w:hAnsi="Times New Roman" w:eastAsia="宋体" w:cs="Times New Roman"/>
          <w:lang w:val="en-US" w:eastAsia="zh-CN"/>
        </w:rPr>
      </w:pPr>
    </w:p>
    <w:p w14:paraId="496BA2A4">
      <w:pPr>
        <w:rPr>
          <w:rFonts w:hint="default" w:ascii="Times New Roman" w:hAnsi="Times New Roman" w:eastAsia="宋体" w:cs="Times New Roman"/>
          <w:lang w:val="en-US" w:eastAsia="zh-CN"/>
        </w:rPr>
      </w:pPr>
    </w:p>
    <w:p w14:paraId="5ACA3A58">
      <w:pPr>
        <w:pStyle w:val="57"/>
        <w:rPr>
          <w:rFonts w:hint="default" w:ascii="Times New Roman" w:hAnsi="Times New Roman" w:eastAsia="宋体" w:cs="Times New Roman"/>
          <w:lang w:val="en-US" w:eastAsia="zh-CN"/>
        </w:rPr>
      </w:pPr>
    </w:p>
    <w:p w14:paraId="338CA2D0">
      <w:pPr>
        <w:rPr>
          <w:rFonts w:hint="default" w:ascii="Times New Roman" w:hAnsi="Times New Roman" w:eastAsia="宋体" w:cs="Times New Roman"/>
          <w:lang w:val="en-US" w:eastAsia="zh-CN"/>
        </w:rPr>
      </w:pPr>
    </w:p>
    <w:p w14:paraId="229C382A">
      <w:pPr>
        <w:pStyle w:val="57"/>
        <w:rPr>
          <w:rFonts w:hint="default" w:ascii="Times New Roman" w:hAnsi="Times New Roman" w:eastAsia="宋体" w:cs="Times New Roman"/>
          <w:lang w:val="en-US" w:eastAsia="zh-CN"/>
        </w:rPr>
      </w:pPr>
    </w:p>
    <w:p w14:paraId="4F2E8F2F">
      <w:pPr>
        <w:rPr>
          <w:rFonts w:hint="default" w:ascii="Times New Roman" w:hAnsi="Times New Roman" w:eastAsia="宋体" w:cs="Times New Roman"/>
          <w:lang w:val="en-US" w:eastAsia="zh-CN"/>
        </w:rPr>
      </w:pPr>
    </w:p>
    <w:p w14:paraId="4BEA0926">
      <w:pPr>
        <w:pStyle w:val="57"/>
        <w:rPr>
          <w:rFonts w:hint="default" w:ascii="Times New Roman" w:hAnsi="Times New Roman" w:eastAsia="宋体" w:cs="Times New Roman"/>
          <w:lang w:val="en-US" w:eastAsia="zh-CN"/>
        </w:rPr>
      </w:pPr>
    </w:p>
    <w:p w14:paraId="1E4757AA">
      <w:pPr>
        <w:rPr>
          <w:rFonts w:hint="default" w:ascii="Times New Roman" w:hAnsi="Times New Roman" w:eastAsia="宋体" w:cs="Times New Roman"/>
          <w:lang w:val="en-US" w:eastAsia="zh-CN"/>
        </w:rPr>
      </w:pPr>
    </w:p>
    <w:p w14:paraId="5A74BECE">
      <w:pPr>
        <w:pStyle w:val="57"/>
        <w:rPr>
          <w:rFonts w:hint="default" w:ascii="Times New Roman" w:hAnsi="Times New Roman" w:eastAsia="宋体" w:cs="Times New Roman"/>
          <w:lang w:val="en-US" w:eastAsia="zh-CN"/>
        </w:rPr>
      </w:pPr>
    </w:p>
    <w:p w14:paraId="5696AF10">
      <w:pPr>
        <w:rPr>
          <w:rFonts w:hint="default" w:ascii="Times New Roman" w:hAnsi="Times New Roman" w:eastAsia="宋体" w:cs="Times New Roman"/>
          <w:lang w:val="en-US" w:eastAsia="zh-CN"/>
        </w:rPr>
      </w:pPr>
    </w:p>
    <w:p w14:paraId="60B9B6DC">
      <w:pPr>
        <w:pStyle w:val="57"/>
        <w:rPr>
          <w:rFonts w:hint="default" w:ascii="Times New Roman" w:hAnsi="Times New Roman" w:eastAsia="宋体" w:cs="Times New Roman"/>
          <w:lang w:val="en-US" w:eastAsia="zh-CN"/>
        </w:rPr>
      </w:pPr>
    </w:p>
    <w:p w14:paraId="7C173E0D">
      <w:pPr>
        <w:rPr>
          <w:rFonts w:hint="default" w:ascii="Times New Roman" w:hAnsi="Times New Roman" w:eastAsia="宋体" w:cs="Times New Roman"/>
          <w:lang w:val="en-US" w:eastAsia="zh-CN"/>
        </w:rPr>
      </w:pPr>
    </w:p>
    <w:p w14:paraId="59A64B4C">
      <w:pPr>
        <w:pStyle w:val="57"/>
        <w:rPr>
          <w:rFonts w:hint="default" w:ascii="Times New Roman" w:hAnsi="Times New Roman" w:eastAsia="宋体" w:cs="Times New Roman"/>
          <w:lang w:val="en-US" w:eastAsia="zh-CN"/>
        </w:rPr>
      </w:pPr>
    </w:p>
    <w:p w14:paraId="35F653F9">
      <w:pPr>
        <w:rPr>
          <w:rFonts w:hint="default" w:ascii="Times New Roman" w:hAnsi="Times New Roman" w:eastAsia="宋体" w:cs="Times New Roman"/>
          <w:lang w:val="en-US" w:eastAsia="zh-CN"/>
        </w:rPr>
      </w:pPr>
    </w:p>
    <w:p w14:paraId="3A686B5A">
      <w:pPr>
        <w:pStyle w:val="57"/>
        <w:rPr>
          <w:rFonts w:hint="default" w:ascii="Times New Roman" w:hAnsi="Times New Roman" w:eastAsia="宋体" w:cs="Times New Roman"/>
          <w:lang w:val="en-US" w:eastAsia="zh-CN"/>
        </w:rPr>
      </w:pPr>
    </w:p>
    <w:p w14:paraId="3D3BB970">
      <w:pPr>
        <w:rPr>
          <w:rFonts w:hint="default" w:ascii="Times New Roman" w:hAnsi="Times New Roman" w:eastAsia="宋体" w:cs="Times New Roman"/>
          <w:lang w:val="en-US" w:eastAsia="zh-CN"/>
        </w:rPr>
      </w:pPr>
    </w:p>
    <w:p w14:paraId="59967713">
      <w:pPr>
        <w:rPr>
          <w:rFonts w:hint="eastAsia" w:ascii="Times New Roman" w:hAnsi="Times New Roman" w:eastAsia="宋体" w:cs="Times New Roman"/>
          <w:b/>
          <w:bCs/>
          <w:color w:val="auto"/>
          <w:kern w:val="2"/>
          <w:sz w:val="32"/>
          <w:szCs w:val="32"/>
          <w:lang w:val="en-US" w:eastAsia="zh-CN" w:bidi="ar-SA"/>
        </w:rPr>
      </w:pPr>
      <w:r>
        <w:rPr>
          <w:rFonts w:hint="eastAsia" w:ascii="Times New Roman" w:hAnsi="Times New Roman" w:eastAsia="宋体" w:cs="Times New Roman"/>
          <w:b/>
          <w:bCs/>
          <w:color w:val="auto"/>
          <w:kern w:val="2"/>
          <w:sz w:val="32"/>
          <w:szCs w:val="32"/>
          <w:lang w:val="en-US" w:eastAsia="zh-CN" w:bidi="ar-SA"/>
        </w:rPr>
        <w:t>附件</w:t>
      </w:r>
      <w:r>
        <w:rPr>
          <w:rFonts w:hint="eastAsia" w:cs="Times New Roman"/>
          <w:b/>
          <w:bCs/>
          <w:color w:val="auto"/>
          <w:kern w:val="2"/>
          <w:sz w:val="32"/>
          <w:szCs w:val="32"/>
          <w:lang w:val="en-US" w:eastAsia="zh-CN" w:bidi="ar-SA"/>
        </w:rPr>
        <w:t>六</w:t>
      </w:r>
      <w:r>
        <w:rPr>
          <w:rFonts w:hint="eastAsia" w:ascii="Times New Roman" w:hAnsi="Times New Roman" w:eastAsia="宋体" w:cs="Times New Roman"/>
          <w:b/>
          <w:bCs/>
          <w:color w:val="auto"/>
          <w:kern w:val="2"/>
          <w:sz w:val="32"/>
          <w:szCs w:val="32"/>
          <w:lang w:val="en-US" w:eastAsia="zh-CN" w:bidi="ar-SA"/>
        </w:rPr>
        <w:t>排污登记回执</w:t>
      </w:r>
    </w:p>
    <w:p w14:paraId="1E4E5144">
      <w:pPr>
        <w:pStyle w:val="57"/>
        <w:rPr>
          <w:rFonts w:hint="default"/>
          <w:lang w:val="en-US" w:eastAsia="zh-CN"/>
        </w:rPr>
      </w:pPr>
      <w:r>
        <w:rPr>
          <w:rFonts w:hint="default"/>
          <w:lang w:val="en-US" w:eastAsia="zh-CN"/>
        </w:rPr>
        <w:drawing>
          <wp:inline distT="0" distB="0" distL="114300" distR="114300">
            <wp:extent cx="5267960" cy="7453630"/>
            <wp:effectExtent l="0" t="0" r="8890" b="13970"/>
            <wp:docPr id="8" name="图片 8" descr="登记回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登记回执_00"/>
                    <pic:cNvPicPr>
                      <a:picLocks noChangeAspect="1"/>
                    </pic:cNvPicPr>
                  </pic:nvPicPr>
                  <pic:blipFill>
                    <a:blip r:embed="rId34"/>
                    <a:stretch>
                      <a:fillRect/>
                    </a:stretch>
                  </pic:blipFill>
                  <pic:spPr>
                    <a:xfrm>
                      <a:off x="0" y="0"/>
                      <a:ext cx="5267960" cy="7453630"/>
                    </a:xfrm>
                    <a:prstGeom prst="rect">
                      <a:avLst/>
                    </a:prstGeom>
                  </pic:spPr>
                </pic:pic>
              </a:graphicData>
            </a:graphic>
          </wp:inline>
        </w:drawing>
      </w:r>
    </w:p>
    <w:p w14:paraId="5F799974">
      <w:pPr>
        <w:rPr>
          <w:rFonts w:hint="default"/>
          <w:lang w:val="en-US" w:eastAsia="zh-CN"/>
        </w:rPr>
        <w:sectPr>
          <w:footerReference r:id="rId7" w:type="default"/>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rtlGutter w:val="0"/>
          <w:docGrid w:linePitch="332" w:charSpace="0"/>
        </w:sectPr>
      </w:pPr>
    </w:p>
    <w:p w14:paraId="2CEE31EB">
      <w:pPr>
        <w:pStyle w:val="2"/>
        <w:rPr>
          <w:rFonts w:hint="default" w:ascii="Times New Roman" w:hAnsi="Times New Roman" w:eastAsia="宋体" w:cs="Times New Roman"/>
          <w:lang w:eastAsia="zh-CN"/>
        </w:rPr>
      </w:pPr>
      <w:r>
        <w:rPr>
          <w:rFonts w:hint="default" w:ascii="Times New Roman" w:hAnsi="Times New Roman" w:eastAsia="宋体" w:cs="Times New Roman"/>
          <w:b/>
          <w:bCs/>
          <w:kern w:val="2"/>
          <w:sz w:val="28"/>
          <w:szCs w:val="28"/>
          <w:lang w:val="en-US" w:eastAsia="zh-CN" w:bidi="ar-SA"/>
        </w:rPr>
        <w:drawing>
          <wp:anchor distT="0" distB="0" distL="114300" distR="114300" simplePos="0" relativeHeight="251668480" behindDoc="0" locked="0" layoutInCell="1" allowOverlap="1">
            <wp:simplePos x="0" y="0"/>
            <wp:positionH relativeFrom="column">
              <wp:posOffset>8042275</wp:posOffset>
            </wp:positionH>
            <wp:positionV relativeFrom="paragraph">
              <wp:posOffset>40005</wp:posOffset>
            </wp:positionV>
            <wp:extent cx="817880" cy="1304925"/>
            <wp:effectExtent l="0" t="0" r="1270" b="9525"/>
            <wp:wrapNone/>
            <wp:docPr id="13" name="图片 2" descr="5b8faa2f99846f50a0426b78332e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5b8faa2f99846f50a0426b78332e5bc"/>
                    <pic:cNvPicPr>
                      <a:picLocks noChangeAspect="1"/>
                    </pic:cNvPicPr>
                  </pic:nvPicPr>
                  <pic:blipFill>
                    <a:blip r:embed="rId35"/>
                    <a:srcRect r="12262"/>
                    <a:stretch>
                      <a:fillRect/>
                    </a:stretch>
                  </pic:blipFill>
                  <pic:spPr>
                    <a:xfrm>
                      <a:off x="0" y="0"/>
                      <a:ext cx="817880" cy="1304925"/>
                    </a:xfrm>
                    <a:prstGeom prst="rect">
                      <a:avLst/>
                    </a:prstGeom>
                    <a:noFill/>
                    <a:ln>
                      <a:noFill/>
                    </a:ln>
                  </pic:spPr>
                </pic:pic>
              </a:graphicData>
            </a:graphic>
          </wp:anchor>
        </w:drawing>
      </w:r>
      <w:r>
        <w:drawing>
          <wp:inline distT="0" distB="0" distL="114300" distR="114300">
            <wp:extent cx="8863330" cy="4787265"/>
            <wp:effectExtent l="0" t="0" r="13970" b="133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6"/>
                    <a:stretch>
                      <a:fillRect/>
                    </a:stretch>
                  </pic:blipFill>
                  <pic:spPr>
                    <a:xfrm>
                      <a:off x="0" y="0"/>
                      <a:ext cx="8863330" cy="4787265"/>
                    </a:xfrm>
                    <a:prstGeom prst="rect">
                      <a:avLst/>
                    </a:prstGeom>
                    <a:noFill/>
                    <a:ln>
                      <a:noFill/>
                    </a:ln>
                  </pic:spPr>
                </pic:pic>
              </a:graphicData>
            </a:graphic>
          </wp:inline>
        </w:drawing>
      </w:r>
    </w:p>
    <w:p w14:paraId="033FFC68">
      <w:pPr>
        <w:pStyle w:val="2"/>
        <w:keepNext w:val="0"/>
        <w:keepLines w:val="0"/>
        <w:pageBreakBefore w:val="0"/>
        <w:widowControl w:val="0"/>
        <w:kinsoku/>
        <w:wordWrap/>
        <w:overflowPunct/>
        <w:topLinePunct w:val="0"/>
        <w:autoSpaceDE/>
        <w:autoSpaceDN/>
        <w:bidi w:val="0"/>
        <w:adjustRightInd w:val="0"/>
        <w:snapToGrid w:val="0"/>
        <w:spacing w:beforeAutospacing="0" w:afterAutospacing="0"/>
        <w:jc w:val="center"/>
        <w:textAlignment w:val="auto"/>
        <w:rPr>
          <w:rFonts w:hint="default" w:ascii="Times New Roman" w:hAnsi="Times New Roman" w:eastAsia="宋体" w:cs="Times New Roman"/>
          <w:sz w:val="28"/>
          <w:szCs w:val="28"/>
          <w:lang w:val="en-US" w:eastAsia="zh-CN"/>
        </w:rPr>
        <w:sectPr>
          <w:pgSz w:w="16838" w:h="11905" w:orient="landscape"/>
          <w:pgMar w:top="1803" w:right="1440" w:bottom="1803" w:left="1440" w:header="850" w:footer="1077" w:gutter="0"/>
          <w:pgBorders>
            <w:top w:val="none" w:sz="0" w:space="0"/>
            <w:left w:val="none" w:sz="0" w:space="0"/>
            <w:bottom w:val="none" w:sz="0" w:space="0"/>
            <w:right w:val="none" w:sz="0" w:space="0"/>
          </w:pgBorders>
          <w:pgNumType w:fmt="decimal"/>
          <w:cols w:space="0" w:num="1"/>
          <w:rtlGutter w:val="0"/>
          <w:docGrid w:linePitch="332" w:charSpace="0"/>
        </w:sectPr>
      </w:pPr>
      <w:r>
        <w:rPr>
          <w:rFonts w:hint="default" w:ascii="Times New Roman" w:hAnsi="Times New Roman" w:eastAsia="宋体" w:cs="Times New Roman"/>
          <w:sz w:val="28"/>
          <w:szCs w:val="28"/>
          <w:lang w:eastAsia="zh-CN"/>
        </w:rPr>
        <w:t>附图</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项目地理位置</w:t>
      </w:r>
      <w:r>
        <w:rPr>
          <w:rFonts w:hint="default" w:ascii="Times New Roman" w:hAnsi="Times New Roman" w:eastAsia="宋体" w:cs="Times New Roman"/>
          <w:sz w:val="28"/>
          <w:szCs w:val="28"/>
          <w:lang w:val="en-US" w:eastAsia="zh-CN"/>
        </w:rPr>
        <w:t>图</w:t>
      </w:r>
    </w:p>
    <w:p w14:paraId="0E5B5415">
      <w:pPr>
        <w:rPr>
          <w:rFonts w:hint="default" w:ascii="Times New Roman" w:hAnsi="Times New Roman" w:eastAsia="宋体" w:cs="Times New Roman"/>
        </w:rPr>
      </w:pPr>
      <w:r>
        <w:rPr>
          <w:rFonts w:hint="default" w:ascii="Times New Roman" w:hAnsi="Times New Roman" w:eastAsia="宋体" w:cs="Times New Roman"/>
          <w:b w:val="0"/>
          <w:sz w:val="24"/>
          <w:szCs w:val="24"/>
        </w:rPr>
        <w:drawing>
          <wp:anchor distT="0" distB="0" distL="0" distR="0" simplePos="0" relativeHeight="251666432" behindDoc="0" locked="0" layoutInCell="1" allowOverlap="1">
            <wp:simplePos x="0" y="0"/>
            <wp:positionH relativeFrom="column">
              <wp:posOffset>-410845</wp:posOffset>
            </wp:positionH>
            <wp:positionV relativeFrom="paragraph">
              <wp:posOffset>-49530</wp:posOffset>
            </wp:positionV>
            <wp:extent cx="5990590" cy="8465185"/>
            <wp:effectExtent l="0" t="0" r="10160" b="12065"/>
            <wp:wrapNone/>
            <wp:docPr id="10" name="图片 10" descr="C:\Users\lv\Desktop\淮北评审后成果\更新成果表与图\图件\05淮北市生态保护红线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v\Desktop\淮北评审后成果\更新成果表与图\图件\05淮北市生态保护红线分布图.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90590" cy="8465776"/>
                    </a:xfrm>
                    <a:prstGeom prst="rect">
                      <a:avLst/>
                    </a:prstGeom>
                    <a:noFill/>
                    <a:ln>
                      <a:noFill/>
                    </a:ln>
                  </pic:spPr>
                </pic:pic>
              </a:graphicData>
            </a:graphic>
          </wp:anchor>
        </w:drawing>
      </w:r>
    </w:p>
    <w:p w14:paraId="1D939133">
      <w:pPr>
        <w:rPr>
          <w:rFonts w:hint="default" w:ascii="Times New Roman" w:hAnsi="Times New Roman" w:eastAsia="宋体" w:cs="Times New Roman"/>
        </w:rPr>
      </w:pPr>
    </w:p>
    <w:p w14:paraId="0F013551">
      <w:pPr>
        <w:rPr>
          <w:rFonts w:hint="default" w:ascii="Times New Roman" w:hAnsi="Times New Roman" w:eastAsia="宋体" w:cs="Times New Roman"/>
        </w:rPr>
      </w:pPr>
    </w:p>
    <w:p w14:paraId="61448F25">
      <w:pPr>
        <w:rPr>
          <w:rFonts w:hint="default" w:ascii="Times New Roman" w:hAnsi="Times New Roman" w:eastAsia="宋体" w:cs="Times New Roman"/>
        </w:rPr>
      </w:pPr>
    </w:p>
    <w:p w14:paraId="58AF9F80">
      <w:pPr>
        <w:rPr>
          <w:rFonts w:hint="default" w:ascii="Times New Roman" w:hAnsi="Times New Roman" w:eastAsia="宋体" w:cs="Times New Roman"/>
        </w:rPr>
      </w:pPr>
    </w:p>
    <w:p w14:paraId="2EBBE9D9">
      <w:pPr>
        <w:rPr>
          <w:rFonts w:hint="default" w:ascii="Times New Roman" w:hAnsi="Times New Roman" w:eastAsia="宋体" w:cs="Times New Roman"/>
        </w:rPr>
      </w:pPr>
    </w:p>
    <w:p w14:paraId="28CAE715">
      <w:pPr>
        <w:rPr>
          <w:rFonts w:hint="default" w:ascii="Times New Roman" w:hAnsi="Times New Roman" w:eastAsia="宋体" w:cs="Times New Roman"/>
        </w:rPr>
      </w:pPr>
    </w:p>
    <w:p w14:paraId="35617CFB">
      <w:pPr>
        <w:rPr>
          <w:rFonts w:hint="default" w:ascii="Times New Roman" w:hAnsi="Times New Roman" w:eastAsia="宋体" w:cs="Times New Roman"/>
        </w:rPr>
      </w:pPr>
    </w:p>
    <w:p w14:paraId="63F66471">
      <w:pPr>
        <w:rPr>
          <w:rFonts w:hint="default" w:ascii="Times New Roman" w:hAnsi="Times New Roman" w:eastAsia="宋体" w:cs="Times New Roman"/>
        </w:rPr>
      </w:pPr>
    </w:p>
    <w:p w14:paraId="66924838">
      <w:pPr>
        <w:rPr>
          <w:rFonts w:hint="default" w:ascii="Times New Roman" w:hAnsi="Times New Roman" w:eastAsia="宋体" w:cs="Times New Roman"/>
        </w:rPr>
      </w:pPr>
    </w:p>
    <w:p w14:paraId="6BC7CF99">
      <w:pPr>
        <w:rPr>
          <w:rFonts w:hint="default" w:ascii="Times New Roman" w:hAnsi="Times New Roman" w:eastAsia="宋体" w:cs="Times New Roman"/>
        </w:rPr>
      </w:pPr>
    </w:p>
    <w:p w14:paraId="2D677B0B">
      <w:pPr>
        <w:rPr>
          <w:rFonts w:hint="default" w:ascii="Times New Roman" w:hAnsi="Times New Roman" w:eastAsia="宋体" w:cs="Times New Roman"/>
        </w:rPr>
      </w:pPr>
    </w:p>
    <w:p w14:paraId="58DBA8C8">
      <w:pPr>
        <w:rPr>
          <w:rFonts w:hint="default" w:ascii="Times New Roman" w:hAnsi="Times New Roman" w:eastAsia="宋体" w:cs="Times New Roman"/>
        </w:rPr>
      </w:pPr>
    </w:p>
    <w:p w14:paraId="10C5F7B7">
      <w:pPr>
        <w:rPr>
          <w:rFonts w:hint="default" w:ascii="Times New Roman" w:hAnsi="Times New Roman" w:eastAsia="宋体" w:cs="Times New Roman"/>
        </w:rPr>
      </w:pPr>
    </w:p>
    <w:p w14:paraId="61D9601F">
      <w:pPr>
        <w:rPr>
          <w:rFonts w:hint="default" w:ascii="Times New Roman" w:hAnsi="Times New Roman" w:eastAsia="宋体" w:cs="Times New Roman"/>
        </w:rPr>
      </w:pPr>
    </w:p>
    <w:p w14:paraId="7077AAF6">
      <w:pPr>
        <w:rPr>
          <w:rFonts w:hint="default" w:ascii="Times New Roman" w:hAnsi="Times New Roman" w:eastAsia="宋体" w:cs="Times New Roman"/>
        </w:rPr>
      </w:pPr>
    </w:p>
    <w:p w14:paraId="1BE579F9">
      <w:pPr>
        <w:rPr>
          <w:rFonts w:hint="default" w:ascii="Times New Roman" w:hAnsi="Times New Roman" w:eastAsia="宋体" w:cs="Times New Roman"/>
        </w:rPr>
      </w:pPr>
    </w:p>
    <w:p w14:paraId="51477786">
      <w:pPr>
        <w:rPr>
          <w:rFonts w:hint="default" w:ascii="Times New Roman" w:hAnsi="Times New Roman" w:eastAsia="宋体" w:cs="Times New Roman"/>
        </w:rPr>
      </w:pPr>
    </w:p>
    <w:p w14:paraId="39ECC147">
      <w:pPr>
        <w:rPr>
          <w:rFonts w:hint="default" w:ascii="Times New Roman" w:hAnsi="Times New Roman" w:eastAsia="宋体" w:cs="Times New Roman"/>
        </w:rPr>
      </w:pPr>
    </w:p>
    <w:p w14:paraId="0166B9B8">
      <w:pPr>
        <w:rPr>
          <w:rFonts w:hint="default" w:ascii="Times New Roman" w:hAnsi="Times New Roman" w:eastAsia="宋体" w:cs="Times New Roman"/>
        </w:rPr>
      </w:pPr>
    </w:p>
    <w:p w14:paraId="0E618E87">
      <w:pPr>
        <w:rPr>
          <w:rFonts w:hint="default" w:ascii="Times New Roman" w:hAnsi="Times New Roman" w:eastAsia="宋体" w:cs="Times New Roman"/>
        </w:rPr>
      </w:pPr>
    </w:p>
    <w:p w14:paraId="1224E77D">
      <w:pPr>
        <w:rPr>
          <w:rFonts w:hint="default" w:ascii="Times New Roman" w:hAnsi="Times New Roman" w:eastAsia="宋体" w:cs="Times New Roman"/>
        </w:rPr>
      </w:pPr>
    </w:p>
    <w:p w14:paraId="6A8D59AA">
      <w:pPr>
        <w:rPr>
          <w:rFonts w:hint="default" w:ascii="Times New Roman" w:hAnsi="Times New Roman" w:eastAsia="宋体" w:cs="Times New Roman"/>
        </w:rPr>
      </w:pPr>
    </w:p>
    <w:p w14:paraId="0E4A67E6">
      <w:pPr>
        <w:rPr>
          <w:rFonts w:hint="default" w:ascii="Times New Roman" w:hAnsi="Times New Roman" w:eastAsia="宋体" w:cs="Times New Roman"/>
        </w:rPr>
      </w:pPr>
    </w:p>
    <w:p w14:paraId="7E30D919">
      <w:pPr>
        <w:rPr>
          <w:rFonts w:hint="default" w:ascii="Times New Roman" w:hAnsi="Times New Roman" w:eastAsia="宋体" w:cs="Times New Roman"/>
        </w:rPr>
      </w:pPr>
    </w:p>
    <w:p w14:paraId="1511B4FB">
      <w:pPr>
        <w:rPr>
          <w:rFonts w:hint="default" w:ascii="Times New Roman" w:hAnsi="Times New Roman" w:eastAsia="宋体" w:cs="Times New Roman"/>
        </w:rPr>
      </w:pPr>
    </w:p>
    <w:p w14:paraId="7B60425D">
      <w:pPr>
        <w:rPr>
          <w:rFonts w:hint="default" w:ascii="Times New Roman" w:hAnsi="Times New Roman" w:eastAsia="宋体" w:cs="Times New Roman"/>
        </w:rPr>
      </w:pPr>
    </w:p>
    <w:p w14:paraId="4840BC8A">
      <w:pPr>
        <w:rPr>
          <w:rFonts w:hint="default" w:ascii="Times New Roman" w:hAnsi="Times New Roman" w:eastAsia="宋体" w:cs="Times New Roman"/>
        </w:rPr>
      </w:pPr>
    </w:p>
    <w:p w14:paraId="2AD49494">
      <w:pPr>
        <w:rPr>
          <w:rFonts w:hint="default" w:ascii="Times New Roman" w:hAnsi="Times New Roman" w:eastAsia="宋体" w:cs="Times New Roman"/>
        </w:rPr>
      </w:pPr>
    </w:p>
    <w:p w14:paraId="7C3FC2A3">
      <w:pPr>
        <w:rPr>
          <w:rFonts w:hint="default" w:ascii="Times New Roman" w:hAnsi="Times New Roman" w:eastAsia="宋体" w:cs="Times New Roman"/>
        </w:rPr>
      </w:pPr>
    </w:p>
    <w:p w14:paraId="649D4C24">
      <w:pPr>
        <w:rPr>
          <w:rFonts w:hint="default" w:ascii="Times New Roman" w:hAnsi="Times New Roman" w:eastAsia="宋体" w:cs="Times New Roman"/>
        </w:rPr>
      </w:pPr>
    </w:p>
    <w:p w14:paraId="254BCB34">
      <w:pPr>
        <w:pStyle w:val="18"/>
        <w:rPr>
          <w:rFonts w:hint="default" w:ascii="Times New Roman" w:hAnsi="Times New Roman" w:eastAsia="宋体" w:cs="Times New Roman"/>
        </w:rPr>
      </w:pPr>
    </w:p>
    <w:p w14:paraId="7F5D5427">
      <w:pPr>
        <w:pStyle w:val="61"/>
        <w:rPr>
          <w:rFonts w:hint="default" w:ascii="Times New Roman" w:hAnsi="Times New Roman" w:eastAsia="宋体" w:cs="Times New Roman"/>
        </w:rPr>
      </w:pPr>
    </w:p>
    <w:p w14:paraId="4D08D39C">
      <w:pPr>
        <w:pStyle w:val="61"/>
        <w:rPr>
          <w:rFonts w:hint="default" w:ascii="Times New Roman" w:hAnsi="Times New Roman" w:eastAsia="宋体" w:cs="Times New Roman"/>
        </w:rPr>
      </w:pPr>
    </w:p>
    <w:p w14:paraId="61924366">
      <w:pPr>
        <w:pStyle w:val="61"/>
        <w:rPr>
          <w:rFonts w:hint="default" w:ascii="Times New Roman" w:hAnsi="Times New Roman" w:eastAsia="宋体" w:cs="Times New Roman"/>
        </w:rPr>
      </w:pPr>
      <w:r>
        <w:rPr>
          <w:rFonts w:hint="default" w:ascii="Times New Roman" w:hAnsi="Times New Roman" w:eastAsia="宋体" w:cs="Times New Roman"/>
          <w:color w:val="auto"/>
        </w:rPr>
        <mc:AlternateContent>
          <mc:Choice Requires="wps">
            <w:drawing>
              <wp:anchor distT="0" distB="0" distL="114300" distR="114300" simplePos="0" relativeHeight="251667456" behindDoc="0" locked="0" layoutInCell="1" allowOverlap="1">
                <wp:simplePos x="0" y="0"/>
                <wp:positionH relativeFrom="column">
                  <wp:posOffset>2969260</wp:posOffset>
                </wp:positionH>
                <wp:positionV relativeFrom="paragraph">
                  <wp:posOffset>299085</wp:posOffset>
                </wp:positionV>
                <wp:extent cx="885825" cy="353695"/>
                <wp:effectExtent l="411480" t="4445" r="17145" b="365760"/>
                <wp:wrapNone/>
                <wp:docPr id="18" name="圆角矩形标注 18"/>
                <wp:cNvGraphicFramePr/>
                <a:graphic xmlns:a="http://schemas.openxmlformats.org/drawingml/2006/main">
                  <a:graphicData uri="http://schemas.microsoft.com/office/word/2010/wordprocessingShape">
                    <wps:wsp>
                      <wps:cNvSpPr/>
                      <wps:spPr>
                        <a:xfrm flipV="1">
                          <a:off x="0" y="0"/>
                          <a:ext cx="885825" cy="353695"/>
                        </a:xfrm>
                        <a:prstGeom prst="wedgeRoundRectCallout">
                          <a:avLst>
                            <a:gd name="adj1" fmla="val -92583"/>
                            <a:gd name="adj2" fmla="val -146412"/>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2C4752E0">
                            <w:pPr>
                              <w:rPr>
                                <w:sz w:val="24"/>
                              </w:rPr>
                            </w:pPr>
                            <w:r>
                              <w:rPr>
                                <w:rFonts w:hint="eastAsia"/>
                                <w:sz w:val="24"/>
                              </w:rPr>
                              <w:t>项目位置</w:t>
                            </w:r>
                          </w:p>
                        </w:txbxContent>
                      </wps:txbx>
                      <wps:bodyPr upright="1"/>
                    </wps:wsp>
                  </a:graphicData>
                </a:graphic>
              </wp:anchor>
            </w:drawing>
          </mc:Choice>
          <mc:Fallback>
            <w:pict>
              <v:shape id="_x0000_s1026" o:spid="_x0000_s1026" o:spt="62" type="#_x0000_t62" style="position:absolute;left:0pt;flip:y;margin-left:233.8pt;margin-top:23.55pt;height:27.85pt;width:69.75pt;z-index:251667456;mso-width-relative:page;mso-height-relative:page;" fillcolor="#FFFFFF" filled="t" stroked="t" coordsize="21600,21600" o:gfxdata="UEsDBAoAAAAAAIdO4kAAAAAAAAAAAAAAAAAEAAAAZHJzL1BLAwQUAAAACACHTuJAlo/88dkAAAAK&#10;AQAADwAAAGRycy9kb3ducmV2LnhtbE2PwU7DMAyG70i8Q2QkbizphNqpNJ3GAHHhAAUJccsa01Zr&#10;nNJka+Hp8U5w+y1/+v25WM+uF0ccQ+dJQ7JQIJBqbztqNLy9PlytQIRoyJreE2r4xgDr8vysMLn1&#10;E73gsYqN4BIKudHQxjjkUoa6RWfCwg9IvPv0ozORx7GRdjQTl7teLpVKpTMd8YXWDLhtsd5XB6fh&#10;4/35LnvcztXtz9f+qbL3m3qeNlpfXiTqBkTEOf7BcNJndSjZaecPZIPoNVynWcoohywBwUCqTmHH&#10;pFquQJaF/P9C+QtQSwMEFAAAAAgAh07iQHxuiyhaAgAAyQQAAA4AAABkcnMvZTJvRG9jLnhtbK1U&#10;y3LTMBTdM8M/aLRvHDtNSDJxumgIGwY6LbBXLNkWo9dISpz8AOxZM1OGDbBmzee08BlcySYkLYsu&#10;0EJzZV0dnXPulWdnWynQhlnHtcpx2utjxFShKVdVjl+/Wp6MMXKeKEqEVizHO+bw2fzxo1ljpizT&#10;tRaUWQQgyk0bk+PaezNNElfUTBLX04Yp2Cy1lcTD0lYJtaQBdCmSrN8fJY221FhdMOfg66LdxB2i&#10;fQigLktesIUu1pIp36JaJogHSa7mxuF5ZFuWrPAvy9Ixj0SOQamPM1wC8SrMyXxGppUlpuZFR4E8&#10;hMIdTZJwBZfuoRbEE7S2/B6U5IXVTpe+V2iZtEKiI6Ai7d/x5qomhkUtYLUze9Pd/4MtXmwuLOIU&#10;OgHqroiEit98fPfry4ef199ufny+/fT+9vtXBJvgVGPcFA5cmQvbrRyEQfa2tBKVgps3ABSNAGlo&#10;G33e7X1mW48K+DgeD8fZEKMCtgbDwWgyDOhJCxPgjHX+GdMShSDHDaMVu9RrRS+hoOdECL328Ray&#10;ee589J125Al9m2JUSgFl3BCBTibZcDzo6nyQlB0lpaej0zS7nzU4zEpHo9GTjml3MXD+wzWwcFpw&#10;uuRCxIWtVufCImCR42Uc3eGjNKFQk+PJMBpC4EGV0MjgjTRQFKeqqPPohDsE7sfxL+BAbEFc3RKI&#10;CK1AyT2zsfFrRuhTRZHfGai7gveOAxnJKEaCwe8hRDHTEy4ekgmGCAW1DK3SNkeI/Ha17TpmpekO&#10;Om5tLK9qqG0aqYck6PDYBN1rDE/ocB1B//6B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o/8&#10;8dkAAAAKAQAADwAAAAAAAAABACAAAAAiAAAAZHJzL2Rvd25yZXYueG1sUEsBAhQAFAAAAAgAh07i&#10;QHxuiyhaAgAAyQQAAA4AAAAAAAAAAQAgAAAAKAEAAGRycy9lMm9Eb2MueG1sUEsFBgAAAAAGAAYA&#10;WQEAAPQFAAAAAA==&#10;" adj="-9198,-20825,14400">
                <v:fill on="t" focussize="0,0"/>
                <v:stroke color="#000000" joinstyle="miter"/>
                <v:imagedata o:title=""/>
                <o:lock v:ext="edit" aspectratio="f"/>
                <v:textbox>
                  <w:txbxContent>
                    <w:p w14:paraId="2C4752E0">
                      <w:pPr>
                        <w:rPr>
                          <w:sz w:val="24"/>
                        </w:rPr>
                      </w:pPr>
                      <w:r>
                        <w:rPr>
                          <w:rFonts w:hint="eastAsia"/>
                          <w:sz w:val="24"/>
                        </w:rPr>
                        <w:t>项目位置</w:t>
                      </w:r>
                    </w:p>
                  </w:txbxContent>
                </v:textbox>
              </v:shape>
            </w:pict>
          </mc:Fallback>
        </mc:AlternateContent>
      </w:r>
    </w:p>
    <w:p w14:paraId="626CECC5">
      <w:pPr>
        <w:pStyle w:val="61"/>
        <w:rPr>
          <w:rFonts w:hint="default" w:ascii="Times New Roman" w:hAnsi="Times New Roman" w:eastAsia="宋体" w:cs="Times New Roman"/>
        </w:rPr>
      </w:pPr>
    </w:p>
    <w:p w14:paraId="23775B5E">
      <w:pPr>
        <w:pStyle w:val="61"/>
        <w:rPr>
          <w:rFonts w:hint="default" w:ascii="Times New Roman" w:hAnsi="Times New Roman" w:eastAsia="宋体" w:cs="Times New Roman"/>
        </w:rPr>
      </w:pPr>
    </w:p>
    <w:p w14:paraId="427542CE">
      <w:pPr>
        <w:pStyle w:val="61"/>
        <w:rPr>
          <w:rFonts w:hint="default" w:ascii="Times New Roman" w:hAnsi="Times New Roman" w:eastAsia="宋体" w:cs="Times New Roman"/>
        </w:rPr>
      </w:pPr>
      <w:r>
        <w:rPr>
          <w:sz w:val="21"/>
        </w:rPr>
        <mc:AlternateContent>
          <mc:Choice Requires="wps">
            <w:drawing>
              <wp:anchor distT="0" distB="0" distL="114300" distR="114300" simplePos="0" relativeHeight="251671552" behindDoc="0" locked="0" layoutInCell="1" allowOverlap="1">
                <wp:simplePos x="0" y="0"/>
                <wp:positionH relativeFrom="column">
                  <wp:posOffset>2536825</wp:posOffset>
                </wp:positionH>
                <wp:positionV relativeFrom="paragraph">
                  <wp:posOffset>21590</wp:posOffset>
                </wp:positionV>
                <wp:extent cx="99060" cy="91440"/>
                <wp:effectExtent l="6350" t="6350" r="8890" b="16510"/>
                <wp:wrapNone/>
                <wp:docPr id="16" name="椭圆 16"/>
                <wp:cNvGraphicFramePr/>
                <a:graphic xmlns:a="http://schemas.openxmlformats.org/drawingml/2006/main">
                  <a:graphicData uri="http://schemas.microsoft.com/office/word/2010/wordprocessingShape">
                    <wps:wsp>
                      <wps:cNvSpPr/>
                      <wps:spPr>
                        <a:xfrm>
                          <a:off x="6215380" y="4095115"/>
                          <a:ext cx="99060" cy="91440"/>
                        </a:xfrm>
                        <a:prstGeom prst="ellipse">
                          <a:avLst/>
                        </a:prstGeom>
                        <a:solidFill>
                          <a:srgbClr val="00B0F0"/>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9.75pt;margin-top:1.7pt;height:7.2pt;width:7.8pt;z-index:251671552;v-text-anchor:middle;mso-width-relative:page;mso-height-relative:page;" fillcolor="#00B0F0" filled="t" stroked="t" coordsize="21600,21600" o:gfxdata="UEsDBAoAAAAAAIdO4kAAAAAAAAAAAAAAAAAEAAAAZHJzL1BLAwQUAAAACACHTuJA7PyqCNgAAAAI&#10;AQAADwAAAGRycy9kb3ducmV2LnhtbE2PTU/DMAyG70j8h8hI3FjasrGtNN0BBEKaNIkNade0MU1F&#10;45Qk++Dfz5zgZut99PpxtTq7QRwxxN6TgnySgUBqvempU/Cxe7lbgIhJk9GDJ1TwgxFW9fVVpUvj&#10;T/SOx23qBJdQLLUCm9JYShlbi07HiR+ROPv0wenEa+ikCfrE5W6QRZY9SKd74gtWj/hksf3aHpyC&#10;73XnC2d3mzftXvdhv2meCzdX6vYmzx5BJDynPxh+9VkdanZq/IFMFIOC++VyxigPUxCcT/NZDqJh&#10;cL4AWVfy/wP1BVBLAwQUAAAACACHTuJAzNIz2pcCAAAyBQAADgAAAGRycy9lMm9Eb2MueG1srVTN&#10;bhMxEL4j8Q6W73Q3IT9N1E2VNgQhFVqpIM6O15tdyX/Yzk95AJ6CI1ceC56Dz95NmxYOPXDZzHgm&#10;3/j7ZsZn53slyVY43xhd0N5JTonQ3JSNXhf008flq1NKfGC6ZNJoUdA74en57OWLs52dir6pjSyF&#10;IwDRfrqzBa1DsNMs87wWivkTY4VGsDJOsQDXrbPSsR3Qlcz6eT7KdsaV1hkuvMfpog3SDtE9B9BU&#10;VcPFwvCNEjq0qE5IFkDJ1431dJZuW1WCh+uq8iIQWVAwDemLIrBX8ZvNzth07ZitG95dgT3nCk84&#10;KdZoFL2HWrDAyMY1f0GphjvjTRVOuFFZSyQpAha9/Ik2tzWzInGB1N7ei+7/Hyz/sL1xpCkxCSNK&#10;NFPo+O8fP399/0ZwAHV21k+RdGtvXOd5mJHqvnIq/oIE2Rd01O8NX59C17uCDvLJsNcbtuqKfSAc&#10;CZNJPkKYIz7pDQZJ++wBxjof3gqjSDQKKqREIyN7NmXbKx9QHdmHrHjsjWzKZSNlctx6dSkd2bLY&#10;6fwiXx4KPEqTmuzAtT/O41UY5rfC3MBUFhp4vaaEyTUWgweXaj/6tz8u0n8zHl6MUpLcqPembGuP&#10;hzmw29t2+enmj4AijQXzdfuXFGrFUk3AdslGFfQUOPdIUkeSIk10J0bsTNuLaK1MeYdOOtOOuLd8&#10;2aDIFfPhhjnMNPhi68M1PpU0EMF0FiW1cV//dR7zMWqIUrLDjkCgLxvmBCXyncYQtm0kITmD4biP&#10;Gu44sjqO6I26NGhOD++L5cmM+UEezMoZ9RmPwzxWRYhpjtptKzrnMrS7i+eFi/k8pWGRLAtX+tby&#10;CB510ma+CaZq0tA8qIM+RAerlDrSrX3c1WM/ZT08d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7PyqCNgAAAAIAQAADwAAAAAAAAABACAAAAAiAAAAZHJzL2Rvd25yZXYueG1sUEsBAhQAFAAAAAgA&#10;h07iQMzSM9qXAgAAMgUAAA4AAAAAAAAAAQAgAAAAJwEAAGRycy9lMm9Eb2MueG1sUEsFBgAAAAAG&#10;AAYAWQEAADAGAAAAAA==&#10;">
                <v:fill on="t" focussize="0,0"/>
                <v:stroke weight="1pt" color="#235889" miterlimit="8" joinstyle="miter"/>
                <v:imagedata o:title=""/>
                <o:lock v:ext="edit" aspectratio="f"/>
              </v:shape>
            </w:pict>
          </mc:Fallback>
        </mc:AlternateContent>
      </w:r>
    </w:p>
    <w:p w14:paraId="273BD9F0">
      <w:pPr>
        <w:rPr>
          <w:rFonts w:hint="default" w:ascii="Times New Roman" w:hAnsi="Times New Roman" w:eastAsia="宋体" w:cs="Times New Roman"/>
        </w:rPr>
      </w:pPr>
    </w:p>
    <w:p w14:paraId="74C0482F">
      <w:pPr>
        <w:rPr>
          <w:rFonts w:hint="default" w:ascii="Times New Roman" w:hAnsi="Times New Roman" w:eastAsia="宋体" w:cs="Times New Roman"/>
        </w:rPr>
      </w:pPr>
    </w:p>
    <w:p w14:paraId="287EA383">
      <w:pPr>
        <w:pStyle w:val="57"/>
        <w:rPr>
          <w:rFonts w:hint="default" w:ascii="Times New Roman" w:hAnsi="Times New Roman" w:eastAsia="宋体" w:cs="Times New Roman"/>
        </w:rPr>
      </w:pPr>
    </w:p>
    <w:p w14:paraId="6E1A4FD4">
      <w:pPr>
        <w:rPr>
          <w:rFonts w:hint="default" w:ascii="Times New Roman" w:hAnsi="Times New Roman" w:eastAsia="宋体" w:cs="Times New Roman"/>
        </w:rPr>
      </w:pPr>
    </w:p>
    <w:p w14:paraId="1FF7FBA5">
      <w:pPr>
        <w:pStyle w:val="57"/>
        <w:rPr>
          <w:rFonts w:hint="default" w:ascii="Times New Roman" w:hAnsi="Times New Roman" w:eastAsia="宋体" w:cs="Times New Roman"/>
        </w:rPr>
      </w:pPr>
    </w:p>
    <w:p w14:paraId="1C723788">
      <w:pPr>
        <w:rPr>
          <w:rFonts w:hint="default" w:ascii="Times New Roman" w:hAnsi="Times New Roman" w:eastAsia="宋体" w:cs="Times New Roman"/>
        </w:rPr>
      </w:pPr>
    </w:p>
    <w:p w14:paraId="2B987C49">
      <w:pPr>
        <w:pStyle w:val="57"/>
        <w:rPr>
          <w:rFonts w:hint="default" w:ascii="Times New Roman" w:hAnsi="Times New Roman" w:eastAsia="宋体" w:cs="Times New Roman"/>
        </w:rPr>
      </w:pPr>
    </w:p>
    <w:p w14:paraId="4DCF041D">
      <w:pPr>
        <w:rPr>
          <w:rFonts w:hint="default" w:ascii="Times New Roman" w:hAnsi="Times New Roman" w:eastAsia="宋体" w:cs="Times New Roman"/>
        </w:rPr>
      </w:pPr>
    </w:p>
    <w:p w14:paraId="0BD9CABC">
      <w:pPr>
        <w:jc w:val="center"/>
        <w:rPr>
          <w:rFonts w:hint="default" w:ascii="Times New Roman" w:hAnsi="Times New Roman" w:eastAsia="宋体" w:cs="Times New Roman"/>
          <w:b/>
          <w:bCs/>
          <w:kern w:val="2"/>
          <w:sz w:val="28"/>
          <w:szCs w:val="28"/>
          <w:lang w:val="en-US" w:eastAsia="zh-CN" w:bidi="ar-SA"/>
        </w:rPr>
      </w:pPr>
    </w:p>
    <w:p w14:paraId="0F2811D7">
      <w:pPr>
        <w:jc w:val="center"/>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bCs/>
          <w:kern w:val="2"/>
          <w:sz w:val="28"/>
          <w:szCs w:val="28"/>
          <w:lang w:val="en-US" w:eastAsia="zh-CN" w:bidi="ar-SA"/>
        </w:rPr>
        <w:t>附图</w:t>
      </w:r>
      <w:r>
        <w:rPr>
          <w:rFonts w:hint="eastAsia" w:cs="Times New Roman"/>
          <w:b/>
          <w:bCs/>
          <w:kern w:val="2"/>
          <w:sz w:val="28"/>
          <w:szCs w:val="28"/>
          <w:lang w:val="en-US" w:eastAsia="zh-CN" w:bidi="ar-SA"/>
        </w:rPr>
        <w:t>2</w:t>
      </w:r>
      <w:r>
        <w:rPr>
          <w:rFonts w:hint="default" w:ascii="Times New Roman" w:hAnsi="Times New Roman" w:eastAsia="宋体" w:cs="Times New Roman"/>
          <w:b/>
          <w:bCs/>
          <w:kern w:val="2"/>
          <w:sz w:val="28"/>
          <w:szCs w:val="28"/>
          <w:lang w:val="en-US" w:eastAsia="zh-CN" w:bidi="ar-SA"/>
        </w:rPr>
        <w:t>淮北市生态保护红线图</w:t>
      </w:r>
    </w:p>
    <w:p w14:paraId="40E9A02D">
      <w:pPr>
        <w:pStyle w:val="61"/>
        <w:ind w:left="0" w:leftChars="0" w:firstLine="0" w:firstLineChars="0"/>
        <w:rPr>
          <w:rFonts w:hint="default" w:ascii="Times New Roman" w:hAnsi="Times New Roman" w:eastAsia="宋体" w:cs="Times New Roman"/>
          <w:b/>
          <w:bCs/>
          <w:szCs w:val="24"/>
        </w:rPr>
      </w:pPr>
    </w:p>
    <w:p w14:paraId="392AEB74">
      <w:pPr>
        <w:pStyle w:val="61"/>
        <w:ind w:left="0" w:leftChars="0" w:firstLine="0" w:firstLineChars="0"/>
        <w:rPr>
          <w:rFonts w:hint="default" w:ascii="Times New Roman" w:hAnsi="Times New Roman" w:eastAsia="宋体" w:cs="Times New Roman"/>
          <w:b/>
          <w:bCs/>
          <w:szCs w:val="24"/>
        </w:rPr>
      </w:pPr>
      <w:r>
        <w:rPr>
          <w:rFonts w:hint="default" w:ascii="Times New Roman" w:hAnsi="Times New Roman" w:eastAsia="宋体" w:cs="Times New Roman"/>
        </w:rPr>
        <w:drawing>
          <wp:anchor distT="0" distB="0" distL="0" distR="0" simplePos="0" relativeHeight="251659264" behindDoc="0" locked="0" layoutInCell="1" allowOverlap="1">
            <wp:simplePos x="0" y="0"/>
            <wp:positionH relativeFrom="column">
              <wp:posOffset>-215900</wp:posOffset>
            </wp:positionH>
            <wp:positionV relativeFrom="paragraph">
              <wp:posOffset>-103505</wp:posOffset>
            </wp:positionV>
            <wp:extent cx="5786755" cy="8178800"/>
            <wp:effectExtent l="0" t="0" r="4445" b="12700"/>
            <wp:wrapNone/>
            <wp:docPr id="17" name="图片 17" descr="C:\Users\lv\Desktop\淮北评审后成果\更新成果表与图\图件\17淮北市水环境分区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v\Desktop\淮北评审后成果\更新成果表与图\图件\17淮北市水环境分区管控图.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86755" cy="8178800"/>
                    </a:xfrm>
                    <a:prstGeom prst="rect">
                      <a:avLst/>
                    </a:prstGeom>
                    <a:noFill/>
                    <a:ln>
                      <a:noFill/>
                    </a:ln>
                  </pic:spPr>
                </pic:pic>
              </a:graphicData>
            </a:graphic>
          </wp:anchor>
        </w:drawing>
      </w:r>
    </w:p>
    <w:p w14:paraId="5C9FA8FE">
      <w:pPr>
        <w:pStyle w:val="61"/>
        <w:ind w:left="0" w:leftChars="0" w:firstLine="0" w:firstLineChars="0"/>
        <w:rPr>
          <w:rFonts w:hint="default" w:ascii="Times New Roman" w:hAnsi="Times New Roman" w:eastAsia="宋体" w:cs="Times New Roman"/>
          <w:b/>
          <w:bCs/>
          <w:szCs w:val="24"/>
        </w:rPr>
      </w:pPr>
    </w:p>
    <w:p w14:paraId="660C98FE">
      <w:pPr>
        <w:pStyle w:val="61"/>
        <w:ind w:left="0" w:leftChars="0" w:firstLine="0" w:firstLineChars="0"/>
        <w:rPr>
          <w:rFonts w:hint="default" w:ascii="Times New Roman" w:hAnsi="Times New Roman" w:eastAsia="宋体" w:cs="Times New Roman"/>
          <w:b/>
          <w:bCs/>
          <w:szCs w:val="24"/>
        </w:rPr>
      </w:pPr>
    </w:p>
    <w:p w14:paraId="543695BB">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6E7B4D18">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320AC9CC">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5AAE7639">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58889F68">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7B920CDB">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1AD22E3B">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479CA8BB">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7AEAAF1A">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31C69DD3">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477B9277">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03CC4572">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00398C83">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52E52262">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3186F84B">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color w:val="auto"/>
        </w:rPr>
        <mc:AlternateContent>
          <mc:Choice Requires="wps">
            <w:drawing>
              <wp:anchor distT="0" distB="0" distL="114300" distR="114300" simplePos="0" relativeHeight="251661312" behindDoc="0" locked="0" layoutInCell="1" allowOverlap="1">
                <wp:simplePos x="0" y="0"/>
                <wp:positionH relativeFrom="column">
                  <wp:posOffset>3094355</wp:posOffset>
                </wp:positionH>
                <wp:positionV relativeFrom="paragraph">
                  <wp:posOffset>156845</wp:posOffset>
                </wp:positionV>
                <wp:extent cx="885825" cy="353695"/>
                <wp:effectExtent l="411480" t="4445" r="17145" b="365760"/>
                <wp:wrapNone/>
                <wp:docPr id="20" name="圆角矩形标注 20"/>
                <wp:cNvGraphicFramePr/>
                <a:graphic xmlns:a="http://schemas.openxmlformats.org/drawingml/2006/main">
                  <a:graphicData uri="http://schemas.microsoft.com/office/word/2010/wordprocessingShape">
                    <wps:wsp>
                      <wps:cNvSpPr/>
                      <wps:spPr>
                        <a:xfrm flipV="1">
                          <a:off x="0" y="0"/>
                          <a:ext cx="885825" cy="353695"/>
                        </a:xfrm>
                        <a:prstGeom prst="wedgeRoundRectCallout">
                          <a:avLst>
                            <a:gd name="adj1" fmla="val -92583"/>
                            <a:gd name="adj2" fmla="val -146412"/>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66F9E22">
                            <w:pPr>
                              <w:rPr>
                                <w:sz w:val="24"/>
                              </w:rPr>
                            </w:pPr>
                            <w:r>
                              <w:rPr>
                                <w:rFonts w:hint="eastAsia"/>
                                <w:sz w:val="24"/>
                              </w:rPr>
                              <w:t>项目位置</w:t>
                            </w:r>
                          </w:p>
                        </w:txbxContent>
                      </wps:txbx>
                      <wps:bodyPr upright="1"/>
                    </wps:wsp>
                  </a:graphicData>
                </a:graphic>
              </wp:anchor>
            </w:drawing>
          </mc:Choice>
          <mc:Fallback>
            <w:pict>
              <v:shape id="_x0000_s1026" o:spid="_x0000_s1026" o:spt="62" type="#_x0000_t62" style="position:absolute;left:0pt;flip:y;margin-left:243.65pt;margin-top:12.35pt;height:27.85pt;width:69.75pt;z-index:251661312;mso-width-relative:page;mso-height-relative:page;" fillcolor="#FFFFFF" filled="t" stroked="t" coordsize="21600,21600" o:gfxdata="UEsDBAoAAAAAAIdO4kAAAAAAAAAAAAAAAAAEAAAAZHJzL1BLAwQUAAAACACHTuJA5hJagtsAAAAJ&#10;AQAADwAAAGRycy9kb3ducmV2LnhtbE2PwU7DMBBE70j8g7VI3KjdECVRiFOVAuLCoYRKFTc3XpKo&#10;sR1itwl8PcsJjqt9mnlTrGbTszOOvnNWwnIhgKGtne5sI2H39nSTAfNBWa16Z1HCF3pYlZcXhcq1&#10;m+wrnqvQMAqxPlcS2hCGnHNft2iUX7gBLf0+3GhUoHNsuB7VROGm55EQCTeqs9TQqgE3LdbH6mQk&#10;vO+3D+nzZq7uvz+PL5V+XNfztJby+mop7oAFnMMfDL/6pA4lOR3cyWrPeglxlt4SKiGKU2AEJFFC&#10;Ww4SMhEDLwv+f0H5A1BLAwQUAAAACACHTuJAYPmPdloCAADJBAAADgAAAGRycy9lMm9Eb2MueG1s&#10;rVTLctMwFN0zwz9otG8cO01IMnG6aAgbBjotsFcs2Raj10hKnPwA7FkzU4YNsGbN57TwGVzJJiQt&#10;iy7QQnNlXR2dc+6VZ2dbKdCGWce1ynHa62PEVKEpV1WOX79anowxcp4oSoRWLMc75vDZ/PGjWWOm&#10;LNO1FpRZBCDKTRuT49p7M00SV9RMEtfThinYLLWVxMPSVgm1pAF0KZKs3x8ljbbUWF0w5+Drot3E&#10;HaJ9CKAuS16whS7WkinfolomiAdJrubG4XlkW5as8C/L0jGPRI5BqY8zXALxKszJfEamlSWm5kVH&#10;gTyEwh1NknAFl+6hFsQTtLb8HpTkhdVOl75XaJm0QqIjoCLt3/HmqiaGRS1gtTN7093/gy1ebC4s&#10;4jTHGViiiISK33x89+vLh5/X325+fL799P72+1cEm+BUY9wUDlyZC9utHIRB9ra0EpWCmzfQUtEI&#10;kIa20efd3me29aiAj+PxcJwNMSpgazAcjCbDgJ60MAHOWOefMS1RCHLcMFqxS71W9BIKek6E0Gsf&#10;byGb585H32lHntC3KUalFFDGDRHoZJINx4OuzgdJ2VFSejo6TbP7WYPDrHQ0Gj3pmHYXA+c/XAML&#10;pwWnSy5EXNhqdS4sAhY5XsbRHT5KEwo1OZ4MoyEEHlQJjQzeSANFcaqKOo9OuEPgfhz/Ag7EFsTV&#10;LYGI0AqU3DMbG79mhD5VFPmdgboreO84kJGMYiQY/B5CFDM94eIhmWCIUFDL0Cptc4TIb1fbrmNW&#10;mu6g49bG8qqG2qaRekiCDo9N0L3G8IQO1xH07x9o/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m&#10;ElqC2wAAAAkBAAAPAAAAAAAAAAEAIAAAACIAAABkcnMvZG93bnJldi54bWxQSwECFAAUAAAACACH&#10;TuJAYPmPdloCAADJBAAADgAAAAAAAAABACAAAAAqAQAAZHJzL2Uyb0RvYy54bWxQSwUGAAAAAAYA&#10;BgBZAQAA9gUAAAAA&#10;" adj="-9198,-20825,14400">
                <v:fill on="t" focussize="0,0"/>
                <v:stroke color="#000000" joinstyle="miter"/>
                <v:imagedata o:title=""/>
                <o:lock v:ext="edit" aspectratio="f"/>
                <v:textbox>
                  <w:txbxContent>
                    <w:p w14:paraId="066F9E22">
                      <w:pPr>
                        <w:rPr>
                          <w:sz w:val="24"/>
                        </w:rPr>
                      </w:pPr>
                      <w:r>
                        <w:rPr>
                          <w:rFonts w:hint="eastAsia"/>
                          <w:sz w:val="24"/>
                        </w:rPr>
                        <w:t>项目位置</w:t>
                      </w:r>
                    </w:p>
                  </w:txbxContent>
                </v:textbox>
              </v:shape>
            </w:pict>
          </mc:Fallback>
        </mc:AlternateContent>
      </w:r>
    </w:p>
    <w:p w14:paraId="0CDF5C8A">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533FB056">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2660650</wp:posOffset>
                </wp:positionH>
                <wp:positionV relativeFrom="paragraph">
                  <wp:posOffset>161925</wp:posOffset>
                </wp:positionV>
                <wp:extent cx="99060" cy="91440"/>
                <wp:effectExtent l="6350" t="6350" r="8890" b="16510"/>
                <wp:wrapNone/>
                <wp:docPr id="19" name="椭圆 19"/>
                <wp:cNvGraphicFramePr/>
                <a:graphic xmlns:a="http://schemas.openxmlformats.org/drawingml/2006/main">
                  <a:graphicData uri="http://schemas.microsoft.com/office/word/2010/wordprocessingShape">
                    <wps:wsp>
                      <wps:cNvSpPr/>
                      <wps:spPr>
                        <a:xfrm>
                          <a:off x="6215380" y="4095115"/>
                          <a:ext cx="99060" cy="91440"/>
                        </a:xfrm>
                        <a:prstGeom prst="ellipse">
                          <a:avLst/>
                        </a:prstGeom>
                        <a:solidFill>
                          <a:srgbClr val="00B0F0"/>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9.5pt;margin-top:12.75pt;height:7.2pt;width:7.8pt;z-index:251672576;v-text-anchor:middle;mso-width-relative:page;mso-height-relative:page;" fillcolor="#00B0F0" filled="t" stroked="t" coordsize="21600,21600" o:gfxdata="UEsDBAoAAAAAAIdO4kAAAAAAAAAAAAAAAAAEAAAAZHJzL1BLAwQUAAAACACHTuJAzkYrrdoAAAAJ&#10;AQAADwAAAGRycy9kb3ducmV2LnhtbE2PzU7DMBCE70i8g7VI3KiTNC0kZNMDCIRUqRItUq+b2MQR&#10;8TrE7g9vX3OC42hGM99Uq7MdxFFPvneMkM4SEJpbp3ruED52L3cPIHwgVjQ41gg/2sOqvr6qqFTu&#10;xO/6uA2diCXsS0IwIYyllL412pKfuVFz9D7dZClEOXVSTXSK5XaQWZIspaWe44KhUT8Z3X5tDxbh&#10;e925zJrd5o3s637ab5rnzN4j3t6kySOIoM/hLwy/+BEd6sjUuAMrLwaEPC3il4CQLRYgYiCf50sQ&#10;DcK8KEDWlfz/oL4AUEsDBBQAAAAIAIdO4kAFCMRqlwIAADIFAAAOAAAAZHJzL2Uyb0RvYy54bWyt&#10;VM1uEzEQviPxDpbvdDchP03UTZU2BCEVWqkgzo7Xm13Jf9jOT3kAnoIjVx4LnoPP3k2bFg49cNnM&#10;eCbf+PtmxmfneyXJVjjfGF3Q3klOidDclI1eF/TTx+WrU0p8YLpk0mhR0Dvh6fns5YuznZ2KvqmN&#10;LIUjANF+urMFrUOw0yzzvBaK+RNjhUawMk6xANets9KxHdCVzPp5Psp2xpXWGS68x+miDdIO0T0H&#10;0FRVw8XC8I0SOrSoTkgWQMnXjfV0lm5bVYKH66ryIhBZUDAN6YsisFfxm83O2HTtmK0b3l2BPecK&#10;Tzgp1mgUvYdasMDIxjV/QamGO+NNFU64UVlLJCkCFr38iTa3NbMicYHU3t6L7v8fLP+wvXGkKTEJ&#10;E0o0U+j47x8/f33/RnAAdXbWT5F0a29c53mYkeq+cir+ggTZF3TU7w1fn0LXu4IO8smw1xu26op9&#10;IBwJk0k+QpgjPukNBkn77AHGOh/eCqNINAoqpEQjI3s2ZdsrH1Ad2YeseOyNbMplI2Vy3Hp1KR3Z&#10;stjp/CJfHgo8SpOa7MC1P87jVRjmt8LcwFQWGni9poTJNRaDB5dqP/q3Py7SfzMeXoxSktyo96Zs&#10;a4+HObDb23b56eaPgCKNBfN1+5cUasVSTcB2yUYV9BQ490hSR5IiTXQnRuxM24torUx5h0460464&#10;t3zZoMgV8+GGOcw0+GLrwzU+lTQQwXQWJbVxX/91HvMxaohSssOOQKAvG+YEJfKdxhC2bSQhOYPh&#10;uI8a7jiyOo7ojbo0aE4P74vlyYz5QR7Myhn1GY/DPFZFiGmO2m0rOucytLuL54WL+TylYZEsC1f6&#10;1vIIHnXSZr4JpmrS0Dyogz5EB6uUOtKtfdzVYz9lPTx1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ORiut2gAAAAkBAAAPAAAAAAAAAAEAIAAAACIAAABkcnMvZG93bnJldi54bWxQSwECFAAUAAAA&#10;CACHTuJABQjEapcCAAAyBQAADgAAAAAAAAABACAAAAApAQAAZHJzL2Uyb0RvYy54bWxQSwUGAAAA&#10;AAYABgBZAQAAMgYAAAAA&#10;">
                <v:fill on="t" focussize="0,0"/>
                <v:stroke weight="1pt" color="#235889" miterlimit="8" joinstyle="miter"/>
                <v:imagedata o:title=""/>
                <o:lock v:ext="edit" aspectratio="f"/>
              </v:shape>
            </w:pict>
          </mc:Fallback>
        </mc:AlternateContent>
      </w:r>
    </w:p>
    <w:p w14:paraId="61D3917B">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48DEEC0E">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0822407E">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63327873">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50019936">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p>
    <w:p w14:paraId="179EBAD6">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附图</w:t>
      </w:r>
      <w:r>
        <w:rPr>
          <w:rFonts w:hint="eastAsia" w:eastAsia="宋体" w:cs="Times New Roman"/>
          <w:b/>
          <w:bCs/>
          <w:sz w:val="28"/>
          <w:szCs w:val="28"/>
          <w:lang w:val="en-US" w:eastAsia="zh-CN"/>
        </w:rPr>
        <w:t>3</w:t>
      </w:r>
      <w:r>
        <w:rPr>
          <w:rFonts w:hint="default" w:ascii="Times New Roman" w:hAnsi="Times New Roman" w:eastAsia="宋体" w:cs="Times New Roman"/>
          <w:b/>
          <w:bCs/>
          <w:sz w:val="28"/>
          <w:szCs w:val="28"/>
          <w:lang w:val="en-US" w:eastAsia="zh-CN"/>
        </w:rPr>
        <w:t>淮北市水环境分区管控图</w:t>
      </w:r>
    </w:p>
    <w:p w14:paraId="1D6D3545">
      <w:pPr>
        <w:pStyle w:val="61"/>
        <w:ind w:left="0" w:leftChars="0" w:firstLine="0" w:firstLineChars="0"/>
        <w:jc w:val="center"/>
        <w:rPr>
          <w:rFonts w:hint="default" w:ascii="Times New Roman" w:hAnsi="Times New Roman" w:eastAsia="宋体" w:cs="Times New Roman"/>
          <w:b/>
          <w:bCs/>
          <w:szCs w:val="24"/>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05BD8038">
      <w:pPr>
        <w:bidi w:val="0"/>
        <w:jc w:val="center"/>
        <w:rPr>
          <w:rFonts w:hint="default" w:ascii="Times New Roman" w:hAnsi="Times New Roman" w:eastAsia="宋体" w:cs="Times New Roman"/>
        </w:rPr>
      </w:pPr>
      <w:r>
        <w:rPr>
          <w:sz w:val="21"/>
        </w:rPr>
        <mc:AlternateContent>
          <mc:Choice Requires="wps">
            <w:drawing>
              <wp:anchor distT="0" distB="0" distL="114300" distR="114300" simplePos="0" relativeHeight="251673600" behindDoc="0" locked="0" layoutInCell="1" allowOverlap="1">
                <wp:simplePos x="0" y="0"/>
                <wp:positionH relativeFrom="column">
                  <wp:posOffset>2841625</wp:posOffset>
                </wp:positionH>
                <wp:positionV relativeFrom="paragraph">
                  <wp:posOffset>6342380</wp:posOffset>
                </wp:positionV>
                <wp:extent cx="99060" cy="91440"/>
                <wp:effectExtent l="6350" t="6350" r="8890" b="16510"/>
                <wp:wrapNone/>
                <wp:docPr id="22" name="椭圆 22"/>
                <wp:cNvGraphicFramePr/>
                <a:graphic xmlns:a="http://schemas.openxmlformats.org/drawingml/2006/main">
                  <a:graphicData uri="http://schemas.microsoft.com/office/word/2010/wordprocessingShape">
                    <wps:wsp>
                      <wps:cNvSpPr/>
                      <wps:spPr>
                        <a:xfrm>
                          <a:off x="6215380" y="4095115"/>
                          <a:ext cx="99060" cy="91440"/>
                        </a:xfrm>
                        <a:prstGeom prst="ellipse">
                          <a:avLst/>
                        </a:prstGeom>
                        <a:solidFill>
                          <a:srgbClr val="00B0F0"/>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3.75pt;margin-top:499.4pt;height:7.2pt;width:7.8pt;z-index:251673600;v-text-anchor:middle;mso-width-relative:page;mso-height-relative:page;" fillcolor="#00B0F0" filled="t" stroked="t" coordsize="21600,21600" o:gfxdata="UEsDBAoAAAAAAIdO4kAAAAAAAAAAAAAAAAAEAAAAZHJzL1BLAwQUAAAACACHTuJAn2liV9sAAAAM&#10;AQAADwAAAGRycy9kb3ducmV2LnhtbE2Py07DMBBF90j8gzVI7KidNPSRxukCBEJCqkSL1K0TD3HU&#10;2A62++DvGVZlOZqje8+t1hc7sBOG2HsnIZsIYOhar3vXSfjcvTwsgMWknFaDdyjhByOs69ubSpXa&#10;n90HnrapYxTiYqkkmJTGkvPYGrQqTvyIjn5fPliV6Awd10GdKdwOPBdixq3qHTUYNeKTwfawPVoJ&#10;3++dz63Zbd6Ufd2H/aZ5zu1cyvu7TKyAJbykKwx/+qQONTk1/uh0ZIOEopg/EiphuVzQBiKK2TQD&#10;1hAqsmkOvK74/xH1L1BLAwQUAAAACACHTuJALz9PY5gCAAAyBQAADgAAAGRycy9lMm9Eb2MueG1s&#10;rVTNbtQwEL4j8Q6W7zTZsD/tqtlq22URUqGVCuLsdZxNJP9he3/KA/AUHLnyWPAcfHbSdls49MDF&#10;mfFMvpn5ZsanZ3slyVY43xpd0sFRTonQ3FStXpf008flq2NKfGC6YtJoUdJb4enZ7OWL052disI0&#10;RlbCEYBoP93ZkjYh2GmWed4IxfyRsULDWBunWIDq1lnl2A7oSmZFno+znXGVdYYL73G76Iy0R3TP&#10;ATR13XKxMHyjhA4dqhOSBZTkm9Z6OkvZ1rXg4aquvQhElhSVhnQiCORVPLPZKZuuHbNNy/sU2HNS&#10;eFKTYq1G0HuoBQuMbFz7F5RquTPe1OGIG5V1hSRGUMUgf8LNTcOsSLWAam/vSff/D5Z/2F470lYl&#10;LQpKNFPo+O8fP399/0ZwAXZ21k/hdGOvXa95iLHUfe1U/KIIsi/puBiMXh+D19uSDvOT0WAw6tgV&#10;+0A4HE5O8jHMHPaTwXCYuM8eYKzz4a0wikShpEJKNDJWz6Zse+kDosP7ziteeyPbatlKmRS3Xl1I&#10;R7Ysdjo/z5d3AR65SU12mPpiksdUGOa3xtxAVBYceL2mhMk1FoMHl2I/+tsfBineTEbn4+QkN+q9&#10;qbrYk1EO7C7b3j9l/ggolrFgvul+SaaOLNUGbJdsVUmPgXOPJHUsUqSJ7smInel6EaWVqW7RSWe6&#10;EfeWL1sEuWQ+XDOHmUa92PpwhaOWBiSYXqKkMe7rv+6jP0YNVkp22BEQ9GXDnKBEvtMYwq6NJCRl&#10;OJoUiOEOLatDi96oC4PmDPC+WJ7E6B/knVg7oz7jcZjHqDAxzRG7a0WvXIRud/G8cDGfJzcskmXh&#10;Ut9YHsEjT9rMN8HUbRqaB3bQh6hglVJH+rWPu3qoJ6+Hp27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9pYlfbAAAADAEAAA8AAAAAAAAAAQAgAAAAIgAAAGRycy9kb3ducmV2LnhtbFBLAQIUABQA&#10;AAAIAIdO4kAvP09jmAIAADIFAAAOAAAAAAAAAAEAIAAAACoBAABkcnMvZTJvRG9jLnhtbFBLBQYA&#10;AAAABgAGAFkBAAA0BgAAAAA=&#10;">
                <v:fill on="t" focussize="0,0"/>
                <v:stroke weight="1pt" color="#235889" miterlimit="8" joinstyle="miter"/>
                <v:imagedata o:title=""/>
                <o:lock v:ext="edit" aspectratio="f"/>
              </v:shap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2336" behindDoc="0" locked="0" layoutInCell="1" allowOverlap="1">
                <wp:simplePos x="0" y="0"/>
                <wp:positionH relativeFrom="column">
                  <wp:posOffset>3294380</wp:posOffset>
                </wp:positionH>
                <wp:positionV relativeFrom="paragraph">
                  <wp:posOffset>5695950</wp:posOffset>
                </wp:positionV>
                <wp:extent cx="885825" cy="353695"/>
                <wp:effectExtent l="411480" t="4445" r="17145" b="365760"/>
                <wp:wrapNone/>
                <wp:docPr id="23" name="圆角矩形标注 23"/>
                <wp:cNvGraphicFramePr/>
                <a:graphic xmlns:a="http://schemas.openxmlformats.org/drawingml/2006/main">
                  <a:graphicData uri="http://schemas.microsoft.com/office/word/2010/wordprocessingShape">
                    <wps:wsp>
                      <wps:cNvSpPr/>
                      <wps:spPr>
                        <a:xfrm flipV="1">
                          <a:off x="0" y="0"/>
                          <a:ext cx="885825" cy="353695"/>
                        </a:xfrm>
                        <a:prstGeom prst="wedgeRoundRectCallout">
                          <a:avLst>
                            <a:gd name="adj1" fmla="val -92583"/>
                            <a:gd name="adj2" fmla="val -146412"/>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AC873B2">
                            <w:pPr>
                              <w:rPr>
                                <w:sz w:val="24"/>
                              </w:rPr>
                            </w:pPr>
                            <w:r>
                              <w:rPr>
                                <w:rFonts w:hint="eastAsia"/>
                                <w:sz w:val="24"/>
                              </w:rPr>
                              <w:t>项目位置</w:t>
                            </w:r>
                          </w:p>
                        </w:txbxContent>
                      </wps:txbx>
                      <wps:bodyPr upright="1"/>
                    </wps:wsp>
                  </a:graphicData>
                </a:graphic>
              </wp:anchor>
            </w:drawing>
          </mc:Choice>
          <mc:Fallback>
            <w:pict>
              <v:shape id="_x0000_s1026" o:spid="_x0000_s1026" o:spt="62" type="#_x0000_t62" style="position:absolute;left:0pt;flip:y;margin-left:259.4pt;margin-top:448.5pt;height:27.85pt;width:69.75pt;z-index:251662336;mso-width-relative:page;mso-height-relative:page;" fillcolor="#FFFFFF" filled="t" stroked="t" coordsize="21600,21600" o:gfxdata="UEsDBAoAAAAAAIdO4kAAAAAAAAAAAAAAAAAEAAAAZHJzL1BLAwQUAAAACACHTuJAC0duHd0AAAAL&#10;AQAADwAAAGRycy9kb3ducmV2LnhtbE2PQU+DQBSE7yb+h80z8WYXamgp8mhq1XjpQdHEeNuyK5Cy&#10;b5HdFvTX+zzpcTKTmW/y9WQ7cTKDbx0hxLMIhKHK6ZZqhNeXh6sUhA+KtOocGYQv42FdnJ/lKtNu&#10;pGdzKkMtuIR8phCaEPpMSl81xio/c70h9j7cYFVgOdRSD2rkctvJeRQtpFUt8UKjerNtTHUojxbh&#10;/e3pbvm4ncrb78/DrtT3m2oaN4iXF3F0AyKYKfyF4Ref0aFgpr07kvaiQ0jilNEDQrpa8ilOLJL0&#10;GsQeYZXMlyCLXP7/UPwAUEsDBBQAAAAIAIdO4kBfDlknXgIAAMkEAAAOAAAAZHJzL2Uyb0RvYy54&#10;bWytVL2S0zAY7JnhHTTqL46dS0gyca64EBoGbu6AXrFkW4z+RlLi5AWgp2bmGBqgpuZx7uAx+CSb&#10;XHJQXIELj2R9Wu3ut/LsbCsF2jDruFY5Tnt9jJgqNOWqyvHrV8uTMUbOE0WJ0IrleMccPps/fjRr&#10;zJRlutaCMosARLlpY3Jce2+mSeKKmknietowBYultpJ4mNoqoZY0gC5FkvX7o6TRlhqrC+YcfF20&#10;i7hDtA8B1GXJC7bQxVoy5VtUywTxIMnV3Dg8j2zLkhX+ZVk65pHIMSj18Q2HwHgV3sl8RqaVJabm&#10;RUeBPITCPU2ScAWH7qEWxBO0tvwvKMkLq50ufa/QMmmFREdARdq/581VTQyLWsBqZ/amu/8HW7zY&#10;XFjEaY6zAUaKSOj4zcd3v758+Hn97ebH59tP72+/f0WwCE41xk1hw5W5sN3MwTDI3pZWolJw8wYi&#10;FY0AaWgbfd7tfWZbjwr4OB4Px9kQowKWBsPBaDIM6EkLE+CMdf4Z0xKFQY4bRit2qdeKXkJDz4kQ&#10;eu3jKWTz3PnoO+3IE/o2xaiUAtq4IQKdTLLhOLKH5hwUZUdF6enoNM26NBxUgSd3UOloNHrSMe0O&#10;Bs5/uAYWTgtOl1yIOLHV6lxYBCxyvIxPt/moTCjU5HgyjIYQuFAlBBm8kQaa4lQVdR7tcIfA/fj8&#10;CzgQWxBXtwQiQitQcs9sDH7NCH2qKPI7A31XcN9xICMZxUgw+D2EUaz0hIuHVIIhQkEvQ1TacISR&#10;3662XWJWmu4gcWtjeVVDb9NIPRRBwmMIutsYrtDhPILe/YH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LR24d3QAAAAsBAAAPAAAAAAAAAAEAIAAAACIAAABkcnMvZG93bnJldi54bWxQSwECFAAU&#10;AAAACACHTuJAXw5ZJ14CAADJBAAADgAAAAAAAAABACAAAAAsAQAAZHJzL2Uyb0RvYy54bWxQSwUG&#10;AAAAAAYABgBZAQAA/AUAAAAA&#10;" adj="-9198,-20825,14400">
                <v:fill on="t" focussize="0,0"/>
                <v:stroke color="#000000" joinstyle="miter"/>
                <v:imagedata o:title=""/>
                <o:lock v:ext="edit" aspectratio="f"/>
                <v:textbox>
                  <w:txbxContent>
                    <w:p w14:paraId="0AC873B2">
                      <w:pPr>
                        <w:rPr>
                          <w:sz w:val="24"/>
                        </w:rPr>
                      </w:pPr>
                      <w:r>
                        <w:rPr>
                          <w:rFonts w:hint="eastAsia"/>
                          <w:sz w:val="24"/>
                        </w:rPr>
                        <w:t>项目位置</w:t>
                      </w:r>
                    </w:p>
                  </w:txbxContent>
                </v:textbox>
              </v:shape>
            </w:pict>
          </mc:Fallback>
        </mc:AlternateContent>
      </w:r>
      <w:r>
        <w:rPr>
          <w:rFonts w:hint="default" w:ascii="Times New Roman" w:hAnsi="Times New Roman" w:eastAsia="宋体" w:cs="Times New Roman"/>
        </w:rPr>
        <w:drawing>
          <wp:inline distT="0" distB="0" distL="0" distR="0">
            <wp:extent cx="5791835" cy="8184515"/>
            <wp:effectExtent l="0" t="0" r="18415" b="6985"/>
            <wp:docPr id="26" name="图片 26" descr="C:\Users\lv\Desktop\淮北评审后成果\更新成果表与图\图件\31淮北市大气环境分区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v\Desktop\淮北评审后成果\更新成果表与图\图件\31淮北市大气环境分区管控图.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791835" cy="8184515"/>
                    </a:xfrm>
                    <a:prstGeom prst="rect">
                      <a:avLst/>
                    </a:prstGeom>
                    <a:noFill/>
                    <a:ln>
                      <a:noFill/>
                    </a:ln>
                  </pic:spPr>
                </pic:pic>
              </a:graphicData>
            </a:graphic>
          </wp:inline>
        </w:drawing>
      </w:r>
    </w:p>
    <w:p w14:paraId="2317EFD2">
      <w:pPr>
        <w:bidi w:val="0"/>
        <w:jc w:val="left"/>
        <w:rPr>
          <w:rFonts w:hint="default" w:ascii="Times New Roman" w:hAnsi="Times New Roman" w:eastAsia="宋体" w:cs="Times New Roman"/>
          <w:kern w:val="2"/>
          <w:sz w:val="21"/>
          <w:szCs w:val="24"/>
          <w:lang w:val="en-US" w:eastAsia="zh-CN" w:bidi="ar-SA"/>
        </w:rPr>
      </w:pPr>
    </w:p>
    <w:p w14:paraId="51F944E9">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附图</w:t>
      </w:r>
      <w:r>
        <w:rPr>
          <w:rFonts w:hint="eastAsia" w:eastAsia="宋体" w:cs="Times New Roman"/>
          <w:b/>
          <w:bCs/>
          <w:sz w:val="28"/>
          <w:szCs w:val="28"/>
          <w:lang w:val="en-US" w:eastAsia="zh-CN"/>
        </w:rPr>
        <w:t>4</w:t>
      </w:r>
      <w:r>
        <w:rPr>
          <w:rFonts w:hint="default" w:ascii="Times New Roman" w:hAnsi="Times New Roman" w:eastAsia="宋体" w:cs="Times New Roman"/>
          <w:b/>
          <w:bCs/>
          <w:sz w:val="28"/>
          <w:szCs w:val="28"/>
          <w:lang w:val="en-US" w:eastAsia="zh-CN"/>
        </w:rPr>
        <w:t>淮北市大气环境分区管控图</w:t>
      </w:r>
    </w:p>
    <w:p w14:paraId="711C3085">
      <w:pPr>
        <w:pStyle w:val="18"/>
        <w:rPr>
          <w:rFonts w:hint="default" w:ascii="Times New Roman" w:hAnsi="Times New Roman" w:eastAsia="宋体" w:cs="Times New Roman"/>
          <w:lang w:val="en-US" w:eastAsia="zh-CN"/>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77D1CC30">
      <w:pPr>
        <w:pStyle w:val="61"/>
        <w:ind w:left="0" w:leftChars="0" w:firstLine="0" w:firstLineChars="0"/>
        <w:rPr>
          <w:rFonts w:hint="default" w:ascii="Times New Roman" w:hAnsi="Times New Roman" w:eastAsia="宋体" w:cs="Times New Roman"/>
          <w:b/>
          <w:bCs/>
          <w:szCs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2774950</wp:posOffset>
                </wp:positionH>
                <wp:positionV relativeFrom="paragraph">
                  <wp:posOffset>6304280</wp:posOffset>
                </wp:positionV>
                <wp:extent cx="99060" cy="91440"/>
                <wp:effectExtent l="6350" t="6350" r="8890" b="16510"/>
                <wp:wrapNone/>
                <wp:docPr id="24" name="椭圆 24"/>
                <wp:cNvGraphicFramePr/>
                <a:graphic xmlns:a="http://schemas.openxmlformats.org/drawingml/2006/main">
                  <a:graphicData uri="http://schemas.microsoft.com/office/word/2010/wordprocessingShape">
                    <wps:wsp>
                      <wps:cNvSpPr/>
                      <wps:spPr>
                        <a:xfrm>
                          <a:off x="6215380" y="4095115"/>
                          <a:ext cx="99060" cy="91440"/>
                        </a:xfrm>
                        <a:prstGeom prst="ellipse">
                          <a:avLst/>
                        </a:prstGeom>
                        <a:solidFill>
                          <a:srgbClr val="00B0F0"/>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8.5pt;margin-top:496.4pt;height:7.2pt;width:7.8pt;z-index:251674624;v-text-anchor:middle;mso-width-relative:page;mso-height-relative:page;" fillcolor="#00B0F0" filled="t" stroked="t" coordsize="21600,21600" o:gfxdata="UEsDBAoAAAAAAIdO4kAAAAAAAAAAAAAAAAAEAAAAZHJzL1BLAwQUAAAACACHTuJADHM00tsAAAAM&#10;AQAADwAAAGRycy9kb3ducmV2LnhtbE2Py07DMBBF90j8gzVI7KhdUxqaxukCBEJCqkSL1K0Tu3FE&#10;PA62++DvGVZlOZqre8+pVmc/sKONqQ+oYDoRwCy2wfTYKfjcvtw9AktZo9FDQKvgxyZY1ddXlS5N&#10;OOGHPW5yx6gEU6kVuJzHkvPUOut1moTRIv32IXqd6YwdN1GfqNwPXAox5173SAtOj/bJ2fZrc/AK&#10;vt+7IL3brt+0f93F3bp5lr5Q6vZmKpbAsj3nSxj+8AkdamJqwgFNYoOC2X1BLlnBYiHJgRKzBzkH&#10;1lBUiEICryv+X6L+BVBLAwQUAAAACACHTuJAQOU2RJgCAAAyBQAADgAAAGRycy9lMm9Eb2MueG1s&#10;rVTNbhMxEL4j8Q6W73Q3IT9N1E2VNgQhFVqpIM6O15tdyX/Yzk95AJ6CI1ceC56Dz95NmxYOPXDx&#10;znhmv5n5ZsZn53slyVY43xhd0N5JTonQ3JSNXhf008flq1NKfGC6ZNJoUdA74en57OWLs52dir6p&#10;jSyFIwDRfrqzBa1DsNMs87wWivkTY4WGsTJOsQDVrbPSsR3Qlcz6eT7KdsaV1hkuvMftojXSDtE9&#10;B9BUVcPFwvCNEjq0qE5IFlCSrxvr6SxlW1WCh+uq8iIQWVBUGtKJIJBX8cxmZ2y6dszWDe9SYM9J&#10;4UlNijUaQe+hFiwwsnHNX1Cq4c54U4UTblTWFpIYQRW9/Ak3tzWzItUCqr29J93/P1j+YXvjSFMW&#10;tD+gRDOFjv/+8fPX928EF2BnZ/0UTrf2xnWahxhL3VdOxS+KIPuCjvq94etT8HpX0EE+GfZ6w5Zd&#10;sQ+Ew2EyyUcwc9gnvcEgcZ89wFjnw1thFIlCQYWUaGSsnk3Z9soHRIf3wSteeyObctlImRS3Xl1K&#10;R7Ysdjq/yJeHAI/cpCY7TH1/nMdUGOa3wtxAVBYceL2mhMk1FoMHl2I/+tsfB+m/GQ8vRslJbtR7&#10;U7axx8Mc2G22nX/K/BFQLGPBfN3+kkwtWaoJ2C7ZqIKeAuceSepYpEgT3ZERO9P2IkorU96hk860&#10;I+4tXzYIcsV8uGEOM416sfXhGkclDUgwnURJbdzXf91Hf4warJTssCMg6MuGOUGJfKcxhG0bSUjK&#10;YDjuI4Y7tqyOLXqjLg2a08P7YnkSo3+QB7FyRn3G4zCPUWFimiN224pOuQzt7uJ54WI+T25YJMvC&#10;lb61PIJHnrSZb4KpmjQ0D+ygD1HBKqWOdGsfd/VYT14PT93s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xzNNLbAAAADAEAAA8AAAAAAAAAAQAgAAAAIgAAAGRycy9kb3ducmV2LnhtbFBLAQIUABQA&#10;AAAIAIdO4kBA5TZEmAIAADIFAAAOAAAAAAAAAAEAIAAAACoBAABkcnMvZTJvRG9jLnhtbFBLBQYA&#10;AAAABgAGAFkBAAA0BgAAAAA=&#10;">
                <v:fill on="t" focussize="0,0"/>
                <v:stroke weight="1pt" color="#235889" miterlimit="8" joinstyle="miter"/>
                <v:imagedata o:title=""/>
                <o:lock v:ext="edit" aspectratio="f"/>
              </v:shap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3360" behindDoc="0" locked="0" layoutInCell="1" allowOverlap="1">
                <wp:simplePos x="0" y="0"/>
                <wp:positionH relativeFrom="column">
                  <wp:posOffset>3223260</wp:posOffset>
                </wp:positionH>
                <wp:positionV relativeFrom="paragraph">
                  <wp:posOffset>5640070</wp:posOffset>
                </wp:positionV>
                <wp:extent cx="885825" cy="353695"/>
                <wp:effectExtent l="411480" t="4445" r="17145" b="365760"/>
                <wp:wrapNone/>
                <wp:docPr id="12" name="圆角矩形标注 12"/>
                <wp:cNvGraphicFramePr/>
                <a:graphic xmlns:a="http://schemas.openxmlformats.org/drawingml/2006/main">
                  <a:graphicData uri="http://schemas.microsoft.com/office/word/2010/wordprocessingShape">
                    <wps:wsp>
                      <wps:cNvSpPr/>
                      <wps:spPr>
                        <a:xfrm flipV="1">
                          <a:off x="0" y="0"/>
                          <a:ext cx="885825" cy="353695"/>
                        </a:xfrm>
                        <a:prstGeom prst="wedgeRoundRectCallout">
                          <a:avLst>
                            <a:gd name="adj1" fmla="val -92583"/>
                            <a:gd name="adj2" fmla="val -146412"/>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6B5A3C45">
                            <w:pPr>
                              <w:rPr>
                                <w:sz w:val="24"/>
                              </w:rPr>
                            </w:pPr>
                            <w:r>
                              <w:rPr>
                                <w:rFonts w:hint="eastAsia"/>
                                <w:sz w:val="24"/>
                              </w:rPr>
                              <w:t>项目位置</w:t>
                            </w:r>
                          </w:p>
                        </w:txbxContent>
                      </wps:txbx>
                      <wps:bodyPr upright="1"/>
                    </wps:wsp>
                  </a:graphicData>
                </a:graphic>
              </wp:anchor>
            </w:drawing>
          </mc:Choice>
          <mc:Fallback>
            <w:pict>
              <v:shape id="_x0000_s1026" o:spid="_x0000_s1026" o:spt="62" type="#_x0000_t62" style="position:absolute;left:0pt;flip:y;margin-left:253.8pt;margin-top:444.1pt;height:27.85pt;width:69.75pt;z-index:251663360;mso-width-relative:page;mso-height-relative:page;" fillcolor="#FFFFFF" filled="t" stroked="t" coordsize="21600,21600" o:gfxdata="UEsDBAoAAAAAAIdO4kAAAAAAAAAAAAAAAAAEAAAAZHJzL1BLAwQUAAAACACHTuJAORrRs90AAAAL&#10;AQAADwAAAGRycy9kb3ducmV2LnhtbE2PwU7DMBBE70j8g7VI3KidUpI0ZFOVAuLCAdJKiJsbmyRq&#10;vA6x2wS+HnOC42qeZt7mq8l07KQH11pCiGYCmKbKqpZqhN328SoF5rwkJTtLGuFLO1gV52e5zJQd&#10;6VWfSl+zUEIukwiN933GuasabaSb2V5TyD7sYKQP51BzNcgxlJuOz4WIuZEthYVG9nrT6OpQHg3C&#10;+9vLffK0mcq778/Dc6ke1tU0rhEvLyJxC8zryf/B8Ksf1KEITnt7JOVYh3AjkjigCGmazoEFIl4k&#10;EbA9wnJxvQRe5Pz/D8UPUEsDBBQAAAAIAIdO4kC/WgwXXAIAAMkEAAAOAAAAZHJzL2Uyb0RvYy54&#10;bWytVLuS0zAU7ZnhHzTqN46TdUgycbbYEBoGdnaBXrFkW4xeIylx8gPQUzMDQwPU1HzOLnwGV7IJ&#10;3oViC1Rorqyro3POvfLibC8F2jHruFY5TgdDjJgqNOWqyvHLF+uTKUbOE0WJ0Irl+MAcPls+fLBo&#10;zJyNdK0FZRYBiHLzxuS49t7Mk8QVNZPEDbRhCjZLbSXxsLRVQi1pAF2KZDQcTpJGW2qsLphz8HXV&#10;buIO0d4HUJclL9hKF1vJlG9RLRPEgyRXc+PwMrItS1b452XpmEcix6DUxxkugXgT5mS5IPPKElPz&#10;oqNA7kPhjiZJuIJLj1Ar4gnaWv4XlOSF1U6XflBombRCoiOgIh3e8eaqJoZFLWC1M0fT3f+DLZ7t&#10;LiziFDphhJEiEip+/f7Nz8/vfnz4ev39083HtzffviDYBKca4+Zw4Mpc2G7lIAyy96WVqBTcvAKg&#10;aARIQ/vo8+HoM9t7VMDH6TSbjjKMCtgaZ+PJLAvoSQsT4Ix1/gnTEoUgxw2jFbvUW0UvoaDnRAi9&#10;9fEWsnvqfPSdduQJfZ1iVEoBZdwRgU5mo2w67urcSwK1vaT0dHLaaoQS9rLG/ax0Mpk86ph2FwPn&#10;31wDC6cFp2suRFzYanMuLAIWOV7H0R2+lSYUanI8y6IhBB5UCY0M3kgDRXGqijpvnXB94GEc/wIO&#10;xFbE1S2BiNDaILlnNjZ+zQh9rCjyBwN1V/DecSAjGcVIMPg9hChmesLFfTLBEKGglqFV2uYIkd9v&#10;9l3HbDQ9QMdtjeVVDbVNI/WQBB0em6B7jeEJ9dcR9M8faP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RrRs90AAAALAQAADwAAAAAAAAABACAAAAAiAAAAZHJzL2Rvd25yZXYueG1sUEsBAhQAFAAA&#10;AAgAh07iQL9aDBdcAgAAyQQAAA4AAAAAAAAAAQAgAAAALAEAAGRycy9lMm9Eb2MueG1sUEsFBgAA&#10;AAAGAAYAWQEAAPoFAAAAAA==&#10;" adj="-9198,-20825,14400">
                <v:fill on="t" focussize="0,0"/>
                <v:stroke color="#000000" joinstyle="miter"/>
                <v:imagedata o:title=""/>
                <o:lock v:ext="edit" aspectratio="f"/>
                <v:textbox>
                  <w:txbxContent>
                    <w:p w14:paraId="6B5A3C45">
                      <w:pPr>
                        <w:rPr>
                          <w:sz w:val="24"/>
                        </w:rPr>
                      </w:pPr>
                      <w:r>
                        <w:rPr>
                          <w:rFonts w:hint="eastAsia"/>
                          <w:sz w:val="24"/>
                        </w:rPr>
                        <w:t>项目位置</w:t>
                      </w:r>
                    </w:p>
                  </w:txbxContent>
                </v:textbox>
              </v:shape>
            </w:pict>
          </mc:Fallback>
        </mc:AlternateContent>
      </w:r>
      <w:r>
        <w:rPr>
          <w:rFonts w:hint="default" w:ascii="Times New Roman" w:hAnsi="Times New Roman" w:eastAsia="宋体" w:cs="Times New Roman"/>
        </w:rPr>
        <w:drawing>
          <wp:inline distT="0" distB="0" distL="0" distR="0">
            <wp:extent cx="5591810" cy="7901940"/>
            <wp:effectExtent l="0" t="0" r="8890" b="3810"/>
            <wp:docPr id="28" name="图片 28" descr="C:\Users\lv\Desktop\淮北评审后成果\更新成果表与图\图件\32淮北市土壤污染风险分区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v\Desktop\淮北评审后成果\更新成果表与图\图件\32淮北市土壤污染风险分区管控图.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591810" cy="7901940"/>
                    </a:xfrm>
                    <a:prstGeom prst="rect">
                      <a:avLst/>
                    </a:prstGeom>
                    <a:noFill/>
                    <a:ln>
                      <a:noFill/>
                    </a:ln>
                  </pic:spPr>
                </pic:pic>
              </a:graphicData>
            </a:graphic>
          </wp:inline>
        </w:drawing>
      </w:r>
    </w:p>
    <w:p w14:paraId="6A000008">
      <w:pPr>
        <w:pStyle w:val="61"/>
        <w:ind w:left="0" w:leftChars="0" w:firstLine="0" w:firstLineChars="0"/>
        <w:rPr>
          <w:rFonts w:hint="default" w:ascii="Times New Roman" w:hAnsi="Times New Roman" w:eastAsia="宋体" w:cs="Times New Roman"/>
          <w:b/>
          <w:bCs/>
          <w:szCs w:val="24"/>
        </w:rPr>
      </w:pPr>
    </w:p>
    <w:p w14:paraId="0F54F54F">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附图</w:t>
      </w:r>
      <w:r>
        <w:rPr>
          <w:rFonts w:hint="eastAsia" w:eastAsia="宋体" w:cs="Times New Roman"/>
          <w:b/>
          <w:bCs/>
          <w:sz w:val="28"/>
          <w:szCs w:val="28"/>
          <w:lang w:val="en-US" w:eastAsia="zh-CN"/>
        </w:rPr>
        <w:t>5</w:t>
      </w:r>
      <w:r>
        <w:rPr>
          <w:rFonts w:hint="default" w:ascii="Times New Roman" w:hAnsi="Times New Roman" w:eastAsia="宋体" w:cs="Times New Roman"/>
          <w:b/>
          <w:bCs/>
          <w:sz w:val="28"/>
          <w:szCs w:val="28"/>
          <w:lang w:val="en-US" w:eastAsia="zh-CN"/>
        </w:rPr>
        <w:t>淮北市土壤环境风险分区防控图</w:t>
      </w:r>
    </w:p>
    <w:p w14:paraId="4F55191B">
      <w:pPr>
        <w:pStyle w:val="61"/>
        <w:ind w:left="0" w:leftChars="0" w:firstLine="0" w:firstLineChars="0"/>
        <w:rPr>
          <w:rFonts w:hint="default" w:ascii="Times New Roman" w:hAnsi="Times New Roman" w:eastAsia="宋体" w:cs="Times New Roman"/>
        </w:rPr>
      </w:pPr>
      <w:r>
        <w:rPr>
          <w:rFonts w:hint="default" w:ascii="Times New Roman" w:hAnsi="Times New Roman" w:eastAsia="宋体" w:cs="Times New Roman"/>
          <w:color w:val="auto"/>
        </w:rPr>
        <mc:AlternateContent>
          <mc:Choice Requires="wps">
            <w:drawing>
              <wp:anchor distT="0" distB="0" distL="114300" distR="114300" simplePos="0" relativeHeight="251664384" behindDoc="0" locked="0" layoutInCell="1" allowOverlap="1">
                <wp:simplePos x="0" y="0"/>
                <wp:positionH relativeFrom="column">
                  <wp:posOffset>3348990</wp:posOffset>
                </wp:positionH>
                <wp:positionV relativeFrom="paragraph">
                  <wp:posOffset>5774690</wp:posOffset>
                </wp:positionV>
                <wp:extent cx="885825" cy="353695"/>
                <wp:effectExtent l="411480" t="4445" r="17145" b="365760"/>
                <wp:wrapNone/>
                <wp:docPr id="21" name="圆角矩形标注 21"/>
                <wp:cNvGraphicFramePr/>
                <a:graphic xmlns:a="http://schemas.openxmlformats.org/drawingml/2006/main">
                  <a:graphicData uri="http://schemas.microsoft.com/office/word/2010/wordprocessingShape">
                    <wps:wsp>
                      <wps:cNvSpPr/>
                      <wps:spPr>
                        <a:xfrm flipV="1">
                          <a:off x="0" y="0"/>
                          <a:ext cx="885825" cy="353695"/>
                        </a:xfrm>
                        <a:prstGeom prst="wedgeRoundRectCallout">
                          <a:avLst>
                            <a:gd name="adj1" fmla="val -92583"/>
                            <a:gd name="adj2" fmla="val -146412"/>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67A3A006">
                            <w:pPr>
                              <w:rPr>
                                <w:sz w:val="24"/>
                              </w:rPr>
                            </w:pPr>
                            <w:r>
                              <w:rPr>
                                <w:rFonts w:hint="eastAsia"/>
                                <w:sz w:val="24"/>
                              </w:rPr>
                              <w:t>项目位置</w:t>
                            </w:r>
                          </w:p>
                        </w:txbxContent>
                      </wps:txbx>
                      <wps:bodyPr upright="1"/>
                    </wps:wsp>
                  </a:graphicData>
                </a:graphic>
              </wp:anchor>
            </w:drawing>
          </mc:Choice>
          <mc:Fallback>
            <w:pict>
              <v:shape id="_x0000_s1026" o:spid="_x0000_s1026" o:spt="62" type="#_x0000_t62" style="position:absolute;left:0pt;flip:y;margin-left:263.7pt;margin-top:454.7pt;height:27.85pt;width:69.75pt;z-index:251664384;mso-width-relative:page;mso-height-relative:page;" fillcolor="#FFFFFF" filled="t" stroked="t" coordsize="21600,21600" o:gfxdata="UEsDBAoAAAAAAIdO4kAAAAAAAAAAAAAAAAAEAAAAZHJzL1BLAwQUAAAACACHTuJAuMTbx9wAAAAL&#10;AQAADwAAAGRycy9kb3ducmV2LnhtbE2PPU/DMBCGdyT+g3VIbNRORV0S4lSlgFgYIK2E2Nz4SKLG&#10;dojdJvDrOSbY7uPRe8/lq8l27IRDaL1TkMwEMHSVN62rFey2j1c3wELUzujOO1TwhQFWxflZrjPj&#10;R/eKpzLWjEJcyLSCJsY+4zxUDVodZr5HR7sPP1gdqR1qbgY9Urjt+FwIya1uHV1odI+bBqtDebQK&#10;3t9e7pdPm6m8+/48PJfmYV1N41qpy4tE3AKLOMU/GH71SR0Kctr7ozOBdQoW8+U1oQpSkVJBhJQy&#10;BbaniVwkwIuc//+h+AFQSwMEFAAAAAgAh07iQEpW7fBZAgAAyQQAAA4AAABkcnMvZTJvRG9jLnht&#10;bK1UvZLTMBjsmeEdNOovjp2zSTJxrrgQGgZu7oBesWRbjP5GUuLkBaCnZuYYGqCm5nHu4DH4LJuQ&#10;3FFcgQuPZH1a7e638uxsKwXaMOu4VjmOB0OMmCo05arK8etXy5MxRs4TRYnQiuV4xxw+mz9+NGvM&#10;lCW61oIyiwBEuWljclx7b6ZR5IqaSeIG2jAFi6W2kniY2iqiljSALkWUDIdZ1GhLjdUFcw6+LrpF&#10;3CPahwDqsuQFW+hiLZnyHaplgniQ5GpuHJ4HtmXJCv+yLB3zSOQYlPrwhkNgvGrf0XxGppUlpuZF&#10;T4E8hMIdTZJwBYfuoRbEE7S2/B6U5IXVTpd+UGgZdUKCI6AiHt7x5qomhgUtYLUze9Pd/4MtXmwu&#10;LOI0x0mMkSISOn7z8d2vLx9+Xn+7+fH59tP72+9fESyCU41xU9hwZS5sP3MwbGVvSytRKbh5A5EK&#10;RoA0tA0+7/Y+s61HBXwcj9NxkmJUwNIoHWWTtEWPOpgWzljnnzEtUTvIccNoxS71WtFLaOg5EUKv&#10;fTiFbJ47H3ynPXlC34KQUgpo44YIdDJJ0vGo7/NBUXJUFJ9mp3Fyv2p0WBVnWfakZ9ofDJz/cG1Z&#10;OC04XXIhwsRWq3NhEbDI8TI8/eajMqFQk+NJGgwhcKFKCDJ4Iw00xakq6Dza4Q6Bh+H5F3BLbEFc&#10;3REICJ1AyT2zIfg1I/SposjvDPRdwX3HLRnJKEaCwe+hHYVKT7h4SCUYIhT0so1KF4525LerbZ+Y&#10;laY7SNzaWF7V0NsQrFAOCQ8h6G9je4UO5wH07x9o/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xNvH3AAAAAsBAAAPAAAAAAAAAAEAIAAAACIAAABkcnMvZG93bnJldi54bWxQSwECFAAUAAAACACH&#10;TuJASlbt8FkCAADJBAAADgAAAAAAAAABACAAAAArAQAAZHJzL2Uyb0RvYy54bWxQSwUGAAAAAAYA&#10;BgBZAQAA9gUAAAAA&#10;" adj="-9198,-20825,14400">
                <v:fill on="t" focussize="0,0"/>
                <v:stroke color="#000000" joinstyle="miter"/>
                <v:imagedata o:title=""/>
                <o:lock v:ext="edit" aspectratio="f"/>
                <v:textbox>
                  <w:txbxContent>
                    <w:p w14:paraId="67A3A006">
                      <w:pPr>
                        <w:rPr>
                          <w:sz w:val="24"/>
                        </w:rPr>
                      </w:pPr>
                      <w:r>
                        <w:rPr>
                          <w:rFonts w:hint="eastAsia"/>
                          <w:sz w:val="24"/>
                        </w:rPr>
                        <w:t>项目位置</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2889250</wp:posOffset>
                </wp:positionH>
                <wp:positionV relativeFrom="paragraph">
                  <wp:posOffset>6447155</wp:posOffset>
                </wp:positionV>
                <wp:extent cx="99060" cy="91440"/>
                <wp:effectExtent l="6350" t="6350" r="8890" b="16510"/>
                <wp:wrapNone/>
                <wp:docPr id="25" name="椭圆 25"/>
                <wp:cNvGraphicFramePr/>
                <a:graphic xmlns:a="http://schemas.openxmlformats.org/drawingml/2006/main">
                  <a:graphicData uri="http://schemas.microsoft.com/office/word/2010/wordprocessingShape">
                    <wps:wsp>
                      <wps:cNvSpPr/>
                      <wps:spPr>
                        <a:xfrm>
                          <a:off x="6215380" y="4095115"/>
                          <a:ext cx="99060" cy="91440"/>
                        </a:xfrm>
                        <a:prstGeom prst="ellipse">
                          <a:avLst/>
                        </a:prstGeom>
                        <a:solidFill>
                          <a:srgbClr val="00B0F0"/>
                        </a:solidFill>
                        <a:ln w="12700" cap="flat" cmpd="sng" algn="ctr">
                          <a:solidFill>
                            <a:srgbClr val="2E75B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7.5pt;margin-top:507.65pt;height:7.2pt;width:7.8pt;z-index:251678720;v-text-anchor:middle;mso-width-relative:page;mso-height-relative:page;" fillcolor="#00B0F0" filled="t" stroked="t" coordsize="21600,21600" o:gfxdata="UEsDBAoAAAAAAIdO4kAAAAAAAAAAAAAAAAAEAAAAZHJzL1BLAwQUAAAACACHTuJA84aXfNsAAAAN&#10;AQAADwAAAGRycy9kb3ducmV2LnhtbE2PzU7DMBCE70i8g7VI3Kid0DQQ4vQAAiFVqkSL1KsTL3FE&#10;bAfb/eHtuz3BcWdGs9/Uy5Md2QFDHLyTkM0EMHSd14PrJXxuX+8egMWknFajdyjhFyMsm+urWlXa&#10;H90HHjapZ1TiYqUkmJSmivPYGbQqzvyEjrwvH6xKdIae66COVG5Hngux4FYNjj4YNeGzwe57s7cS&#10;fla9z63Zrt+VfduF3bp9yW0p5e1NJp6AJTylvzBc8AkdGmJq/d7pyEYJ86KgLYkMkRX3wCgyL8UC&#10;WHuR8scSeFPz/yuaM1BLAwQUAAAACACHTuJAcj0ap5kCAAAyBQAADgAAAGRycy9lMm9Eb2MueG1s&#10;rVTNbhMxEL4j8Q6W73R/yE+z6qZKG4KQCq1UEGfHa2ct+Q/byaY8AE/BkSuPBc/B2Ltp08KhBy67&#10;M57xNzPfzPjsfK8k2jHnhdE1Lk5yjJimphF6U+NPH1evTjHygeiGSKNZje+Yx+fzly/OOlux0rRG&#10;NswhANG+6myN2xBslWWetkwRf2Is02DkxikSQHWbrHGkA3QlszLPJ1lnXGOdocx7OF32RjwguucA&#10;Gs4FZUtDt4rp0KM6JkmAknwrrMfzlC3njIZrzj0LSNYYKg3pC0FAXsdvNj8j1cYR2wo6pECek8KT&#10;mhQRGoLeQy1JIGjrxF9QSlBnvOHhhBqV9YUkRqCKIn/CzW1LLEu1ANXe3pPu/x8s/bC7cUg0NS7H&#10;GGmioOO/f/z89f0bggNgp7O+Aqdbe+MGzYMYS91zp+IfikD7Gk/KYvz6FHi9q/Eon42LIt0nFdsH&#10;RMFhNssnYKZgnxWjUeI+e4Cxzoe3zCgUhRozKaGRsXpSkd2VDxAdvA9e8dgbKZqVkDIpbrO+lA7t&#10;SOx0fpGvDgEeuUmNOpj6cprHVAjML4e5AVFZ4MDrDUZEbmAxaHAp9qPb/jhI+WY6vpgkJ7lV703T&#10;x56Oc8Dusx38U+aPgGIZS+Lb/koy9aOoRIDtkkLV+BRw7pGkjkWyNNEDGbEzfS+itDbNHXTSmX7E&#10;vaUrAUGuiA83xMFMQ72w9eEaPlwaIMEMEkatcV//dR79YdTAilEHOwIEfdkSxzCS7zQMYd9GFJIy&#10;Gk9LiOGOLetji96qSwPNKeB9sTSJ0T/Ig8idUZ/hcVjEqGAimkLsvhWDchn63YXnhbLFIrnBIlkS&#10;rvStpRE88qTNYhsMF2loHtiBPkQFVil1ZFj7uKvHevJ6eOr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hpd82wAAAA0BAAAPAAAAAAAAAAEAIAAAACIAAABkcnMvZG93bnJldi54bWxQSwECFAAU&#10;AAAACACHTuJAcj0ap5kCAAAyBQAADgAAAAAAAAABACAAAAAqAQAAZHJzL2Uyb0RvYy54bWxQSwUG&#10;AAAAAAYABgBZAQAANQYAAAAA&#10;">
                <v:fill on="t" focussize="0,0"/>
                <v:stroke weight="1pt" color="#235889" miterlimit="8" joinstyle="miter"/>
                <v:imagedata o:title=""/>
                <o:lock v:ext="edit" aspectratio="f"/>
              </v:shape>
            </w:pict>
          </mc:Fallback>
        </mc:AlternateContent>
      </w:r>
      <w:r>
        <w:rPr>
          <w:rFonts w:hint="default" w:ascii="Times New Roman" w:hAnsi="Times New Roman" w:eastAsia="宋体" w:cs="Times New Roman"/>
          <w:b w:val="0"/>
          <w:sz w:val="24"/>
          <w:szCs w:val="24"/>
        </w:rPr>
        <w:drawing>
          <wp:inline distT="0" distB="0" distL="0" distR="0">
            <wp:extent cx="5687060" cy="8038465"/>
            <wp:effectExtent l="0" t="0" r="8890" b="635"/>
            <wp:docPr id="43" name="图片 43" descr="C:\Users\lv\Desktop\淮北评审后成果\更新成果表与图\图件\39淮北市环境管控单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lv\Desktop\淮北评审后成果\更新成果表与图\图件\39淮北市环境管控单元图.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687060" cy="8038465"/>
                    </a:xfrm>
                    <a:prstGeom prst="rect">
                      <a:avLst/>
                    </a:prstGeom>
                    <a:noFill/>
                    <a:ln>
                      <a:noFill/>
                    </a:ln>
                  </pic:spPr>
                </pic:pic>
              </a:graphicData>
            </a:graphic>
          </wp:inline>
        </w:drawing>
      </w:r>
    </w:p>
    <w:p w14:paraId="10166B94">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rPr>
      </w:pPr>
      <w:r>
        <w:rPr>
          <w:rFonts w:hint="default" w:ascii="Times New Roman" w:hAnsi="Times New Roman" w:eastAsia="宋体" w:cs="Times New Roman"/>
          <w:b/>
          <w:bCs/>
          <w:sz w:val="28"/>
          <w:szCs w:val="28"/>
          <w:lang w:val="en-US" w:eastAsia="zh-CN"/>
        </w:rPr>
        <w:t>附图</w:t>
      </w:r>
      <w:r>
        <w:rPr>
          <w:rFonts w:hint="eastAsia" w:eastAsia="宋体" w:cs="Times New Roman"/>
          <w:b/>
          <w:bCs/>
          <w:sz w:val="28"/>
          <w:szCs w:val="28"/>
          <w:lang w:val="en-US" w:eastAsia="zh-CN"/>
        </w:rPr>
        <w:t>6</w:t>
      </w:r>
      <w:r>
        <w:rPr>
          <w:rFonts w:hint="default" w:ascii="Times New Roman" w:hAnsi="Times New Roman" w:eastAsia="宋体" w:cs="Times New Roman"/>
          <w:b/>
          <w:bCs/>
          <w:sz w:val="28"/>
          <w:szCs w:val="28"/>
          <w:lang w:val="en-US" w:eastAsia="zh-CN"/>
        </w:rPr>
        <w:t>淮北市环境管控单元图</w:t>
      </w:r>
    </w:p>
    <w:p w14:paraId="10F1C3BD">
      <w:pPr>
        <w:pStyle w:val="61"/>
        <w:ind w:left="0" w:leftChars="0" w:firstLine="0" w:firstLineChars="0"/>
        <w:rPr>
          <w:rFonts w:hint="default" w:ascii="Times New Roman" w:hAnsi="Times New Roman" w:eastAsia="宋体" w:cs="Times New Roman"/>
          <w:lang w:val="en-US" w:eastAsia="zh-CN"/>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rtlGutter w:val="0"/>
          <w:docGrid w:linePitch="332" w:charSpace="0"/>
        </w:sectPr>
      </w:pPr>
    </w:p>
    <w:p w14:paraId="36062CE0">
      <w:pPr>
        <w:pStyle w:val="2"/>
        <w:jc w:val="center"/>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bCs/>
          <w:kern w:val="2"/>
          <w:sz w:val="28"/>
          <w:szCs w:val="28"/>
          <w:lang w:val="en-US" w:eastAsia="zh-CN" w:bidi="ar-SA"/>
        </w:rPr>
        <w:drawing>
          <wp:anchor distT="0" distB="0" distL="114300" distR="114300" simplePos="0" relativeHeight="251665408" behindDoc="0" locked="0" layoutInCell="1" allowOverlap="1">
            <wp:simplePos x="0" y="0"/>
            <wp:positionH relativeFrom="column">
              <wp:posOffset>7679690</wp:posOffset>
            </wp:positionH>
            <wp:positionV relativeFrom="paragraph">
              <wp:posOffset>80645</wp:posOffset>
            </wp:positionV>
            <wp:extent cx="817880" cy="1304925"/>
            <wp:effectExtent l="0" t="0" r="0" b="0"/>
            <wp:wrapNone/>
            <wp:docPr id="27" name="图片 2" descr="5b8faa2f99846f50a0426b78332e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5b8faa2f99846f50a0426b78332e5bc"/>
                    <pic:cNvPicPr>
                      <a:picLocks noChangeAspect="1"/>
                    </pic:cNvPicPr>
                  </pic:nvPicPr>
                  <pic:blipFill>
                    <a:blip r:embed="rId35"/>
                    <a:srcRect r="12262"/>
                    <a:stretch>
                      <a:fillRect/>
                    </a:stretch>
                  </pic:blipFill>
                  <pic:spPr>
                    <a:xfrm>
                      <a:off x="0" y="0"/>
                      <a:ext cx="817880" cy="1304925"/>
                    </a:xfrm>
                    <a:prstGeom prst="rect">
                      <a:avLst/>
                    </a:prstGeom>
                    <a:noFill/>
                    <a:ln>
                      <a:noFill/>
                    </a:ln>
                  </pic:spPr>
                </pic:pic>
              </a:graphicData>
            </a:graphic>
          </wp:anchor>
        </w:drawing>
      </w:r>
      <w:r>
        <w:rPr>
          <w:rFonts w:hint="default" w:ascii="Times New Roman" w:hAnsi="Times New Roman" w:eastAsia="宋体" w:cs="Times New Roman"/>
          <w:b/>
          <w:bCs/>
          <w:kern w:val="2"/>
          <w:sz w:val="28"/>
          <w:szCs w:val="28"/>
          <w:lang w:val="en-US" w:eastAsia="zh-CN" w:bidi="ar-SA"/>
        </w:rPr>
        <w:drawing>
          <wp:inline distT="0" distB="0" distL="114300" distR="114300">
            <wp:extent cx="7877810" cy="4756785"/>
            <wp:effectExtent l="0" t="0" r="8890" b="5715"/>
            <wp:docPr id="50" name="图片 50" descr="环境保护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环境保护目标"/>
                    <pic:cNvPicPr>
                      <a:picLocks noChangeAspect="1"/>
                    </pic:cNvPicPr>
                  </pic:nvPicPr>
                  <pic:blipFill>
                    <a:blip r:embed="rId42"/>
                    <a:srcRect t="9714" r="13189"/>
                    <a:stretch>
                      <a:fillRect/>
                    </a:stretch>
                  </pic:blipFill>
                  <pic:spPr>
                    <a:xfrm>
                      <a:off x="0" y="0"/>
                      <a:ext cx="7877810" cy="4756785"/>
                    </a:xfrm>
                    <a:prstGeom prst="rect">
                      <a:avLst/>
                    </a:prstGeom>
                  </pic:spPr>
                </pic:pic>
              </a:graphicData>
            </a:graphic>
          </wp:inline>
        </w:drawing>
      </w:r>
    </w:p>
    <w:p w14:paraId="213483C1">
      <w:pPr>
        <w:pStyle w:val="2"/>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bCs/>
          <w:kern w:val="2"/>
          <w:sz w:val="28"/>
          <w:szCs w:val="28"/>
          <w:lang w:val="en-US" w:eastAsia="zh-CN" w:bidi="ar-SA"/>
        </w:rPr>
        <w:t>附图</w:t>
      </w:r>
      <w:r>
        <w:rPr>
          <w:rFonts w:hint="eastAsia" w:eastAsia="宋体" w:cs="Times New Roman"/>
          <w:b/>
          <w:bCs/>
          <w:kern w:val="2"/>
          <w:sz w:val="28"/>
          <w:szCs w:val="28"/>
          <w:lang w:val="en-US" w:eastAsia="zh-CN" w:bidi="ar-SA"/>
        </w:rPr>
        <w:t>7</w:t>
      </w:r>
      <w:r>
        <w:rPr>
          <w:rFonts w:hint="default" w:ascii="Times New Roman" w:hAnsi="Times New Roman" w:eastAsia="宋体" w:cs="Times New Roman"/>
          <w:b/>
          <w:bCs/>
          <w:kern w:val="2"/>
          <w:sz w:val="28"/>
          <w:szCs w:val="28"/>
          <w:lang w:val="en-US" w:eastAsia="zh-CN" w:bidi="ar-SA"/>
        </w:rPr>
        <w:t>环境敏感保护目标图</w:t>
      </w:r>
    </w:p>
    <w:p w14:paraId="74126D52">
      <w:pPr>
        <w:rPr>
          <w:rFonts w:hint="default" w:ascii="Times New Roman" w:hAnsi="Times New Roman" w:eastAsia="宋体" w:cs="Times New Roman"/>
          <w:lang w:val="en-US" w:eastAsia="zh-CN"/>
        </w:rPr>
        <w:sectPr>
          <w:pgSz w:w="16838" w:h="11905" w:orient="landscape"/>
          <w:pgMar w:top="1803" w:right="1440" w:bottom="1803" w:left="1440" w:header="850" w:footer="1077" w:gutter="0"/>
          <w:pgBorders>
            <w:top w:val="none" w:sz="0" w:space="0"/>
            <w:left w:val="none" w:sz="0" w:space="0"/>
            <w:bottom w:val="none" w:sz="0" w:space="0"/>
            <w:right w:val="none" w:sz="0" w:space="0"/>
          </w:pgBorders>
          <w:pgNumType w:fmt="decimal"/>
          <w:cols w:space="0" w:num="1"/>
          <w:rtlGutter w:val="0"/>
          <w:docGrid w:linePitch="332" w:charSpace="0"/>
        </w:sectPr>
      </w:pPr>
    </w:p>
    <w:p w14:paraId="0BB9A2E4">
      <w:pPr>
        <w:rPr>
          <w:rFonts w:hint="default" w:ascii="Times New Roman" w:hAnsi="Times New Roman" w:eastAsia="宋体" w:cs="Times New Roman"/>
        </w:rPr>
      </w:pPr>
    </w:p>
    <w:p w14:paraId="0DCD71C0">
      <w:pPr>
        <w:pStyle w:val="33"/>
        <w:rPr>
          <w:rFonts w:hint="default" w:ascii="Times New Roman" w:hAnsi="Times New Roman" w:eastAsia="宋体" w:cs="Times New Roman"/>
        </w:rPr>
      </w:pPr>
    </w:p>
    <w:p w14:paraId="460713CA">
      <w:pPr>
        <w:rPr>
          <w:rFonts w:hint="default" w:ascii="Times New Roman" w:hAnsi="Times New Roman" w:eastAsia="宋体" w:cs="Times New Roman"/>
          <w:lang w:val="en-US" w:eastAsia="zh-CN"/>
        </w:rPr>
      </w:pPr>
    </w:p>
    <w:p w14:paraId="6CDCAC16">
      <w:pPr>
        <w:pStyle w:val="5"/>
        <w:rPr>
          <w:rFonts w:hint="default" w:ascii="Times New Roman" w:hAnsi="Times New Roman" w:eastAsia="宋体" w:cs="Times New Roman"/>
          <w:lang w:val="en-US" w:eastAsia="zh-CN"/>
        </w:rPr>
      </w:pPr>
    </w:p>
    <w:p w14:paraId="418E0E6F">
      <w:pPr>
        <w:pStyle w:val="5"/>
        <w:rPr>
          <w:rFonts w:hint="default" w:ascii="Times New Roman" w:hAnsi="Times New Roman" w:eastAsia="宋体" w:cs="Times New Roman"/>
          <w:lang w:val="en-US" w:eastAsia="zh-CN"/>
        </w:rPr>
      </w:pPr>
      <w:r>
        <w:rPr>
          <w:sz w:val="28"/>
        </w:rPr>
        <mc:AlternateContent>
          <mc:Choice Requires="wps">
            <w:drawing>
              <wp:anchor distT="0" distB="0" distL="114300" distR="114300" simplePos="0" relativeHeight="251675648" behindDoc="0" locked="0" layoutInCell="1" allowOverlap="1">
                <wp:simplePos x="0" y="0"/>
                <wp:positionH relativeFrom="column">
                  <wp:posOffset>441325</wp:posOffset>
                </wp:positionH>
                <wp:positionV relativeFrom="paragraph">
                  <wp:posOffset>420370</wp:posOffset>
                </wp:positionV>
                <wp:extent cx="1200150" cy="2343150"/>
                <wp:effectExtent l="12700" t="12700" r="25400" b="25400"/>
                <wp:wrapNone/>
                <wp:docPr id="29" name="矩形 29"/>
                <wp:cNvGraphicFramePr/>
                <a:graphic xmlns:a="http://schemas.openxmlformats.org/drawingml/2006/main">
                  <a:graphicData uri="http://schemas.microsoft.com/office/word/2010/wordprocessingShape">
                    <wps:wsp>
                      <wps:cNvSpPr/>
                      <wps:spPr>
                        <a:xfrm>
                          <a:off x="1355725" y="2831465"/>
                          <a:ext cx="1200150" cy="23431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33.1pt;height:184.5pt;width:94.5pt;z-index:251675648;v-text-anchor:middle;mso-width-relative:page;mso-height-relative:page;" filled="f" stroked="t" coordsize="21600,21600" o:gfxdata="UEsDBAoAAAAAAIdO4kAAAAAAAAAAAAAAAAAEAAAAZHJzL1BLAwQUAAAACACHTuJACcxHkdkAAAAJ&#10;AQAADwAAAGRycy9kb3ducmV2LnhtbE2PMU/DMBCFdyT+g3VILIg6TUkUQpxKVKIDAxKFhc2JjyRq&#10;fI5spyn/nmOi0+nuPb37XrU921Gc0IfBkYL1KgGB1DozUKfg8+PlvgARoiajR0eo4AcDbOvrq0qX&#10;xi30jqdD7ASHUCi1gj7GqZQytD1aHVZuQmLt23mrI6++k8brhcPtKNMkyaXVA/GHXk+467E9Hmar&#10;oNl/+V3xvNnH+S7n6GP3im+LUrc36+QJRMRz/DfDHz6jQ81MjZvJBDEqyB8zdvLMUxCsp1nBh0bB&#10;wyZLQdaVvGxQ/wJQSwMEFAAAAAgAh07iQBivDbFoAgAAwwQAAA4AAABkcnMvZTJvRG9jLnhtbK1U&#10;zW4TMRC+I/EOlu9081vaKJsqahSEVNFKBXF2vHbWkv+wnWzKyyBx4yH6OIjX4PPutg2FQw/k4Mx4&#10;xt/MfDOz84uD0WQvQlTOlnR4MqBEWO4qZbcl/fRx/eaMkpiYrZh2VpT0TkR6sXj9at74mRi52ulK&#10;BAIQG2eNL2mdkp8VReS1MCyeOC8sjNIFwxLUsC2qwBqgG12MBoPTonGh8sFxESNuV52R9ojhJYBO&#10;SsXFyvGdETZ1qEFollBSrJWPdNFmK6Xg6VrKKBLRJUWlqT0RBPImn8VizmbbwHyteJ8Ce0kKz2oy&#10;TFkEfYRascTILqi/oIziwUUn0wl3pugKaRlBFcPBM25ua+ZFWwuojv6R9Pj/YPmH/U0gqirp6JwS&#10;yww6/uvbj5/33wkuwE7j4wxOt/4m9FqEmEs9yGDyP4ogB0zSeDp9O5pScgess/Fwcjrt2BWHRHh2&#10;QPeHUxDPs8d4Ms4KMIsnKB9ieiecIVkoaUD7WlbZ/iqmzvXBJUe2bq20xj2baUsaoE4ngxyAYS4l&#10;5gGi8agt2i0lTG8x8DyFFjI6rar8PL+OYbu51IHsGcZkvR7g12f2h1uOvWKx7vxaU++mLerIVHXk&#10;ZGnjqjtQG1w3c9HztcL7KxbTDQsYMiSKNUzXOKR2yN71EiW1C1//dZ/90XtYKWkwtKjsy44FQYl+&#10;bzEV58PJBLCpVSZoB5RwbNkcW+zOXDoUPMTCe96K2T/pB1EGZz5jW5c5KkzMcsTuOOyVy9QtE/ad&#10;i+WydcNke5au7K3nGbzr1HKXnFRtE5/Y6UnDbLdj0O9hXp5jvfV6+vY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JzEeR2QAAAAkBAAAPAAAAAAAAAAEAIAAAACIAAABkcnMvZG93bnJldi54bWxQ&#10;SwECFAAUAAAACACHTuJAGK8NsWgCAADDBAAADgAAAAAAAAABACAAAAAoAQAAZHJzL2Uyb0RvYy54&#10;bWxQSwUGAAAAAAYABgBZAQAAAgYAAAAA&#10;">
                <v:fill on="f" focussize="0,0"/>
                <v:stroke weight="2pt" color="#FF0000 [2404]" joinstyle="round"/>
                <v:imagedata o:title=""/>
                <o:lock v:ext="edit" aspectratio="f"/>
              </v:rect>
            </w:pict>
          </mc:Fallback>
        </mc:AlternateContent>
      </w:r>
      <w:r>
        <w:rPr>
          <w:rFonts w:hint="default" w:ascii="Times New Roman" w:hAnsi="Times New Roman" w:eastAsia="宋体" w:cs="Times New Roman"/>
          <w:lang w:val="en-US" w:eastAsia="zh-CN"/>
        </w:rPr>
        <w:drawing>
          <wp:anchor distT="0" distB="0" distL="114300" distR="114300" simplePos="0" relativeHeight="251669504" behindDoc="0" locked="0" layoutInCell="1" allowOverlap="1">
            <wp:simplePos x="0" y="0"/>
            <wp:positionH relativeFrom="column">
              <wp:posOffset>355600</wp:posOffset>
            </wp:positionH>
            <wp:positionV relativeFrom="paragraph">
              <wp:posOffset>-917575</wp:posOffset>
            </wp:positionV>
            <wp:extent cx="8218805" cy="3899535"/>
            <wp:effectExtent l="0" t="0" r="10795" b="5715"/>
            <wp:wrapNone/>
            <wp:docPr id="5" name="图片 5" descr="平面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平面布置"/>
                    <pic:cNvPicPr>
                      <a:picLocks noChangeAspect="1"/>
                    </pic:cNvPicPr>
                  </pic:nvPicPr>
                  <pic:blipFill>
                    <a:blip r:embed="rId43"/>
                    <a:stretch>
                      <a:fillRect/>
                    </a:stretch>
                  </pic:blipFill>
                  <pic:spPr>
                    <a:xfrm>
                      <a:off x="0" y="0"/>
                      <a:ext cx="8218805" cy="3899535"/>
                    </a:xfrm>
                    <a:prstGeom prst="rect">
                      <a:avLst/>
                    </a:prstGeom>
                  </pic:spPr>
                </pic:pic>
              </a:graphicData>
            </a:graphic>
          </wp:anchor>
        </w:drawing>
      </w:r>
    </w:p>
    <w:p w14:paraId="6F8DF820">
      <w:pPr>
        <w:pStyle w:val="5"/>
        <w:rPr>
          <w:rFonts w:hint="default" w:ascii="Times New Roman" w:hAnsi="Times New Roman" w:eastAsia="宋体" w:cs="Times New Roman"/>
          <w:lang w:val="en-US" w:eastAsia="zh-CN"/>
        </w:rPr>
      </w:pPr>
    </w:p>
    <w:p w14:paraId="201A68E3">
      <w:pPr>
        <w:pStyle w:val="5"/>
        <w:rPr>
          <w:rFonts w:hint="default" w:ascii="Times New Roman" w:hAnsi="Times New Roman" w:eastAsia="宋体" w:cs="Times New Roman"/>
          <w:lang w:val="en-US" w:eastAsia="zh-CN"/>
        </w:rPr>
      </w:pPr>
    </w:p>
    <w:p w14:paraId="4BFD45E5">
      <w:pPr>
        <w:pStyle w:val="5"/>
        <w:rPr>
          <w:rFonts w:hint="default" w:ascii="Times New Roman" w:hAnsi="Times New Roman" w:eastAsia="宋体" w:cs="Times New Roman"/>
          <w:lang w:val="en-US" w:eastAsia="zh-CN"/>
        </w:rPr>
      </w:pPr>
    </w:p>
    <w:p w14:paraId="7F192F05">
      <w:pPr>
        <w:pStyle w:val="5"/>
        <w:rPr>
          <w:rFonts w:hint="default" w:ascii="Times New Roman" w:hAnsi="Times New Roman" w:eastAsia="宋体" w:cs="Times New Roman"/>
          <w:lang w:val="en-US" w:eastAsia="zh-CN"/>
        </w:rPr>
      </w:pPr>
      <w:r>
        <w:rPr>
          <w:sz w:val="28"/>
        </w:rPr>
        <mc:AlternateContent>
          <mc:Choice Requires="wps">
            <w:drawing>
              <wp:anchor distT="0" distB="0" distL="114300" distR="114300" simplePos="0" relativeHeight="251679744" behindDoc="0" locked="0" layoutInCell="1" allowOverlap="1">
                <wp:simplePos x="0" y="0"/>
                <wp:positionH relativeFrom="column">
                  <wp:posOffset>7642225</wp:posOffset>
                </wp:positionH>
                <wp:positionV relativeFrom="paragraph">
                  <wp:posOffset>304800</wp:posOffset>
                </wp:positionV>
                <wp:extent cx="818515" cy="295275"/>
                <wp:effectExtent l="0" t="0" r="635" b="9525"/>
                <wp:wrapNone/>
                <wp:docPr id="34" name="文本框 34"/>
                <wp:cNvGraphicFramePr/>
                <a:graphic xmlns:a="http://schemas.openxmlformats.org/drawingml/2006/main">
                  <a:graphicData uri="http://schemas.microsoft.com/office/word/2010/wordprocessingShape">
                    <wps:wsp>
                      <wps:cNvSpPr txBox="1"/>
                      <wps:spPr>
                        <a:xfrm>
                          <a:off x="0" y="0"/>
                          <a:ext cx="818515"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746E9C3">
                            <w:pPr>
                              <w:rPr>
                                <w:rFonts w:hint="default" w:eastAsia="宋体"/>
                                <w:lang w:val="en-US" w:eastAsia="zh-CN"/>
                              </w:rPr>
                            </w:pPr>
                            <w:r>
                              <w:rPr>
                                <w:rFonts w:hint="eastAsia"/>
                                <w:lang w:val="en-US" w:eastAsia="zh-CN"/>
                              </w:rPr>
                              <w:t>新建区域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1.75pt;margin-top:24pt;height:23.25pt;width:64.45pt;z-index:251679744;mso-width-relative:page;mso-height-relative:page;" fillcolor="#FFFFFF [3201]" filled="t" stroked="f" coordsize="21600,21600" o:gfxdata="UEsDBAoAAAAAAIdO4kAAAAAAAAAAAAAAAAAEAAAAZHJzL1BLAwQUAAAACACHTuJAUNPn4tYAAAAL&#10;AQAADwAAAGRycy9kb3ducmV2LnhtbE2Py07DMBBF90j8gzVI7KidR1FJ43SBxBaJtnTtxkMc1R5H&#10;tvv8etwVLK/m6M657eriLDthiKMnCcVMAEPqvR5pkLDdfLwsgMWkSCvrCSVcMcKqe3xoVaP9mb7w&#10;tE4DyyUUGyXBpDQ1nMfeoFNx5iekfPvxwamUYxi4Duqcy53lpRCv3KmR8gejJnw32B/WRydhN7jb&#10;7ruYgtHO1vR5u262fpTy+akQS2AJL+kPhrt+VocuO+39kXRkNudSVPPMSqgXedSdqKqyBraX8FbP&#10;gXct/7+h+wVQSwMEFAAAAAgAh07iQPY+P19RAgAAkAQAAA4AAABkcnMvZTJvRG9jLnhtbK1UwW4a&#10;MRC9V+o/WL6XBQIJQVkiGkRVCTWR0qpn4/WylmyPaxt26Qe0f5BTL733u/IdHXsXQtMeciiHZTwz&#10;+8bvzcxeXTdakZ1wXoLJ6aDXp0QYDoU0m5x++rh8M6HEB2YKpsCInO6Fp9ez16+uajsVQ6hAFcIR&#10;BDF+WtucViHYaZZ5XgnNfA+sMBgswWkW8Og2WeFYjehaZcN+/zyrwRXWARfeo3fRBmmH6F4CCGUp&#10;uVgA32phQovqhGIBKflKWk9n6bZlKXi4LUsvAlE5RaYhPbEI2uv4zGZXbLpxzFaSd1dgL7nCM06a&#10;SYNFj1ALFhjZOvkXlJbcgYcy9DjorCWSFEEWg/4zbe4rZkXiglJ7exTd/z9Y/mF354gscno2osQw&#10;jR1/fPj++OPX489vBH0oUG39FPPuLWaG5i00ODYHv0dn5N2UTsd/ZEQwjvLuj/KKJhCOzslgMh6M&#10;KeEYGl6OhxfjiJI9vWydD+8EaBKNnDrsXhKV7VY+tKmHlFjLg5LFUiqVDm6zvlGO7Bh2epl+Hfof&#10;acqQOqfnZ+N+QjYQ32+hlcHLRK4tp2iFZt10Aqyh2CN/B+0IecuXEm+5Yj7cMYczg5Rxq8ItPkoF&#10;WAQ6i5IK3Nd/+WM+thKjlNQ4gzn1X7bMCUrUe4NNvhyMRnFo02E0vhjiwZ1G1qcRs9U3gOQHuL+W&#10;JzPmB3UwSwf6My7fPFbFEDMca+c0HMyb0G4GLi8X83lKwjG1LKzMveUROkptYL4NUMrUkihTq02n&#10;Hg5qamq3VHETTs8p6+lDM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NPn4tYAAAALAQAADwAA&#10;AAAAAAABACAAAAAiAAAAZHJzL2Rvd25yZXYueG1sUEsBAhQAFAAAAAgAh07iQPY+P19RAgAAkAQA&#10;AA4AAAAAAAAAAQAgAAAAJQEAAGRycy9lMm9Eb2MueG1sUEsFBgAAAAAGAAYAWQEAAOgFAAAAAA==&#10;">
                <v:fill on="t" focussize="0,0"/>
                <v:stroke on="f" weight="0.5pt"/>
                <v:imagedata o:title=""/>
                <o:lock v:ext="edit" aspectratio="f"/>
                <v:textbox>
                  <w:txbxContent>
                    <w:p w14:paraId="6746E9C3">
                      <w:pPr>
                        <w:rPr>
                          <w:rFonts w:hint="default" w:eastAsia="宋体"/>
                          <w:lang w:val="en-US" w:eastAsia="zh-CN"/>
                        </w:rPr>
                      </w:pPr>
                      <w:r>
                        <w:rPr>
                          <w:rFonts w:hint="eastAsia"/>
                          <w:lang w:val="en-US" w:eastAsia="zh-CN"/>
                        </w:rPr>
                        <w:t>新建区域</w:t>
                      </w:r>
                    </w:p>
                  </w:txbxContent>
                </v:textbox>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7280275</wp:posOffset>
                </wp:positionH>
                <wp:positionV relativeFrom="paragraph">
                  <wp:posOffset>352425</wp:posOffset>
                </wp:positionV>
                <wp:extent cx="323850" cy="152400"/>
                <wp:effectExtent l="12700" t="12700" r="25400" b="25400"/>
                <wp:wrapNone/>
                <wp:docPr id="33" name="矩形 33"/>
                <wp:cNvGraphicFramePr/>
                <a:graphic xmlns:a="http://schemas.openxmlformats.org/drawingml/2006/main">
                  <a:graphicData uri="http://schemas.microsoft.com/office/word/2010/wordprocessingShape">
                    <wps:wsp>
                      <wps:cNvSpPr/>
                      <wps:spPr>
                        <a:xfrm>
                          <a:off x="8194675" y="4774565"/>
                          <a:ext cx="323850" cy="1524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3.25pt;margin-top:27.75pt;height:12pt;width:25.5pt;z-index:251677696;v-text-anchor:middle;mso-width-relative:page;mso-height-relative:page;" filled="f" stroked="t" coordsize="21600,21600" o:gfxdata="UEsDBAoAAAAAAIdO4kAAAAAAAAAAAAAAAAAEAAAAZHJzL1BLAwQUAAAACACHTuJARvwTJdkAAAAL&#10;AQAADwAAAGRycy9kb3ducmV2LnhtbE2PMU/DMBCFdyT+g3VILIg6AZK2IU4lKtGBoRKFhc2JjyRq&#10;fI5spyn/nusE093Te3r3Xbk520Gc0IfekYJ0kYBAapzpqVXw+fF6vwIRoiajB0eo4AcDbKrrq1IX&#10;xs30jqdDbAWXUCi0gi7GsZAyNB1aHRZuRGLv23mrI0vfSuP1zOV2kA9Jkkure+ILnR5x22FzPExW&#10;Qb378tvVy+MuTnc5Vx/bN9zPSt3epMkziIjn+BeGCz6jQ8VMtZvIBDGwTp/yjLMKsoznJZGul7zV&#10;CpbrDGRVyv8/VL9QSwMEFAAAAAgAh07iQFFpYXRtAgAAwQQAAA4AAABkcnMvZTJvRG9jLnhtbK1U&#10;S27bMBDdF+gdCO4b+SPFiRE5MGK4KBA0BtKia5qiLAH8laQtp5cp0F0P0eMUvUYfKeXTtIss6gU9&#10;o3l6M/M4o4vLo5LkIJxvjS7p+GREidDcVK3elfTjh/WbM0p8YLpi0mhR0jvh6eXi9auLzs7FxDRG&#10;VsIRkGg/72xJmxDsPMs8b4Ri/sRYoRGsjVMswHW7rHKsA7uS2WQ0Os064yrrDBfe4+mqD9KB0b2E&#10;0NR1y8XK8L0SOvSsTkgW0JJvWuvpIlVb14KHm7r2IhBZUnQa0okksLfxzBYXbL5zzDYtH0pgLynh&#10;WU+KtRpJH6hWLDCyd+1fVKrlznhThxNuVNY3khRBF+PRM21uG2ZF6gVSe/sguv9/tPz9YeNIW5V0&#10;OqVEM4Ub//X1+88f3wgeQJ3O+jlAt3bjBs/DjK0ea6fiP5ogx5Kejc/z01lByV1J89ksL06LXl1x&#10;DIQDMJ1MzwrozgEYF5N8lNTPHoms8+GtMIpEo6QOl5c0ZYdrH5Ac0HtIzKvNupUyXaDUpCvppIic&#10;hDNMZY1pgKksOvN6RwmTO4w7Dy5ReiPbKr4eibzbba+kIweGIVmvR/jFypHuD1jMvWK+6XEpNMCk&#10;BjoK1UsTra2p7iCsM/3EecvXLd6/Zj5smMOIoVAsYbjBUUuD6s1gUdIY9+VfzyMeN48oJR1GFp19&#10;3jMnKJHvNGbifJznoA3JyYvZBI57Gtk+jei9ujJoeIx1tzyZER/kvVk7oz5hV5cxK0JMc+TuNRyc&#10;q9CvEradi+UywTDXloVrfWt5JO9varkPpm7TJT6qM4iGyU5iD1sYV+epn1CPX57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b8EyXZAAAACwEAAA8AAAAAAAAAAQAgAAAAIgAAAGRycy9kb3ducmV2&#10;LnhtbFBLAQIUABQAAAAIAIdO4kBRaWF0bQIAAMEEAAAOAAAAAAAAAAEAIAAAACgBAABkcnMvZTJv&#10;RG9jLnhtbFBLBQYAAAAABgAGAFkBAAAHBgAAAAA=&#10;">
                <v:fill on="f" focussize="0,0"/>
                <v:stroke weight="2pt" color="#FF0000 [2404]" joinstyle="round"/>
                <v:imagedata o:title=""/>
                <o:lock v:ext="edit" aspectratio="f"/>
              </v:rect>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6823075</wp:posOffset>
                </wp:positionH>
                <wp:positionV relativeFrom="paragraph">
                  <wp:posOffset>304800</wp:posOffset>
                </wp:positionV>
                <wp:extent cx="570865" cy="295275"/>
                <wp:effectExtent l="0" t="0" r="635" b="9525"/>
                <wp:wrapNone/>
                <wp:docPr id="30" name="文本框 30"/>
                <wp:cNvGraphicFramePr/>
                <a:graphic xmlns:a="http://schemas.openxmlformats.org/drawingml/2006/main">
                  <a:graphicData uri="http://schemas.microsoft.com/office/word/2010/wordprocessingShape">
                    <wps:wsp>
                      <wps:cNvSpPr txBox="1"/>
                      <wps:spPr>
                        <a:xfrm>
                          <a:off x="7737475" y="4726940"/>
                          <a:ext cx="570865"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F02C79">
                            <w:pPr>
                              <w:rPr>
                                <w:rFonts w:hint="eastAsia" w:eastAsia="宋体"/>
                                <w:lang w:val="en-US" w:eastAsia="zh-CN"/>
                              </w:rPr>
                            </w:pPr>
                            <w:r>
                              <w:rPr>
                                <w:rFonts w:hint="eastAsia"/>
                                <w:lang w:val="en-US" w:eastAsia="zh-CN"/>
                              </w:rPr>
                              <w:t>图例：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7.25pt;margin-top:24pt;height:23.25pt;width:44.95pt;z-index:251676672;mso-width-relative:page;mso-height-relative:page;" fillcolor="#FFFFFF [3201]" filled="t" stroked="f" coordsize="21600,21600" o:gfxdata="UEsDBAoAAAAAAIdO4kAAAAAAAAAAAAAAAAAEAAAAZHJzL1BLAwQUAAAACACHTuJAgYuDsdQAAAAL&#10;AQAADwAAAGRycy9kb3ducmV2LnhtbE2PzU7DMBCE70i8g7VI3KgdZEoJcXpA4opEW3p24yWOsNdR&#10;7P4+PdsTHEczmvmmWZ5iEAec8pDIQDVTIJC65AbqDWzW7w8LELlYcjYkQgNnzLBsb28aW7t0pE88&#10;rEovuIRybQ34UsZaytx5jDbP0ojE3neaoi0sp166yR65PAb5qNRcRjsQL3g74pvH7me1jwa2fbxs&#10;v6px8i4GTR+X83qTBmPu7yr1CqLgqfyF4YrP6NAy0y7tyWURWKtn/cRZA3rBp66Jaq41iJ2BF3Zk&#10;28j/H9pfUEsDBBQAAAAIAIdO4kCiB6JiWwIAAJwEAAAOAAAAZHJzL2Uyb0RvYy54bWytVM1uEzEQ&#10;viPxDpbvdPO/bZRNFVoFIVW0UkCcHa83a8n2GNvJbnkAeIOeuHDnufocjL2bthQOPZCDM+P58o3n&#10;m5kszlutyEE4L8EUdHgyoEQYDqU0u4J++rh+c0qJD8yUTIERBb0Vnp4vX79aNHYuRlCDKoUjSGL8&#10;vLEFrUOw8yzzvBaa+ROwwmCwAqdZQNftstKxBtm1ykaDwSxrwJXWARfe4+1lF6Q9o3sJIVSV5OIS&#10;+F4LEzpWJxQLWJKvpfV0mV5bVYKH66ryIhBVUKw0pBOToL2NZ7ZcsPnOMVtL3j+BveQJz2rSTBpM&#10;+kB1yQIjeyf/otKSO/BQhRMOOusKSYpgFcPBM202NbMi1YJSe/sguv9/tPzD4cYRWRZ0jJIYprHj&#10;93ff73/8uv/5jeAdCtRYP0fcxiIytG+hxbE53nu8jHW3ldPxGysiGM/zcT7Jp5TcFnSSj2Znk15q&#10;0QbCETDNB6czjHMEjM6mI8RipuyRyDof3gnQJBoFddjJJDA7XPnQQY+QmNeDkuVaKpUct9teKEcO&#10;DLu+Tp+e/Q+YMqQp6Gw8HSRmA/H3HbUy+JhYd1dftEK7bXsxtlDeohYOunHylq8lvvKK+XDDHM4P&#10;SokbFq7xqBRgEugtSmpwX/91H/HYVoxS0uA8FtR/2TMnKFHvDTb8bDhBDUlIzmSaj9BxTyPbpxGz&#10;1xeAxQ9xly1PZsQHdTQrB/ozLuIqZsUQMxxzFzQczYvQbQkuMherVQLhyFoWrszG8kgdpTaw2geo&#10;ZGpJlKnTplcPhzY1tV+wuBVP/YR6/FNZ/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i4Ox1AAA&#10;AAsBAAAPAAAAAAAAAAEAIAAAACIAAABkcnMvZG93bnJldi54bWxQSwECFAAUAAAACACHTuJAogei&#10;YlsCAACcBAAADgAAAAAAAAABACAAAAAjAQAAZHJzL2Uyb0RvYy54bWxQSwUGAAAAAAYABgBZAQAA&#10;8AUAAAAA&#10;">
                <v:fill on="t" focussize="0,0"/>
                <v:stroke on="f" weight="0.5pt"/>
                <v:imagedata o:title=""/>
                <o:lock v:ext="edit" aspectratio="f"/>
                <v:textbox>
                  <w:txbxContent>
                    <w:p w14:paraId="64F02C79">
                      <w:pPr>
                        <w:rPr>
                          <w:rFonts w:hint="eastAsia" w:eastAsia="宋体"/>
                          <w:lang w:val="en-US" w:eastAsia="zh-CN"/>
                        </w:rPr>
                      </w:pPr>
                      <w:r>
                        <w:rPr>
                          <w:rFonts w:hint="eastAsia"/>
                          <w:lang w:val="en-US" w:eastAsia="zh-CN"/>
                        </w:rPr>
                        <w:t>图例：</w:t>
                      </w:r>
                    </w:p>
                  </w:txbxContent>
                </v:textbox>
              </v:shape>
            </w:pict>
          </mc:Fallback>
        </mc:AlternateContent>
      </w:r>
    </w:p>
    <w:p w14:paraId="3843A390">
      <w:pPr>
        <w:rPr>
          <w:rFonts w:hint="default" w:ascii="Times New Roman" w:hAnsi="Times New Roman" w:eastAsia="宋体" w:cs="Times New Roman"/>
          <w:lang w:val="en-US" w:eastAsia="zh-CN"/>
        </w:rPr>
      </w:pPr>
    </w:p>
    <w:p w14:paraId="72351BF5">
      <w:pPr>
        <w:pStyle w:val="57"/>
        <w:rPr>
          <w:rFonts w:hint="default" w:ascii="Times New Roman" w:hAnsi="Times New Roman" w:eastAsia="宋体" w:cs="Times New Roman"/>
          <w:lang w:val="en-US" w:eastAsia="zh-CN"/>
        </w:rPr>
      </w:pPr>
    </w:p>
    <w:p w14:paraId="23F1DFB7">
      <w:pPr>
        <w:rPr>
          <w:rFonts w:hint="default" w:ascii="Times New Roman" w:hAnsi="Times New Roman" w:eastAsia="宋体" w:cs="Times New Roman"/>
          <w:lang w:val="en-US" w:eastAsia="zh-CN"/>
        </w:rPr>
      </w:pPr>
    </w:p>
    <w:p w14:paraId="572B25C6">
      <w:pPr>
        <w:pStyle w:val="57"/>
        <w:rPr>
          <w:rFonts w:hint="default" w:ascii="Times New Roman" w:hAnsi="Times New Roman" w:eastAsia="宋体" w:cs="Times New Roman"/>
          <w:lang w:val="en-US" w:eastAsia="zh-CN"/>
        </w:rPr>
      </w:pPr>
    </w:p>
    <w:p w14:paraId="69CFA1F5">
      <w:pPr>
        <w:rPr>
          <w:rFonts w:hint="default" w:ascii="Times New Roman" w:hAnsi="Times New Roman" w:eastAsia="宋体" w:cs="Times New Roman"/>
          <w:lang w:val="en-US" w:eastAsia="zh-CN"/>
        </w:rPr>
      </w:pPr>
    </w:p>
    <w:p w14:paraId="42021983">
      <w:pPr>
        <w:jc w:val="center"/>
        <w:rPr>
          <w:rFonts w:hint="default" w:ascii="Times New Roman" w:hAnsi="Times New Roman" w:eastAsia="宋体" w:cs="Times New Roman"/>
          <w:lang w:val="en-US" w:eastAsia="zh-CN"/>
        </w:rPr>
      </w:pPr>
      <w:r>
        <w:rPr>
          <w:rFonts w:hint="default" w:ascii="Times New Roman" w:hAnsi="Times New Roman" w:eastAsia="宋体" w:cs="Times New Roman"/>
          <w:b/>
          <w:bCs/>
          <w:kern w:val="2"/>
          <w:sz w:val="28"/>
          <w:szCs w:val="28"/>
          <w:lang w:val="en-US" w:eastAsia="zh-CN" w:bidi="ar-SA"/>
        </w:rPr>
        <w:t>附图</w:t>
      </w:r>
      <w:r>
        <w:rPr>
          <w:rFonts w:hint="eastAsia" w:cs="Times New Roman"/>
          <w:b/>
          <w:bCs/>
          <w:kern w:val="2"/>
          <w:sz w:val="28"/>
          <w:szCs w:val="28"/>
          <w:lang w:val="en-US" w:eastAsia="zh-CN" w:bidi="ar-SA"/>
        </w:rPr>
        <w:t>8</w:t>
      </w:r>
      <w:r>
        <w:rPr>
          <w:rFonts w:hint="default" w:ascii="Times New Roman" w:hAnsi="Times New Roman" w:eastAsia="宋体" w:cs="Times New Roman"/>
          <w:b/>
          <w:bCs/>
          <w:kern w:val="2"/>
          <w:sz w:val="28"/>
          <w:szCs w:val="28"/>
          <w:lang w:val="en-US" w:eastAsia="zh-CN" w:bidi="ar-SA"/>
        </w:rPr>
        <w:t>项目区平面布置图</w:t>
      </w:r>
    </w:p>
    <w:p w14:paraId="429B0FA0">
      <w:pPr>
        <w:pStyle w:val="5"/>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anchor distT="0" distB="0" distL="114300" distR="114300" simplePos="0" relativeHeight="251670528" behindDoc="0" locked="0" layoutInCell="1" allowOverlap="1">
            <wp:simplePos x="0" y="0"/>
            <wp:positionH relativeFrom="column">
              <wp:posOffset>165100</wp:posOffset>
            </wp:positionH>
            <wp:positionV relativeFrom="paragraph">
              <wp:posOffset>27305</wp:posOffset>
            </wp:positionV>
            <wp:extent cx="8435340" cy="4119245"/>
            <wp:effectExtent l="0" t="0" r="3810" b="14605"/>
            <wp:wrapNone/>
            <wp:docPr id="6" name="图片 6" descr="防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防渗"/>
                    <pic:cNvPicPr>
                      <a:picLocks noChangeAspect="1"/>
                    </pic:cNvPicPr>
                  </pic:nvPicPr>
                  <pic:blipFill>
                    <a:blip r:embed="rId44"/>
                    <a:stretch>
                      <a:fillRect/>
                    </a:stretch>
                  </pic:blipFill>
                  <pic:spPr>
                    <a:xfrm>
                      <a:off x="0" y="0"/>
                      <a:ext cx="8435340" cy="4119245"/>
                    </a:xfrm>
                    <a:prstGeom prst="rect">
                      <a:avLst/>
                    </a:prstGeom>
                  </pic:spPr>
                </pic:pic>
              </a:graphicData>
            </a:graphic>
          </wp:anchor>
        </w:drawing>
      </w:r>
    </w:p>
    <w:p w14:paraId="7D406092">
      <w:pPr>
        <w:rPr>
          <w:rFonts w:hint="default" w:ascii="Times New Roman" w:hAnsi="Times New Roman" w:eastAsia="宋体" w:cs="Times New Roman"/>
          <w:lang w:val="en-US" w:eastAsia="zh-CN"/>
        </w:rPr>
      </w:pPr>
    </w:p>
    <w:p w14:paraId="1E87A616">
      <w:pPr>
        <w:pStyle w:val="18"/>
        <w:rPr>
          <w:rFonts w:hint="default" w:ascii="Times New Roman" w:hAnsi="Times New Roman" w:eastAsia="宋体" w:cs="Times New Roman"/>
          <w:lang w:val="en-US" w:eastAsia="zh-CN"/>
        </w:rPr>
      </w:pPr>
    </w:p>
    <w:p w14:paraId="405456FC">
      <w:pPr>
        <w:pStyle w:val="61"/>
        <w:rPr>
          <w:rFonts w:hint="default" w:ascii="Times New Roman" w:hAnsi="Times New Roman" w:eastAsia="宋体" w:cs="Times New Roman"/>
          <w:lang w:val="en-US" w:eastAsia="zh-CN"/>
        </w:rPr>
      </w:pPr>
    </w:p>
    <w:p w14:paraId="0BA14285">
      <w:pPr>
        <w:pStyle w:val="61"/>
        <w:rPr>
          <w:rFonts w:hint="default" w:ascii="Times New Roman" w:hAnsi="Times New Roman" w:eastAsia="宋体" w:cs="Times New Roman"/>
          <w:lang w:val="en-US" w:eastAsia="zh-CN"/>
        </w:rPr>
      </w:pPr>
    </w:p>
    <w:p w14:paraId="574A1EA8">
      <w:pPr>
        <w:pStyle w:val="61"/>
        <w:rPr>
          <w:rFonts w:hint="default" w:ascii="Times New Roman" w:hAnsi="Times New Roman" w:eastAsia="宋体" w:cs="Times New Roman"/>
          <w:lang w:val="en-US" w:eastAsia="zh-CN"/>
        </w:rPr>
      </w:pPr>
    </w:p>
    <w:p w14:paraId="3CFA0BD6">
      <w:pPr>
        <w:pStyle w:val="61"/>
        <w:rPr>
          <w:rFonts w:hint="default" w:ascii="Times New Roman" w:hAnsi="Times New Roman" w:eastAsia="宋体" w:cs="Times New Roman"/>
          <w:lang w:val="en-US" w:eastAsia="zh-CN"/>
        </w:rPr>
      </w:pPr>
    </w:p>
    <w:p w14:paraId="57FD3151">
      <w:pPr>
        <w:pStyle w:val="61"/>
        <w:rPr>
          <w:rFonts w:hint="default" w:ascii="Times New Roman" w:hAnsi="Times New Roman" w:eastAsia="宋体" w:cs="Times New Roman"/>
          <w:lang w:val="en-US" w:eastAsia="zh-CN"/>
        </w:rPr>
      </w:pPr>
    </w:p>
    <w:p w14:paraId="4B3ABAC9">
      <w:pPr>
        <w:pStyle w:val="61"/>
        <w:rPr>
          <w:rFonts w:hint="default" w:ascii="Times New Roman" w:hAnsi="Times New Roman" w:eastAsia="宋体" w:cs="Times New Roman"/>
          <w:lang w:val="en-US" w:eastAsia="zh-CN"/>
        </w:rPr>
      </w:pPr>
    </w:p>
    <w:p w14:paraId="0EEF23DB">
      <w:pPr>
        <w:pStyle w:val="61"/>
        <w:rPr>
          <w:rFonts w:hint="default" w:ascii="Times New Roman" w:hAnsi="Times New Roman" w:eastAsia="宋体" w:cs="Times New Roman"/>
          <w:lang w:val="en-US" w:eastAsia="zh-CN"/>
        </w:rPr>
      </w:pPr>
    </w:p>
    <w:p w14:paraId="03CD8E2A">
      <w:pPr>
        <w:pStyle w:val="61"/>
        <w:rPr>
          <w:rFonts w:hint="default" w:ascii="Times New Roman" w:hAnsi="Times New Roman" w:eastAsia="宋体" w:cs="Times New Roman"/>
          <w:lang w:val="en-US" w:eastAsia="zh-CN"/>
        </w:rPr>
      </w:pPr>
    </w:p>
    <w:p w14:paraId="1795E85A">
      <w:pPr>
        <w:pStyle w:val="61"/>
        <w:ind w:left="0" w:leftChars="0" w:firstLine="0" w:firstLineChars="0"/>
        <w:rPr>
          <w:rFonts w:hint="default" w:ascii="Times New Roman" w:hAnsi="Times New Roman" w:eastAsia="宋体" w:cs="Times New Roman"/>
          <w:lang w:val="en-US" w:eastAsia="zh-CN"/>
        </w:rPr>
      </w:pPr>
    </w:p>
    <w:p w14:paraId="5A8D5A12">
      <w:pPr>
        <w:pStyle w:val="61"/>
        <w:rPr>
          <w:rFonts w:hint="default" w:ascii="Times New Roman" w:hAnsi="Times New Roman" w:eastAsia="宋体" w:cs="Times New Roman"/>
          <w:lang w:val="en-US" w:eastAsia="zh-CN"/>
        </w:rPr>
      </w:pPr>
    </w:p>
    <w:p w14:paraId="69A948DA">
      <w:pPr>
        <w:pStyle w:val="61"/>
        <w:rPr>
          <w:rFonts w:hint="default" w:ascii="Times New Roman" w:hAnsi="Times New Roman" w:eastAsia="宋体" w:cs="Times New Roman"/>
          <w:lang w:val="en-US" w:eastAsia="zh-CN"/>
        </w:rPr>
      </w:pPr>
    </w:p>
    <w:p w14:paraId="5C50F3C2">
      <w:pPr>
        <w:pStyle w:val="61"/>
        <w:rPr>
          <w:rFonts w:hint="default" w:ascii="Times New Roman" w:hAnsi="Times New Roman" w:eastAsia="宋体" w:cs="Times New Roman"/>
          <w:lang w:val="en-US" w:eastAsia="zh-CN"/>
        </w:rPr>
      </w:pPr>
    </w:p>
    <w:p w14:paraId="59B1DCA4">
      <w:pPr>
        <w:pStyle w:val="5"/>
        <w:keepNext w:val="0"/>
        <w:keepLines w:val="0"/>
        <w:pageBreakBefore w:val="0"/>
        <w:widowControl w:val="0"/>
        <w:kinsoku/>
        <w:wordWrap/>
        <w:overflowPunct/>
        <w:topLinePunct w:val="0"/>
        <w:autoSpaceDE/>
        <w:autoSpaceDN/>
        <w:bidi w:val="0"/>
        <w:adjustRightInd/>
        <w:snapToGrid/>
        <w:spacing w:line="375" w:lineRule="auto"/>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b/>
          <w:bCs/>
          <w:kern w:val="2"/>
          <w:sz w:val="28"/>
          <w:szCs w:val="28"/>
          <w:lang w:val="en-US" w:eastAsia="zh-CN" w:bidi="ar-SA"/>
        </w:rPr>
        <w:t>附</w:t>
      </w:r>
      <w:r>
        <w:rPr>
          <w:rFonts w:hint="default" w:ascii="Times New Roman" w:hAnsi="Times New Roman" w:eastAsia="宋体" w:cs="Times New Roman"/>
          <w:b/>
          <w:bCs/>
          <w:kern w:val="2"/>
          <w:sz w:val="28"/>
          <w:szCs w:val="28"/>
          <w:lang w:val="en-US" w:eastAsia="zh-CN" w:bidi="ar-SA"/>
        </w:rPr>
        <w:t>图</w:t>
      </w:r>
      <w:r>
        <w:rPr>
          <w:rFonts w:hint="eastAsia" w:ascii="Times New Roman" w:hAnsi="Times New Roman" w:eastAsia="宋体" w:cs="Times New Roman"/>
          <w:b/>
          <w:bCs/>
          <w:kern w:val="2"/>
          <w:sz w:val="28"/>
          <w:szCs w:val="28"/>
          <w:lang w:val="en-US" w:eastAsia="zh-CN" w:bidi="ar-SA"/>
        </w:rPr>
        <w:t>9</w:t>
      </w:r>
      <w:r>
        <w:rPr>
          <w:rFonts w:hint="default" w:ascii="Times New Roman" w:hAnsi="Times New Roman" w:eastAsia="宋体" w:cs="Times New Roman"/>
          <w:b/>
          <w:bCs/>
          <w:kern w:val="2"/>
          <w:sz w:val="28"/>
          <w:szCs w:val="28"/>
          <w:lang w:val="en-US" w:eastAsia="zh-CN" w:bidi="ar-SA"/>
        </w:rPr>
        <w:t>分区防渗图</w:t>
      </w:r>
    </w:p>
    <w:sectPr>
      <w:footerReference r:id="rId8" w:type="default"/>
      <w:pgSz w:w="16838" w:h="11905" w:orient="landscape"/>
      <w:pgMar w:top="1803" w:right="1440" w:bottom="1803" w:left="1440" w:header="850" w:footer="107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Arial Black">
    <w:panose1 w:val="020B0A04020102020204"/>
    <w:charset w:val="00"/>
    <w:family w:val="swiss"/>
    <w:pitch w:val="default"/>
    <w:sig w:usb0="00000287" w:usb1="00000000" w:usb2="00000000" w:usb3="00000000" w:csb0="2000009F" w:csb1="DFD70000"/>
  </w:font>
  <w:font w:name="ˎ̥">
    <w:altName w:val="Times New Roman"/>
    <w:panose1 w:val="00000000000000000000"/>
    <w:charset w:val="01"/>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G Times (WN)">
    <w:altName w:val="Times New Roman"/>
    <w:panose1 w:val="00000000000000000000"/>
    <w:charset w:val="00"/>
    <w:family w:val="auto"/>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967C2">
    <w:pPr>
      <w:pStyle w:val="2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37EF0">
    <w:pPr>
      <w:pStyle w:val="29"/>
      <w:framePr w:wrap="around" w:vAnchor="text" w:hAnchor="margin" w:xAlign="center" w:y="1"/>
      <w:rPr>
        <w:rStyle w:val="51"/>
      </w:rPr>
    </w:pPr>
    <w:r>
      <w:fldChar w:fldCharType="begin"/>
    </w:r>
    <w:r>
      <w:rPr>
        <w:rStyle w:val="51"/>
      </w:rPr>
      <w:instrText xml:space="preserve">PAGE  </w:instrText>
    </w:r>
    <w:r>
      <w:fldChar w:fldCharType="end"/>
    </w:r>
  </w:p>
  <w:p w14:paraId="1DA8DEC1">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97362">
    <w:pPr>
      <w:pStyle w:val="29"/>
      <w:ind w:right="360" w:firstLine="360"/>
      <w:jc w:val="center"/>
      <w:rPr>
        <w:sz w:val="24"/>
        <w:szCs w:val="28"/>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A5B73">
                          <w:pPr>
                            <w:pStyle w:val="29"/>
                            <w:rPr>
                              <w:sz w:val="20"/>
                              <w:szCs w:val="21"/>
                            </w:rPr>
                          </w:pPr>
                          <w:r>
                            <w:rPr>
                              <w:sz w:val="20"/>
                              <w:szCs w:val="21"/>
                            </w:rPr>
                            <w:fldChar w:fldCharType="begin"/>
                          </w:r>
                          <w:r>
                            <w:rPr>
                              <w:sz w:val="20"/>
                              <w:szCs w:val="21"/>
                            </w:rPr>
                            <w:instrText xml:space="preserve"> PAGE  \* MERGEFORMAT </w:instrText>
                          </w:r>
                          <w:r>
                            <w:rPr>
                              <w:sz w:val="20"/>
                              <w:szCs w:val="21"/>
                            </w:rPr>
                            <w:fldChar w:fldCharType="separate"/>
                          </w:r>
                          <w:r>
                            <w:rPr>
                              <w:sz w:val="20"/>
                              <w:szCs w:val="21"/>
                            </w:rPr>
                            <w:t>1</w:t>
                          </w:r>
                          <w:r>
                            <w:rPr>
                              <w:sz w:val="20"/>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F3A5B73">
                    <w:pPr>
                      <w:pStyle w:val="29"/>
                      <w:rPr>
                        <w:sz w:val="20"/>
                        <w:szCs w:val="21"/>
                      </w:rPr>
                    </w:pPr>
                    <w:r>
                      <w:rPr>
                        <w:sz w:val="20"/>
                        <w:szCs w:val="21"/>
                      </w:rPr>
                      <w:fldChar w:fldCharType="begin"/>
                    </w:r>
                    <w:r>
                      <w:rPr>
                        <w:sz w:val="20"/>
                        <w:szCs w:val="21"/>
                      </w:rPr>
                      <w:instrText xml:space="preserve"> PAGE  \* MERGEFORMAT </w:instrText>
                    </w:r>
                    <w:r>
                      <w:rPr>
                        <w:sz w:val="20"/>
                        <w:szCs w:val="21"/>
                      </w:rPr>
                      <w:fldChar w:fldCharType="separate"/>
                    </w:r>
                    <w:r>
                      <w:rPr>
                        <w:sz w:val="20"/>
                        <w:szCs w:val="21"/>
                      </w:rPr>
                      <w:t>1</w:t>
                    </w:r>
                    <w:r>
                      <w:rPr>
                        <w:sz w:val="20"/>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0A397">
    <w:pPr>
      <w:pStyle w:val="29"/>
      <w:ind w:right="360" w:firstLine="360"/>
      <w:jc w:val="center"/>
      <w:rPr>
        <w:sz w:val="24"/>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2913C">
    <w:pPr>
      <w:pStyle w:val="2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16345">
    <w:pPr>
      <w:pStyle w:val="3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8"/>
    <w:multiLevelType w:val="multilevel"/>
    <w:tmpl w:val="00000018"/>
    <w:lvl w:ilvl="0" w:tentative="0">
      <w:start w:val="1"/>
      <w:numFmt w:val="decimal"/>
      <w:lvlText w:val="%1"/>
      <w:lvlJc w:val="left"/>
      <w:pPr>
        <w:tabs>
          <w:tab w:val="left" w:pos="425"/>
        </w:tabs>
        <w:ind w:left="425" w:hanging="425"/>
      </w:pPr>
      <w:rPr>
        <w:rFonts w:hint="eastAsia" w:ascii="黑体" w:eastAsia="黑体"/>
      </w:rPr>
    </w:lvl>
    <w:lvl w:ilvl="1" w:tentative="0">
      <w:start w:val="1"/>
      <w:numFmt w:val="decimal"/>
      <w:pStyle w:val="3"/>
      <w:lvlText w:val="%1.%2"/>
      <w:lvlJc w:val="left"/>
      <w:pPr>
        <w:tabs>
          <w:tab w:val="left" w:pos="1080"/>
        </w:tabs>
        <w:ind w:left="1080" w:firstLine="0"/>
      </w:pPr>
      <w:rPr>
        <w:rFonts w:hint="eastAsia" w:ascii="黑体" w:hAnsi="Times New Roman" w:eastAsia="黑体"/>
        <w:b/>
        <w:i w:val="0"/>
        <w:sz w:val="32"/>
      </w:rPr>
    </w:lvl>
    <w:lvl w:ilvl="2" w:tentative="0">
      <w:start w:val="1"/>
      <w:numFmt w:val="decimal"/>
      <w:pStyle w:val="4"/>
      <w:suff w:val="space"/>
      <w:lvlText w:val="%1.%2.%3"/>
      <w:lvlJc w:val="left"/>
      <w:pPr>
        <w:ind w:left="0" w:firstLine="284"/>
      </w:pPr>
      <w:rPr>
        <w:rFonts w:hint="eastAsia"/>
        <w:b/>
        <w:i w:val="0"/>
      </w:rPr>
    </w:lvl>
    <w:lvl w:ilvl="3" w:tentative="0">
      <w:start w:val="1"/>
      <w:numFmt w:val="decimal"/>
      <w:lvlText w:val="%1.%2.%3.%4."/>
      <w:lvlJc w:val="left"/>
      <w:pPr>
        <w:tabs>
          <w:tab w:val="left" w:pos="851"/>
        </w:tabs>
        <w:ind w:left="851" w:hanging="851"/>
      </w:pPr>
      <w:rPr>
        <w:rFonts w:hint="eastAsia" w:ascii="仿宋_GB2312" w:eastAsia="仿宋_GB2312"/>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1D32360"/>
    <w:multiLevelType w:val="multilevel"/>
    <w:tmpl w:val="01D32360"/>
    <w:lvl w:ilvl="0" w:tentative="0">
      <w:start w:val="1"/>
      <w:numFmt w:val="decimal"/>
      <w:lvlText w:val="%1."/>
      <w:lvlJc w:val="left"/>
      <w:pPr>
        <w:tabs>
          <w:tab w:val="left" w:pos="432"/>
        </w:tabs>
        <w:ind w:left="432" w:hanging="432"/>
      </w:pPr>
      <w:rPr>
        <w:rFonts w:hint="default" w:ascii="Times New Roman" w:hAnsi="Times New Roman" w:eastAsia="仿宋_GB2312"/>
        <w:b/>
        <w:i w:val="0"/>
        <w:sz w:val="32"/>
      </w:rPr>
    </w:lvl>
    <w:lvl w:ilvl="1" w:tentative="0">
      <w:start w:val="1"/>
      <w:numFmt w:val="decimal"/>
      <w:lvlText w:val="%1.%2."/>
      <w:lvlJc w:val="left"/>
      <w:pPr>
        <w:tabs>
          <w:tab w:val="left" w:pos="576"/>
        </w:tabs>
        <w:ind w:left="576" w:hanging="576"/>
      </w:pPr>
      <w:rPr>
        <w:rFonts w:hint="default" w:ascii="Times New Roman" w:hAnsi="Times New Roman" w:eastAsia="仿宋_GB2312"/>
        <w:b/>
        <w:i w:val="0"/>
        <w:sz w:val="30"/>
      </w:rPr>
    </w:lvl>
    <w:lvl w:ilvl="2" w:tentative="0">
      <w:start w:val="1"/>
      <w:numFmt w:val="decimal"/>
      <w:lvlText w:val="%1.%2.%3."/>
      <w:lvlJc w:val="left"/>
      <w:pPr>
        <w:tabs>
          <w:tab w:val="left" w:pos="720"/>
        </w:tabs>
        <w:ind w:left="720" w:hanging="720"/>
      </w:pPr>
      <w:rPr>
        <w:rFonts w:hint="default" w:ascii="Times New Roman" w:hAnsi="Times New Roman" w:eastAsia="仿宋_GB2312"/>
        <w:b w:val="0"/>
        <w:i w:val="0"/>
        <w:sz w:val="28"/>
      </w:rPr>
    </w:lvl>
    <w:lvl w:ilvl="3" w:tentative="0">
      <w:start w:val="1"/>
      <w:numFmt w:val="decimal"/>
      <w:lvlText w:val="%1.%2.%3.%4."/>
      <w:lvlJc w:val="left"/>
      <w:pPr>
        <w:tabs>
          <w:tab w:val="left" w:pos="864"/>
        </w:tabs>
        <w:ind w:left="864" w:hanging="864"/>
      </w:pPr>
      <w:rPr>
        <w:rFonts w:hint="default" w:ascii="Times New Roman" w:hAnsi="Times New Roman" w:eastAsia="仿宋_GB2312"/>
        <w:b w:val="0"/>
        <w:i w:val="0"/>
        <w:sz w:val="28"/>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2">
    <w:nsid w:val="348C1C82"/>
    <w:multiLevelType w:val="multilevel"/>
    <w:tmpl w:val="348C1C82"/>
    <w:lvl w:ilvl="0" w:tentative="0">
      <w:start w:val="1"/>
      <w:numFmt w:val="decimal"/>
      <w:lvlText w:val="%1."/>
      <w:lvlJc w:val="left"/>
      <w:pPr>
        <w:ind w:left="425" w:hanging="425"/>
      </w:pPr>
    </w:lvl>
    <w:lvl w:ilvl="1" w:tentative="0">
      <w:start w:val="1"/>
      <w:numFmt w:val="decimal"/>
      <w:pStyle w:val="258"/>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1418"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4474B6AC"/>
    <w:multiLevelType w:val="singleLevel"/>
    <w:tmpl w:val="4474B6AC"/>
    <w:lvl w:ilvl="0" w:tentative="0">
      <w:start w:val="1"/>
      <w:numFmt w:val="decimal"/>
      <w:suff w:val="nothing"/>
      <w:lvlText w:val="%1、"/>
      <w:lvlJc w:val="left"/>
    </w:lvl>
  </w:abstractNum>
  <w:abstractNum w:abstractNumId="4">
    <w:nsid w:val="5C589320"/>
    <w:multiLevelType w:val="singleLevel"/>
    <w:tmpl w:val="5C589320"/>
    <w:lvl w:ilvl="0" w:tentative="0">
      <w:start w:val="1"/>
      <w:numFmt w:val="bullet"/>
      <w:pStyle w:val="24"/>
      <w:lvlText w:val=""/>
      <w:lvlJc w:val="left"/>
      <w:pPr>
        <w:tabs>
          <w:tab w:val="left" w:pos="2040"/>
        </w:tabs>
        <w:ind w:left="2040" w:hanging="360"/>
      </w:pPr>
      <w:rPr>
        <w:rFonts w:hint="default" w:ascii="Wingdings" w:hAnsi="Wingdings"/>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210"/>
  <w:drawingGridVerticalSpacing w:val="99999990"/>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jZTBjZjRmNzkyODcwMzIzZDY0YWEyMWNhNzZkMTIifQ=="/>
    <w:docVar w:name="KSO_WPS_MARK_KEY" w:val="6e437392-ce63-4e86-bcd6-f8595b15ece4"/>
  </w:docVars>
  <w:rsids>
    <w:rsidRoot w:val="00172A27"/>
    <w:rsid w:val="00001682"/>
    <w:rsid w:val="00001D66"/>
    <w:rsid w:val="00002C1E"/>
    <w:rsid w:val="00005F47"/>
    <w:rsid w:val="000060B3"/>
    <w:rsid w:val="0001136B"/>
    <w:rsid w:val="00012AC6"/>
    <w:rsid w:val="0001365E"/>
    <w:rsid w:val="00017A1E"/>
    <w:rsid w:val="00021605"/>
    <w:rsid w:val="00021F61"/>
    <w:rsid w:val="000268E8"/>
    <w:rsid w:val="00031808"/>
    <w:rsid w:val="00031CCD"/>
    <w:rsid w:val="00035EF7"/>
    <w:rsid w:val="00036143"/>
    <w:rsid w:val="000403D3"/>
    <w:rsid w:val="0004364B"/>
    <w:rsid w:val="0004506A"/>
    <w:rsid w:val="0004509E"/>
    <w:rsid w:val="0004535A"/>
    <w:rsid w:val="0004587B"/>
    <w:rsid w:val="00052D22"/>
    <w:rsid w:val="000561EA"/>
    <w:rsid w:val="000606E7"/>
    <w:rsid w:val="00061B1F"/>
    <w:rsid w:val="00070683"/>
    <w:rsid w:val="00071B30"/>
    <w:rsid w:val="000733C4"/>
    <w:rsid w:val="00074783"/>
    <w:rsid w:val="00075944"/>
    <w:rsid w:val="00075AE8"/>
    <w:rsid w:val="00075E19"/>
    <w:rsid w:val="000779AB"/>
    <w:rsid w:val="0008070B"/>
    <w:rsid w:val="000810AC"/>
    <w:rsid w:val="00081A02"/>
    <w:rsid w:val="00082231"/>
    <w:rsid w:val="000826E6"/>
    <w:rsid w:val="0008286C"/>
    <w:rsid w:val="00083CD1"/>
    <w:rsid w:val="00084604"/>
    <w:rsid w:val="0008501D"/>
    <w:rsid w:val="0008517A"/>
    <w:rsid w:val="00085880"/>
    <w:rsid w:val="00085FA0"/>
    <w:rsid w:val="0008664F"/>
    <w:rsid w:val="000875B3"/>
    <w:rsid w:val="000876FE"/>
    <w:rsid w:val="00092D38"/>
    <w:rsid w:val="0009377B"/>
    <w:rsid w:val="00094B14"/>
    <w:rsid w:val="00094C2F"/>
    <w:rsid w:val="000970B1"/>
    <w:rsid w:val="000A1A08"/>
    <w:rsid w:val="000A20C9"/>
    <w:rsid w:val="000A259C"/>
    <w:rsid w:val="000B058F"/>
    <w:rsid w:val="000B20FB"/>
    <w:rsid w:val="000B4467"/>
    <w:rsid w:val="000B44B9"/>
    <w:rsid w:val="000B4DB9"/>
    <w:rsid w:val="000B7659"/>
    <w:rsid w:val="000B7864"/>
    <w:rsid w:val="000C09AC"/>
    <w:rsid w:val="000C5847"/>
    <w:rsid w:val="000C59A0"/>
    <w:rsid w:val="000C6D16"/>
    <w:rsid w:val="000C767F"/>
    <w:rsid w:val="000D1795"/>
    <w:rsid w:val="000D3E55"/>
    <w:rsid w:val="000D4EB0"/>
    <w:rsid w:val="000D564B"/>
    <w:rsid w:val="000D5A44"/>
    <w:rsid w:val="000D5D79"/>
    <w:rsid w:val="000D7021"/>
    <w:rsid w:val="000D72BE"/>
    <w:rsid w:val="000D7988"/>
    <w:rsid w:val="000E1382"/>
    <w:rsid w:val="000E3ED2"/>
    <w:rsid w:val="000E5A74"/>
    <w:rsid w:val="000F16C3"/>
    <w:rsid w:val="000F33CB"/>
    <w:rsid w:val="000F4729"/>
    <w:rsid w:val="00101C29"/>
    <w:rsid w:val="0010227E"/>
    <w:rsid w:val="00104FB0"/>
    <w:rsid w:val="001056F3"/>
    <w:rsid w:val="00105792"/>
    <w:rsid w:val="00106D91"/>
    <w:rsid w:val="0011196C"/>
    <w:rsid w:val="00114337"/>
    <w:rsid w:val="001146B8"/>
    <w:rsid w:val="00115F90"/>
    <w:rsid w:val="0011604B"/>
    <w:rsid w:val="0011673B"/>
    <w:rsid w:val="00116D76"/>
    <w:rsid w:val="00117CC9"/>
    <w:rsid w:val="0012135C"/>
    <w:rsid w:val="001301B5"/>
    <w:rsid w:val="00131854"/>
    <w:rsid w:val="00131F42"/>
    <w:rsid w:val="0013438A"/>
    <w:rsid w:val="001357F1"/>
    <w:rsid w:val="00137715"/>
    <w:rsid w:val="00137F6F"/>
    <w:rsid w:val="0014033B"/>
    <w:rsid w:val="001405C7"/>
    <w:rsid w:val="001406EB"/>
    <w:rsid w:val="00140D92"/>
    <w:rsid w:val="00140FA8"/>
    <w:rsid w:val="0014124D"/>
    <w:rsid w:val="00142561"/>
    <w:rsid w:val="00142ACC"/>
    <w:rsid w:val="00142F29"/>
    <w:rsid w:val="00142FEB"/>
    <w:rsid w:val="00143A2D"/>
    <w:rsid w:val="00145827"/>
    <w:rsid w:val="00145A41"/>
    <w:rsid w:val="00146A68"/>
    <w:rsid w:val="00147501"/>
    <w:rsid w:val="00151675"/>
    <w:rsid w:val="00156FC6"/>
    <w:rsid w:val="00157435"/>
    <w:rsid w:val="001636D4"/>
    <w:rsid w:val="0016538E"/>
    <w:rsid w:val="00170D21"/>
    <w:rsid w:val="00173A40"/>
    <w:rsid w:val="00174941"/>
    <w:rsid w:val="00174F16"/>
    <w:rsid w:val="0017504D"/>
    <w:rsid w:val="0017671A"/>
    <w:rsid w:val="001767E3"/>
    <w:rsid w:val="00177422"/>
    <w:rsid w:val="00184590"/>
    <w:rsid w:val="00185209"/>
    <w:rsid w:val="00186EFF"/>
    <w:rsid w:val="001870D1"/>
    <w:rsid w:val="00187446"/>
    <w:rsid w:val="0018781E"/>
    <w:rsid w:val="0019262D"/>
    <w:rsid w:val="001955CA"/>
    <w:rsid w:val="00197B05"/>
    <w:rsid w:val="001A1B35"/>
    <w:rsid w:val="001A1BFF"/>
    <w:rsid w:val="001A25F7"/>
    <w:rsid w:val="001A33F4"/>
    <w:rsid w:val="001A48A2"/>
    <w:rsid w:val="001A4FFC"/>
    <w:rsid w:val="001A5CF1"/>
    <w:rsid w:val="001A6F61"/>
    <w:rsid w:val="001B39A1"/>
    <w:rsid w:val="001B72B8"/>
    <w:rsid w:val="001C04FD"/>
    <w:rsid w:val="001C12AB"/>
    <w:rsid w:val="001C17EB"/>
    <w:rsid w:val="001C21EB"/>
    <w:rsid w:val="001C285A"/>
    <w:rsid w:val="001C61DD"/>
    <w:rsid w:val="001C69B3"/>
    <w:rsid w:val="001D3831"/>
    <w:rsid w:val="001D5595"/>
    <w:rsid w:val="001D7874"/>
    <w:rsid w:val="001D79A8"/>
    <w:rsid w:val="001D7F22"/>
    <w:rsid w:val="001E235C"/>
    <w:rsid w:val="001E290B"/>
    <w:rsid w:val="001E3486"/>
    <w:rsid w:val="001E35CA"/>
    <w:rsid w:val="001E40A5"/>
    <w:rsid w:val="001F0F17"/>
    <w:rsid w:val="001F1D4A"/>
    <w:rsid w:val="001F3347"/>
    <w:rsid w:val="001F399C"/>
    <w:rsid w:val="001F3D43"/>
    <w:rsid w:val="001F62EB"/>
    <w:rsid w:val="001F69E4"/>
    <w:rsid w:val="00204C9A"/>
    <w:rsid w:val="00205973"/>
    <w:rsid w:val="002069A8"/>
    <w:rsid w:val="00207D90"/>
    <w:rsid w:val="00210EBE"/>
    <w:rsid w:val="002114C8"/>
    <w:rsid w:val="002125B4"/>
    <w:rsid w:val="00212F1F"/>
    <w:rsid w:val="00213E21"/>
    <w:rsid w:val="00214C9D"/>
    <w:rsid w:val="002155B8"/>
    <w:rsid w:val="002165ED"/>
    <w:rsid w:val="00220954"/>
    <w:rsid w:val="00220A1E"/>
    <w:rsid w:val="00221DE4"/>
    <w:rsid w:val="00222D04"/>
    <w:rsid w:val="00222ED9"/>
    <w:rsid w:val="00222FB0"/>
    <w:rsid w:val="0022308D"/>
    <w:rsid w:val="00224839"/>
    <w:rsid w:val="002249B2"/>
    <w:rsid w:val="002260BA"/>
    <w:rsid w:val="00226574"/>
    <w:rsid w:val="0022658A"/>
    <w:rsid w:val="002268FE"/>
    <w:rsid w:val="002278EC"/>
    <w:rsid w:val="0023280E"/>
    <w:rsid w:val="00236710"/>
    <w:rsid w:val="00236EE8"/>
    <w:rsid w:val="002377D1"/>
    <w:rsid w:val="002379DF"/>
    <w:rsid w:val="00237D58"/>
    <w:rsid w:val="002461F1"/>
    <w:rsid w:val="00247AAC"/>
    <w:rsid w:val="00247E4A"/>
    <w:rsid w:val="002506BC"/>
    <w:rsid w:val="00250857"/>
    <w:rsid w:val="00254345"/>
    <w:rsid w:val="00260937"/>
    <w:rsid w:val="00260A94"/>
    <w:rsid w:val="002619D7"/>
    <w:rsid w:val="00264557"/>
    <w:rsid w:val="00265120"/>
    <w:rsid w:val="00271E05"/>
    <w:rsid w:val="00271FF8"/>
    <w:rsid w:val="00272709"/>
    <w:rsid w:val="0027286F"/>
    <w:rsid w:val="002734E2"/>
    <w:rsid w:val="002749F8"/>
    <w:rsid w:val="00274FBC"/>
    <w:rsid w:val="002761E7"/>
    <w:rsid w:val="00276F97"/>
    <w:rsid w:val="00277A19"/>
    <w:rsid w:val="002805AB"/>
    <w:rsid w:val="002807DE"/>
    <w:rsid w:val="00281549"/>
    <w:rsid w:val="00282C0D"/>
    <w:rsid w:val="002831DA"/>
    <w:rsid w:val="00284204"/>
    <w:rsid w:val="00284542"/>
    <w:rsid w:val="002900C2"/>
    <w:rsid w:val="0029075C"/>
    <w:rsid w:val="00291773"/>
    <w:rsid w:val="002918C5"/>
    <w:rsid w:val="00292AD7"/>
    <w:rsid w:val="00294AB2"/>
    <w:rsid w:val="002A168C"/>
    <w:rsid w:val="002A28DA"/>
    <w:rsid w:val="002A38E7"/>
    <w:rsid w:val="002A3DC7"/>
    <w:rsid w:val="002A4798"/>
    <w:rsid w:val="002B1ADA"/>
    <w:rsid w:val="002B49E2"/>
    <w:rsid w:val="002B6F35"/>
    <w:rsid w:val="002B7B00"/>
    <w:rsid w:val="002B7C44"/>
    <w:rsid w:val="002C08BC"/>
    <w:rsid w:val="002C1085"/>
    <w:rsid w:val="002C1095"/>
    <w:rsid w:val="002C158F"/>
    <w:rsid w:val="002C2B17"/>
    <w:rsid w:val="002C4518"/>
    <w:rsid w:val="002D0CAB"/>
    <w:rsid w:val="002D11D1"/>
    <w:rsid w:val="002D2B3E"/>
    <w:rsid w:val="002D3DD0"/>
    <w:rsid w:val="002D53F9"/>
    <w:rsid w:val="002E1EC8"/>
    <w:rsid w:val="002E1F3A"/>
    <w:rsid w:val="002E2574"/>
    <w:rsid w:val="002E298A"/>
    <w:rsid w:val="002E457D"/>
    <w:rsid w:val="002E5AD9"/>
    <w:rsid w:val="002E5DF1"/>
    <w:rsid w:val="002E6AE8"/>
    <w:rsid w:val="002E6EF5"/>
    <w:rsid w:val="002F1FC9"/>
    <w:rsid w:val="002F2692"/>
    <w:rsid w:val="002F3625"/>
    <w:rsid w:val="002F68A3"/>
    <w:rsid w:val="00300FCD"/>
    <w:rsid w:val="00301105"/>
    <w:rsid w:val="00301978"/>
    <w:rsid w:val="0030332C"/>
    <w:rsid w:val="00304DBC"/>
    <w:rsid w:val="003051C2"/>
    <w:rsid w:val="003104A2"/>
    <w:rsid w:val="0031122F"/>
    <w:rsid w:val="00312296"/>
    <w:rsid w:val="00314D27"/>
    <w:rsid w:val="00314F0E"/>
    <w:rsid w:val="003158A5"/>
    <w:rsid w:val="0031661D"/>
    <w:rsid w:val="00321D8E"/>
    <w:rsid w:val="00322964"/>
    <w:rsid w:val="00323BA8"/>
    <w:rsid w:val="00323CC1"/>
    <w:rsid w:val="003242DC"/>
    <w:rsid w:val="00325928"/>
    <w:rsid w:val="00327A05"/>
    <w:rsid w:val="00327E3C"/>
    <w:rsid w:val="00332863"/>
    <w:rsid w:val="003328B3"/>
    <w:rsid w:val="00332BF3"/>
    <w:rsid w:val="00334F9D"/>
    <w:rsid w:val="00334FE6"/>
    <w:rsid w:val="00335627"/>
    <w:rsid w:val="00335710"/>
    <w:rsid w:val="00335737"/>
    <w:rsid w:val="0033684D"/>
    <w:rsid w:val="00337B42"/>
    <w:rsid w:val="00337E1C"/>
    <w:rsid w:val="00341B42"/>
    <w:rsid w:val="0034348F"/>
    <w:rsid w:val="003439DE"/>
    <w:rsid w:val="00345FF1"/>
    <w:rsid w:val="00346FA0"/>
    <w:rsid w:val="00350403"/>
    <w:rsid w:val="003504DB"/>
    <w:rsid w:val="0035486A"/>
    <w:rsid w:val="00356507"/>
    <w:rsid w:val="00356653"/>
    <w:rsid w:val="003567E0"/>
    <w:rsid w:val="0035743F"/>
    <w:rsid w:val="00357BE2"/>
    <w:rsid w:val="0036170C"/>
    <w:rsid w:val="0036230E"/>
    <w:rsid w:val="00363E6E"/>
    <w:rsid w:val="00364C9C"/>
    <w:rsid w:val="003652BD"/>
    <w:rsid w:val="00366177"/>
    <w:rsid w:val="00366E0F"/>
    <w:rsid w:val="003719E1"/>
    <w:rsid w:val="0037385D"/>
    <w:rsid w:val="00374926"/>
    <w:rsid w:val="0037508A"/>
    <w:rsid w:val="0037638E"/>
    <w:rsid w:val="00376FA2"/>
    <w:rsid w:val="00377801"/>
    <w:rsid w:val="00377A55"/>
    <w:rsid w:val="00381A72"/>
    <w:rsid w:val="00384676"/>
    <w:rsid w:val="00386938"/>
    <w:rsid w:val="00386CCC"/>
    <w:rsid w:val="003904E1"/>
    <w:rsid w:val="00390857"/>
    <w:rsid w:val="0039455A"/>
    <w:rsid w:val="0039510F"/>
    <w:rsid w:val="003A1468"/>
    <w:rsid w:val="003A29E4"/>
    <w:rsid w:val="003A4BF3"/>
    <w:rsid w:val="003A6F7E"/>
    <w:rsid w:val="003A706F"/>
    <w:rsid w:val="003A7841"/>
    <w:rsid w:val="003A7E09"/>
    <w:rsid w:val="003B2D6B"/>
    <w:rsid w:val="003B34C5"/>
    <w:rsid w:val="003B3F61"/>
    <w:rsid w:val="003B420D"/>
    <w:rsid w:val="003B5AFC"/>
    <w:rsid w:val="003C0E0D"/>
    <w:rsid w:val="003C41B6"/>
    <w:rsid w:val="003C4568"/>
    <w:rsid w:val="003C4D20"/>
    <w:rsid w:val="003C5078"/>
    <w:rsid w:val="003C5C4A"/>
    <w:rsid w:val="003C6C16"/>
    <w:rsid w:val="003D1264"/>
    <w:rsid w:val="003D3DD2"/>
    <w:rsid w:val="003D42F1"/>
    <w:rsid w:val="003D6644"/>
    <w:rsid w:val="003D794D"/>
    <w:rsid w:val="003E0B57"/>
    <w:rsid w:val="003E3058"/>
    <w:rsid w:val="003E36DD"/>
    <w:rsid w:val="003E75B8"/>
    <w:rsid w:val="003E76A9"/>
    <w:rsid w:val="003F0809"/>
    <w:rsid w:val="003F347C"/>
    <w:rsid w:val="003F6A8C"/>
    <w:rsid w:val="003F6CAF"/>
    <w:rsid w:val="003F755C"/>
    <w:rsid w:val="003F795B"/>
    <w:rsid w:val="00401266"/>
    <w:rsid w:val="00403CD9"/>
    <w:rsid w:val="00403DD3"/>
    <w:rsid w:val="00405A6B"/>
    <w:rsid w:val="00406F01"/>
    <w:rsid w:val="0041008A"/>
    <w:rsid w:val="0041199A"/>
    <w:rsid w:val="00414A94"/>
    <w:rsid w:val="00416D50"/>
    <w:rsid w:val="00416FD5"/>
    <w:rsid w:val="00417772"/>
    <w:rsid w:val="004177FB"/>
    <w:rsid w:val="00420BBC"/>
    <w:rsid w:val="00420DFE"/>
    <w:rsid w:val="00420E6A"/>
    <w:rsid w:val="00420E84"/>
    <w:rsid w:val="00423D22"/>
    <w:rsid w:val="00424145"/>
    <w:rsid w:val="00425A9E"/>
    <w:rsid w:val="00426D6B"/>
    <w:rsid w:val="00427D7E"/>
    <w:rsid w:val="00431E6C"/>
    <w:rsid w:val="00433CE7"/>
    <w:rsid w:val="00434809"/>
    <w:rsid w:val="00436936"/>
    <w:rsid w:val="004373C2"/>
    <w:rsid w:val="00437C60"/>
    <w:rsid w:val="0044352D"/>
    <w:rsid w:val="00445E97"/>
    <w:rsid w:val="00447DBC"/>
    <w:rsid w:val="00451434"/>
    <w:rsid w:val="00452738"/>
    <w:rsid w:val="00456091"/>
    <w:rsid w:val="00462761"/>
    <w:rsid w:val="00463734"/>
    <w:rsid w:val="0046391D"/>
    <w:rsid w:val="00463EC2"/>
    <w:rsid w:val="0046478A"/>
    <w:rsid w:val="00465DCB"/>
    <w:rsid w:val="00466321"/>
    <w:rsid w:val="00466ADA"/>
    <w:rsid w:val="00471045"/>
    <w:rsid w:val="00471BA3"/>
    <w:rsid w:val="00472AA1"/>
    <w:rsid w:val="0047460D"/>
    <w:rsid w:val="00480C97"/>
    <w:rsid w:val="0048178D"/>
    <w:rsid w:val="00482320"/>
    <w:rsid w:val="00482902"/>
    <w:rsid w:val="004835B9"/>
    <w:rsid w:val="00484B9B"/>
    <w:rsid w:val="004855F6"/>
    <w:rsid w:val="00485C61"/>
    <w:rsid w:val="00485D63"/>
    <w:rsid w:val="0048661E"/>
    <w:rsid w:val="004900CB"/>
    <w:rsid w:val="00491BC9"/>
    <w:rsid w:val="00491CA0"/>
    <w:rsid w:val="004930E4"/>
    <w:rsid w:val="00494670"/>
    <w:rsid w:val="00494BC7"/>
    <w:rsid w:val="004964F8"/>
    <w:rsid w:val="004A0075"/>
    <w:rsid w:val="004A0CC9"/>
    <w:rsid w:val="004A0EB8"/>
    <w:rsid w:val="004A0FB4"/>
    <w:rsid w:val="004A3823"/>
    <w:rsid w:val="004A45EF"/>
    <w:rsid w:val="004A732B"/>
    <w:rsid w:val="004A78C0"/>
    <w:rsid w:val="004B03C5"/>
    <w:rsid w:val="004B0943"/>
    <w:rsid w:val="004B0B48"/>
    <w:rsid w:val="004B0BE7"/>
    <w:rsid w:val="004B3BDD"/>
    <w:rsid w:val="004B6AB7"/>
    <w:rsid w:val="004B71D7"/>
    <w:rsid w:val="004B7675"/>
    <w:rsid w:val="004C06DD"/>
    <w:rsid w:val="004C1A1E"/>
    <w:rsid w:val="004C2FBB"/>
    <w:rsid w:val="004C3724"/>
    <w:rsid w:val="004C3F83"/>
    <w:rsid w:val="004C486E"/>
    <w:rsid w:val="004C5AC8"/>
    <w:rsid w:val="004C70E1"/>
    <w:rsid w:val="004C7F68"/>
    <w:rsid w:val="004D0264"/>
    <w:rsid w:val="004D11EA"/>
    <w:rsid w:val="004D1637"/>
    <w:rsid w:val="004D49D8"/>
    <w:rsid w:val="004D7373"/>
    <w:rsid w:val="004D7EAB"/>
    <w:rsid w:val="004E191C"/>
    <w:rsid w:val="004E2D9E"/>
    <w:rsid w:val="004E4A27"/>
    <w:rsid w:val="004E4C50"/>
    <w:rsid w:val="004E5C05"/>
    <w:rsid w:val="004E6946"/>
    <w:rsid w:val="004F17D4"/>
    <w:rsid w:val="004F1AD8"/>
    <w:rsid w:val="00502B05"/>
    <w:rsid w:val="005039CB"/>
    <w:rsid w:val="00503A14"/>
    <w:rsid w:val="0050558F"/>
    <w:rsid w:val="0050575A"/>
    <w:rsid w:val="00506286"/>
    <w:rsid w:val="005069CB"/>
    <w:rsid w:val="00507483"/>
    <w:rsid w:val="0050765E"/>
    <w:rsid w:val="005104AD"/>
    <w:rsid w:val="00510813"/>
    <w:rsid w:val="00511858"/>
    <w:rsid w:val="00511990"/>
    <w:rsid w:val="00511DE0"/>
    <w:rsid w:val="00512FA5"/>
    <w:rsid w:val="00513164"/>
    <w:rsid w:val="00514870"/>
    <w:rsid w:val="00514B9B"/>
    <w:rsid w:val="00514CE9"/>
    <w:rsid w:val="0051584C"/>
    <w:rsid w:val="00517F02"/>
    <w:rsid w:val="00520026"/>
    <w:rsid w:val="00520B4B"/>
    <w:rsid w:val="00521EEC"/>
    <w:rsid w:val="005221F5"/>
    <w:rsid w:val="00522C4E"/>
    <w:rsid w:val="00524213"/>
    <w:rsid w:val="00524303"/>
    <w:rsid w:val="005258A2"/>
    <w:rsid w:val="0053351A"/>
    <w:rsid w:val="005337C3"/>
    <w:rsid w:val="005355B6"/>
    <w:rsid w:val="005401AE"/>
    <w:rsid w:val="00540550"/>
    <w:rsid w:val="00542E07"/>
    <w:rsid w:val="005433F1"/>
    <w:rsid w:val="005449AE"/>
    <w:rsid w:val="00545424"/>
    <w:rsid w:val="0054699A"/>
    <w:rsid w:val="00550E1F"/>
    <w:rsid w:val="00552E9D"/>
    <w:rsid w:val="00553E83"/>
    <w:rsid w:val="005548BD"/>
    <w:rsid w:val="00554A7B"/>
    <w:rsid w:val="0055572C"/>
    <w:rsid w:val="005566F2"/>
    <w:rsid w:val="00556890"/>
    <w:rsid w:val="0056020E"/>
    <w:rsid w:val="0056106A"/>
    <w:rsid w:val="0057066B"/>
    <w:rsid w:val="005707BC"/>
    <w:rsid w:val="00571B37"/>
    <w:rsid w:val="005720AE"/>
    <w:rsid w:val="00572359"/>
    <w:rsid w:val="005741A0"/>
    <w:rsid w:val="00575975"/>
    <w:rsid w:val="00576AE6"/>
    <w:rsid w:val="00580745"/>
    <w:rsid w:val="00580BE9"/>
    <w:rsid w:val="0058170E"/>
    <w:rsid w:val="00581DD9"/>
    <w:rsid w:val="00582C0A"/>
    <w:rsid w:val="00583336"/>
    <w:rsid w:val="00585B2A"/>
    <w:rsid w:val="00590A4B"/>
    <w:rsid w:val="0059189C"/>
    <w:rsid w:val="00594D77"/>
    <w:rsid w:val="00595057"/>
    <w:rsid w:val="005969E4"/>
    <w:rsid w:val="00596B37"/>
    <w:rsid w:val="005A06B7"/>
    <w:rsid w:val="005A07F5"/>
    <w:rsid w:val="005A0B7C"/>
    <w:rsid w:val="005A1759"/>
    <w:rsid w:val="005A2089"/>
    <w:rsid w:val="005A298D"/>
    <w:rsid w:val="005A2CB7"/>
    <w:rsid w:val="005A40B8"/>
    <w:rsid w:val="005A68A7"/>
    <w:rsid w:val="005A7EEA"/>
    <w:rsid w:val="005B06BB"/>
    <w:rsid w:val="005B0908"/>
    <w:rsid w:val="005B70C5"/>
    <w:rsid w:val="005B78C4"/>
    <w:rsid w:val="005C587E"/>
    <w:rsid w:val="005C64AC"/>
    <w:rsid w:val="005C65D0"/>
    <w:rsid w:val="005C7CA4"/>
    <w:rsid w:val="005D124E"/>
    <w:rsid w:val="005D1BEE"/>
    <w:rsid w:val="005D2FC3"/>
    <w:rsid w:val="005D3103"/>
    <w:rsid w:val="005D358C"/>
    <w:rsid w:val="005D36AB"/>
    <w:rsid w:val="005D4907"/>
    <w:rsid w:val="005D5AC5"/>
    <w:rsid w:val="005D71FD"/>
    <w:rsid w:val="005E22EC"/>
    <w:rsid w:val="005E5C35"/>
    <w:rsid w:val="005E70BA"/>
    <w:rsid w:val="005F10D3"/>
    <w:rsid w:val="005F4412"/>
    <w:rsid w:val="005F4835"/>
    <w:rsid w:val="005F4A96"/>
    <w:rsid w:val="0060043A"/>
    <w:rsid w:val="00602ACB"/>
    <w:rsid w:val="00603453"/>
    <w:rsid w:val="006037EF"/>
    <w:rsid w:val="00604C22"/>
    <w:rsid w:val="00606A7F"/>
    <w:rsid w:val="00606F74"/>
    <w:rsid w:val="006109F3"/>
    <w:rsid w:val="006111CE"/>
    <w:rsid w:val="006117C8"/>
    <w:rsid w:val="00613FD3"/>
    <w:rsid w:val="006159FB"/>
    <w:rsid w:val="00615B8F"/>
    <w:rsid w:val="0061785B"/>
    <w:rsid w:val="00617CC3"/>
    <w:rsid w:val="006203FC"/>
    <w:rsid w:val="00620A80"/>
    <w:rsid w:val="00622CB2"/>
    <w:rsid w:val="00631D5B"/>
    <w:rsid w:val="00632D7C"/>
    <w:rsid w:val="00633078"/>
    <w:rsid w:val="00634906"/>
    <w:rsid w:val="006355FE"/>
    <w:rsid w:val="00635E40"/>
    <w:rsid w:val="00635F8A"/>
    <w:rsid w:val="006375EF"/>
    <w:rsid w:val="006377A6"/>
    <w:rsid w:val="00637A3D"/>
    <w:rsid w:val="00640FBC"/>
    <w:rsid w:val="006411EF"/>
    <w:rsid w:val="0064294D"/>
    <w:rsid w:val="0064570D"/>
    <w:rsid w:val="0064643F"/>
    <w:rsid w:val="0064751C"/>
    <w:rsid w:val="00653E5D"/>
    <w:rsid w:val="00656CC2"/>
    <w:rsid w:val="00656FFE"/>
    <w:rsid w:val="006608A6"/>
    <w:rsid w:val="0066103B"/>
    <w:rsid w:val="00661067"/>
    <w:rsid w:val="00664896"/>
    <w:rsid w:val="00667D1F"/>
    <w:rsid w:val="006738FA"/>
    <w:rsid w:val="00674407"/>
    <w:rsid w:val="006748B8"/>
    <w:rsid w:val="00675147"/>
    <w:rsid w:val="006775C3"/>
    <w:rsid w:val="00677BF5"/>
    <w:rsid w:val="00677E3F"/>
    <w:rsid w:val="00682600"/>
    <w:rsid w:val="00682A6D"/>
    <w:rsid w:val="00686396"/>
    <w:rsid w:val="006918C8"/>
    <w:rsid w:val="00692202"/>
    <w:rsid w:val="0069290A"/>
    <w:rsid w:val="00696AE0"/>
    <w:rsid w:val="0069775A"/>
    <w:rsid w:val="00697813"/>
    <w:rsid w:val="006A01F0"/>
    <w:rsid w:val="006A3EE8"/>
    <w:rsid w:val="006A6B15"/>
    <w:rsid w:val="006A72BF"/>
    <w:rsid w:val="006B03F2"/>
    <w:rsid w:val="006B0D73"/>
    <w:rsid w:val="006B124B"/>
    <w:rsid w:val="006B1571"/>
    <w:rsid w:val="006B285F"/>
    <w:rsid w:val="006B2D50"/>
    <w:rsid w:val="006B37DC"/>
    <w:rsid w:val="006B4F68"/>
    <w:rsid w:val="006B76E7"/>
    <w:rsid w:val="006C0592"/>
    <w:rsid w:val="006C0C88"/>
    <w:rsid w:val="006C0F19"/>
    <w:rsid w:val="006C272E"/>
    <w:rsid w:val="006C33B6"/>
    <w:rsid w:val="006C42C6"/>
    <w:rsid w:val="006C49EA"/>
    <w:rsid w:val="006C5479"/>
    <w:rsid w:val="006C5834"/>
    <w:rsid w:val="006C5EE1"/>
    <w:rsid w:val="006C7D75"/>
    <w:rsid w:val="006D10E8"/>
    <w:rsid w:val="006D13B5"/>
    <w:rsid w:val="006D42B3"/>
    <w:rsid w:val="006D4387"/>
    <w:rsid w:val="006D4879"/>
    <w:rsid w:val="006D514F"/>
    <w:rsid w:val="006D7E2C"/>
    <w:rsid w:val="006E12FF"/>
    <w:rsid w:val="006E1F67"/>
    <w:rsid w:val="006E607E"/>
    <w:rsid w:val="006E7980"/>
    <w:rsid w:val="006F05B1"/>
    <w:rsid w:val="006F225D"/>
    <w:rsid w:val="006F46D0"/>
    <w:rsid w:val="006F587D"/>
    <w:rsid w:val="006F61BA"/>
    <w:rsid w:val="0070144D"/>
    <w:rsid w:val="0070222E"/>
    <w:rsid w:val="00705DC1"/>
    <w:rsid w:val="00706C5D"/>
    <w:rsid w:val="007100AF"/>
    <w:rsid w:val="0071146B"/>
    <w:rsid w:val="00711961"/>
    <w:rsid w:val="007130ED"/>
    <w:rsid w:val="00713E6B"/>
    <w:rsid w:val="007148D7"/>
    <w:rsid w:val="0072084E"/>
    <w:rsid w:val="00722AB1"/>
    <w:rsid w:val="00725DB4"/>
    <w:rsid w:val="00725F22"/>
    <w:rsid w:val="00725FB4"/>
    <w:rsid w:val="007261DA"/>
    <w:rsid w:val="0073029F"/>
    <w:rsid w:val="00732659"/>
    <w:rsid w:val="00732922"/>
    <w:rsid w:val="0073386E"/>
    <w:rsid w:val="00745683"/>
    <w:rsid w:val="00747F07"/>
    <w:rsid w:val="007505D6"/>
    <w:rsid w:val="0075162E"/>
    <w:rsid w:val="00754034"/>
    <w:rsid w:val="00756556"/>
    <w:rsid w:val="00760B70"/>
    <w:rsid w:val="007618C4"/>
    <w:rsid w:val="00762D1F"/>
    <w:rsid w:val="00763DF1"/>
    <w:rsid w:val="00764E4C"/>
    <w:rsid w:val="00767980"/>
    <w:rsid w:val="00767B8D"/>
    <w:rsid w:val="00770B19"/>
    <w:rsid w:val="00770E17"/>
    <w:rsid w:val="0077463F"/>
    <w:rsid w:val="007768BF"/>
    <w:rsid w:val="007836EA"/>
    <w:rsid w:val="00784CDA"/>
    <w:rsid w:val="00787043"/>
    <w:rsid w:val="0078707D"/>
    <w:rsid w:val="007879BC"/>
    <w:rsid w:val="007906C4"/>
    <w:rsid w:val="007911DB"/>
    <w:rsid w:val="0079234D"/>
    <w:rsid w:val="00792F69"/>
    <w:rsid w:val="007933F2"/>
    <w:rsid w:val="0079358C"/>
    <w:rsid w:val="007940EA"/>
    <w:rsid w:val="007967E8"/>
    <w:rsid w:val="007A0A72"/>
    <w:rsid w:val="007A2170"/>
    <w:rsid w:val="007A22BF"/>
    <w:rsid w:val="007A30D5"/>
    <w:rsid w:val="007A3323"/>
    <w:rsid w:val="007A5058"/>
    <w:rsid w:val="007A5779"/>
    <w:rsid w:val="007A6C43"/>
    <w:rsid w:val="007A6FCA"/>
    <w:rsid w:val="007B00EE"/>
    <w:rsid w:val="007B2602"/>
    <w:rsid w:val="007B4402"/>
    <w:rsid w:val="007B5020"/>
    <w:rsid w:val="007B6AB8"/>
    <w:rsid w:val="007B72B8"/>
    <w:rsid w:val="007B7A58"/>
    <w:rsid w:val="007C0DD9"/>
    <w:rsid w:val="007C1EFF"/>
    <w:rsid w:val="007C21B5"/>
    <w:rsid w:val="007C562C"/>
    <w:rsid w:val="007D12BA"/>
    <w:rsid w:val="007D1BC2"/>
    <w:rsid w:val="007D4807"/>
    <w:rsid w:val="007D56C3"/>
    <w:rsid w:val="007D5724"/>
    <w:rsid w:val="007E07E1"/>
    <w:rsid w:val="007E2D4A"/>
    <w:rsid w:val="007E47EC"/>
    <w:rsid w:val="007E4BD2"/>
    <w:rsid w:val="007E6462"/>
    <w:rsid w:val="007E6F4D"/>
    <w:rsid w:val="007F070D"/>
    <w:rsid w:val="007F18A5"/>
    <w:rsid w:val="007F35B2"/>
    <w:rsid w:val="007F6BDF"/>
    <w:rsid w:val="007F71C1"/>
    <w:rsid w:val="007F7DE8"/>
    <w:rsid w:val="00801393"/>
    <w:rsid w:val="0080222F"/>
    <w:rsid w:val="00802D9B"/>
    <w:rsid w:val="00802F88"/>
    <w:rsid w:val="00805E46"/>
    <w:rsid w:val="00806411"/>
    <w:rsid w:val="0080657C"/>
    <w:rsid w:val="00812469"/>
    <w:rsid w:val="0081293E"/>
    <w:rsid w:val="00813EB3"/>
    <w:rsid w:val="008143C4"/>
    <w:rsid w:val="00815465"/>
    <w:rsid w:val="00815489"/>
    <w:rsid w:val="00817E9A"/>
    <w:rsid w:val="00817E9C"/>
    <w:rsid w:val="00820322"/>
    <w:rsid w:val="008204BC"/>
    <w:rsid w:val="00821CDE"/>
    <w:rsid w:val="00821F50"/>
    <w:rsid w:val="00824424"/>
    <w:rsid w:val="00824D73"/>
    <w:rsid w:val="00825754"/>
    <w:rsid w:val="008270EB"/>
    <w:rsid w:val="00827D8D"/>
    <w:rsid w:val="008306BD"/>
    <w:rsid w:val="008311C9"/>
    <w:rsid w:val="00831A80"/>
    <w:rsid w:val="00833743"/>
    <w:rsid w:val="008339A8"/>
    <w:rsid w:val="00833DD1"/>
    <w:rsid w:val="008340A4"/>
    <w:rsid w:val="0083539C"/>
    <w:rsid w:val="00835D09"/>
    <w:rsid w:val="0083715E"/>
    <w:rsid w:val="00837C25"/>
    <w:rsid w:val="00842CE6"/>
    <w:rsid w:val="008474CC"/>
    <w:rsid w:val="0085408F"/>
    <w:rsid w:val="00855429"/>
    <w:rsid w:val="008566A8"/>
    <w:rsid w:val="008600BA"/>
    <w:rsid w:val="00860FED"/>
    <w:rsid w:val="008653AA"/>
    <w:rsid w:val="00866610"/>
    <w:rsid w:val="008711B7"/>
    <w:rsid w:val="0087135F"/>
    <w:rsid w:val="008719E5"/>
    <w:rsid w:val="008725F5"/>
    <w:rsid w:val="00872D94"/>
    <w:rsid w:val="008747E4"/>
    <w:rsid w:val="0087645F"/>
    <w:rsid w:val="00880364"/>
    <w:rsid w:val="008813B7"/>
    <w:rsid w:val="00881A01"/>
    <w:rsid w:val="00881C12"/>
    <w:rsid w:val="00884EA8"/>
    <w:rsid w:val="00890E6B"/>
    <w:rsid w:val="00891592"/>
    <w:rsid w:val="00891E9E"/>
    <w:rsid w:val="00892AE0"/>
    <w:rsid w:val="00895528"/>
    <w:rsid w:val="00895DD7"/>
    <w:rsid w:val="008A0714"/>
    <w:rsid w:val="008A2F68"/>
    <w:rsid w:val="008A4B9A"/>
    <w:rsid w:val="008A73EA"/>
    <w:rsid w:val="008B13D8"/>
    <w:rsid w:val="008B1B8B"/>
    <w:rsid w:val="008B1EF2"/>
    <w:rsid w:val="008B3A6A"/>
    <w:rsid w:val="008B443F"/>
    <w:rsid w:val="008B4FA6"/>
    <w:rsid w:val="008B5282"/>
    <w:rsid w:val="008B7C17"/>
    <w:rsid w:val="008C2B89"/>
    <w:rsid w:val="008C2D01"/>
    <w:rsid w:val="008C40E6"/>
    <w:rsid w:val="008C468C"/>
    <w:rsid w:val="008D0F7A"/>
    <w:rsid w:val="008D12F6"/>
    <w:rsid w:val="008D16FF"/>
    <w:rsid w:val="008D2A76"/>
    <w:rsid w:val="008D68E4"/>
    <w:rsid w:val="008E0506"/>
    <w:rsid w:val="008E098B"/>
    <w:rsid w:val="008E0CFF"/>
    <w:rsid w:val="008E29D4"/>
    <w:rsid w:val="008E56BA"/>
    <w:rsid w:val="008E5D6B"/>
    <w:rsid w:val="008E6C9D"/>
    <w:rsid w:val="008E76F0"/>
    <w:rsid w:val="008F06E5"/>
    <w:rsid w:val="008F15FE"/>
    <w:rsid w:val="008F2CB9"/>
    <w:rsid w:val="008F2D29"/>
    <w:rsid w:val="008F2D60"/>
    <w:rsid w:val="008F2FCD"/>
    <w:rsid w:val="008F50B1"/>
    <w:rsid w:val="008F5187"/>
    <w:rsid w:val="008F52CD"/>
    <w:rsid w:val="008F60D8"/>
    <w:rsid w:val="00901CE3"/>
    <w:rsid w:val="00902138"/>
    <w:rsid w:val="00902727"/>
    <w:rsid w:val="0090312B"/>
    <w:rsid w:val="00903713"/>
    <w:rsid w:val="00905D0E"/>
    <w:rsid w:val="009104FD"/>
    <w:rsid w:val="009111F7"/>
    <w:rsid w:val="00911A58"/>
    <w:rsid w:val="00912C0F"/>
    <w:rsid w:val="00914508"/>
    <w:rsid w:val="00916736"/>
    <w:rsid w:val="0091736D"/>
    <w:rsid w:val="0092010F"/>
    <w:rsid w:val="00920867"/>
    <w:rsid w:val="00920E6E"/>
    <w:rsid w:val="00921218"/>
    <w:rsid w:val="0092253E"/>
    <w:rsid w:val="0092429A"/>
    <w:rsid w:val="009265FA"/>
    <w:rsid w:val="00927EE4"/>
    <w:rsid w:val="0093037A"/>
    <w:rsid w:val="009303B3"/>
    <w:rsid w:val="00931ADB"/>
    <w:rsid w:val="0093278F"/>
    <w:rsid w:val="00932EF7"/>
    <w:rsid w:val="00933164"/>
    <w:rsid w:val="009356FF"/>
    <w:rsid w:val="0093673F"/>
    <w:rsid w:val="00936E4A"/>
    <w:rsid w:val="00936FEC"/>
    <w:rsid w:val="009379B7"/>
    <w:rsid w:val="009400C2"/>
    <w:rsid w:val="00940ABB"/>
    <w:rsid w:val="0094154D"/>
    <w:rsid w:val="009435DF"/>
    <w:rsid w:val="00943A7B"/>
    <w:rsid w:val="00943DFF"/>
    <w:rsid w:val="00944117"/>
    <w:rsid w:val="00944773"/>
    <w:rsid w:val="00944A49"/>
    <w:rsid w:val="00944B18"/>
    <w:rsid w:val="0095155F"/>
    <w:rsid w:val="00952DE8"/>
    <w:rsid w:val="0095306B"/>
    <w:rsid w:val="00954429"/>
    <w:rsid w:val="009563CE"/>
    <w:rsid w:val="0096119D"/>
    <w:rsid w:val="00963563"/>
    <w:rsid w:val="00963DA4"/>
    <w:rsid w:val="009643A5"/>
    <w:rsid w:val="00967C4F"/>
    <w:rsid w:val="00971421"/>
    <w:rsid w:val="0097493E"/>
    <w:rsid w:val="00975B98"/>
    <w:rsid w:val="00976328"/>
    <w:rsid w:val="0097680D"/>
    <w:rsid w:val="00982438"/>
    <w:rsid w:val="0098404C"/>
    <w:rsid w:val="00985283"/>
    <w:rsid w:val="00985FBB"/>
    <w:rsid w:val="00987009"/>
    <w:rsid w:val="009870CA"/>
    <w:rsid w:val="00994180"/>
    <w:rsid w:val="00995992"/>
    <w:rsid w:val="00997E8D"/>
    <w:rsid w:val="009A03E5"/>
    <w:rsid w:val="009A0F3B"/>
    <w:rsid w:val="009A1BB4"/>
    <w:rsid w:val="009A2628"/>
    <w:rsid w:val="009A2A4A"/>
    <w:rsid w:val="009A2EB9"/>
    <w:rsid w:val="009A3200"/>
    <w:rsid w:val="009A33F9"/>
    <w:rsid w:val="009A493F"/>
    <w:rsid w:val="009A5504"/>
    <w:rsid w:val="009A5C6D"/>
    <w:rsid w:val="009B03A3"/>
    <w:rsid w:val="009B0897"/>
    <w:rsid w:val="009B2DCE"/>
    <w:rsid w:val="009B378A"/>
    <w:rsid w:val="009B466E"/>
    <w:rsid w:val="009B61AC"/>
    <w:rsid w:val="009B76A1"/>
    <w:rsid w:val="009B7BD9"/>
    <w:rsid w:val="009C7DD5"/>
    <w:rsid w:val="009D10D0"/>
    <w:rsid w:val="009D1B77"/>
    <w:rsid w:val="009D3ACA"/>
    <w:rsid w:val="009D464C"/>
    <w:rsid w:val="009D7A6A"/>
    <w:rsid w:val="009E227D"/>
    <w:rsid w:val="009E30EB"/>
    <w:rsid w:val="009E3BBF"/>
    <w:rsid w:val="009E5019"/>
    <w:rsid w:val="009F0941"/>
    <w:rsid w:val="009F1C9A"/>
    <w:rsid w:val="009F2108"/>
    <w:rsid w:val="009F36DD"/>
    <w:rsid w:val="009F3B1E"/>
    <w:rsid w:val="009F4A94"/>
    <w:rsid w:val="009F4E29"/>
    <w:rsid w:val="009F7D19"/>
    <w:rsid w:val="00A000C3"/>
    <w:rsid w:val="00A04F1B"/>
    <w:rsid w:val="00A0501B"/>
    <w:rsid w:val="00A06009"/>
    <w:rsid w:val="00A0751D"/>
    <w:rsid w:val="00A07D4C"/>
    <w:rsid w:val="00A11DC9"/>
    <w:rsid w:val="00A14947"/>
    <w:rsid w:val="00A1619D"/>
    <w:rsid w:val="00A16D54"/>
    <w:rsid w:val="00A2317C"/>
    <w:rsid w:val="00A238C5"/>
    <w:rsid w:val="00A24DCB"/>
    <w:rsid w:val="00A254D4"/>
    <w:rsid w:val="00A27294"/>
    <w:rsid w:val="00A273C7"/>
    <w:rsid w:val="00A3223F"/>
    <w:rsid w:val="00A32418"/>
    <w:rsid w:val="00A32A83"/>
    <w:rsid w:val="00A366E5"/>
    <w:rsid w:val="00A368DB"/>
    <w:rsid w:val="00A3731A"/>
    <w:rsid w:val="00A3761F"/>
    <w:rsid w:val="00A40798"/>
    <w:rsid w:val="00A40D2B"/>
    <w:rsid w:val="00A41366"/>
    <w:rsid w:val="00A423AA"/>
    <w:rsid w:val="00A456C4"/>
    <w:rsid w:val="00A51922"/>
    <w:rsid w:val="00A51A24"/>
    <w:rsid w:val="00A53BF5"/>
    <w:rsid w:val="00A53EC6"/>
    <w:rsid w:val="00A55C0F"/>
    <w:rsid w:val="00A575DF"/>
    <w:rsid w:val="00A60125"/>
    <w:rsid w:val="00A61A2E"/>
    <w:rsid w:val="00A6232A"/>
    <w:rsid w:val="00A70078"/>
    <w:rsid w:val="00A718B9"/>
    <w:rsid w:val="00A72886"/>
    <w:rsid w:val="00A76D7A"/>
    <w:rsid w:val="00A7745A"/>
    <w:rsid w:val="00A7794F"/>
    <w:rsid w:val="00A80E4E"/>
    <w:rsid w:val="00A829B5"/>
    <w:rsid w:val="00A841A2"/>
    <w:rsid w:val="00A86363"/>
    <w:rsid w:val="00A8713F"/>
    <w:rsid w:val="00A87B1F"/>
    <w:rsid w:val="00A90BA1"/>
    <w:rsid w:val="00A92A79"/>
    <w:rsid w:val="00A94E80"/>
    <w:rsid w:val="00A976DF"/>
    <w:rsid w:val="00A97A9A"/>
    <w:rsid w:val="00AA0671"/>
    <w:rsid w:val="00AA0C9F"/>
    <w:rsid w:val="00AA2531"/>
    <w:rsid w:val="00AA3468"/>
    <w:rsid w:val="00AA7110"/>
    <w:rsid w:val="00AA725B"/>
    <w:rsid w:val="00AA7A67"/>
    <w:rsid w:val="00AB047E"/>
    <w:rsid w:val="00AB1E09"/>
    <w:rsid w:val="00AB252A"/>
    <w:rsid w:val="00AB454B"/>
    <w:rsid w:val="00AB50CC"/>
    <w:rsid w:val="00AB5330"/>
    <w:rsid w:val="00AB7747"/>
    <w:rsid w:val="00AC0317"/>
    <w:rsid w:val="00AC14CE"/>
    <w:rsid w:val="00AC1EBE"/>
    <w:rsid w:val="00AC22A3"/>
    <w:rsid w:val="00AC23B5"/>
    <w:rsid w:val="00AC2A56"/>
    <w:rsid w:val="00AC3173"/>
    <w:rsid w:val="00AC50D5"/>
    <w:rsid w:val="00AD055E"/>
    <w:rsid w:val="00AD0736"/>
    <w:rsid w:val="00AD26CB"/>
    <w:rsid w:val="00AD47A7"/>
    <w:rsid w:val="00AD56EC"/>
    <w:rsid w:val="00AD5774"/>
    <w:rsid w:val="00AD7D81"/>
    <w:rsid w:val="00AE18F1"/>
    <w:rsid w:val="00AE1E47"/>
    <w:rsid w:val="00AE32D5"/>
    <w:rsid w:val="00AE73F5"/>
    <w:rsid w:val="00AF0532"/>
    <w:rsid w:val="00AF0CBF"/>
    <w:rsid w:val="00AF257F"/>
    <w:rsid w:val="00AF2F3B"/>
    <w:rsid w:val="00AF33CF"/>
    <w:rsid w:val="00AF4539"/>
    <w:rsid w:val="00AF4D50"/>
    <w:rsid w:val="00AF6179"/>
    <w:rsid w:val="00AF7D5C"/>
    <w:rsid w:val="00B00844"/>
    <w:rsid w:val="00B011D4"/>
    <w:rsid w:val="00B03F50"/>
    <w:rsid w:val="00B04B66"/>
    <w:rsid w:val="00B06C4D"/>
    <w:rsid w:val="00B07A89"/>
    <w:rsid w:val="00B12956"/>
    <w:rsid w:val="00B1295A"/>
    <w:rsid w:val="00B134C2"/>
    <w:rsid w:val="00B14336"/>
    <w:rsid w:val="00B16EAF"/>
    <w:rsid w:val="00B20A45"/>
    <w:rsid w:val="00B22576"/>
    <w:rsid w:val="00B22BA0"/>
    <w:rsid w:val="00B22C5C"/>
    <w:rsid w:val="00B239FB"/>
    <w:rsid w:val="00B24893"/>
    <w:rsid w:val="00B24F30"/>
    <w:rsid w:val="00B2741E"/>
    <w:rsid w:val="00B31ABF"/>
    <w:rsid w:val="00B31DE3"/>
    <w:rsid w:val="00B33BE3"/>
    <w:rsid w:val="00B37F6D"/>
    <w:rsid w:val="00B40B12"/>
    <w:rsid w:val="00B41A7A"/>
    <w:rsid w:val="00B41EB6"/>
    <w:rsid w:val="00B42B7E"/>
    <w:rsid w:val="00B4351A"/>
    <w:rsid w:val="00B4408F"/>
    <w:rsid w:val="00B479FD"/>
    <w:rsid w:val="00B51698"/>
    <w:rsid w:val="00B53B5D"/>
    <w:rsid w:val="00B57917"/>
    <w:rsid w:val="00B57E89"/>
    <w:rsid w:val="00B6055E"/>
    <w:rsid w:val="00B6317D"/>
    <w:rsid w:val="00B63197"/>
    <w:rsid w:val="00B64C86"/>
    <w:rsid w:val="00B66B55"/>
    <w:rsid w:val="00B67F43"/>
    <w:rsid w:val="00B738E5"/>
    <w:rsid w:val="00B73C2C"/>
    <w:rsid w:val="00B746B3"/>
    <w:rsid w:val="00B753F3"/>
    <w:rsid w:val="00B7723F"/>
    <w:rsid w:val="00B8032E"/>
    <w:rsid w:val="00B80534"/>
    <w:rsid w:val="00B80D89"/>
    <w:rsid w:val="00B8145B"/>
    <w:rsid w:val="00B8319B"/>
    <w:rsid w:val="00B83208"/>
    <w:rsid w:val="00B83847"/>
    <w:rsid w:val="00B83BD3"/>
    <w:rsid w:val="00B8433C"/>
    <w:rsid w:val="00B85F65"/>
    <w:rsid w:val="00B87491"/>
    <w:rsid w:val="00B93D8C"/>
    <w:rsid w:val="00B94438"/>
    <w:rsid w:val="00B963D9"/>
    <w:rsid w:val="00B96E75"/>
    <w:rsid w:val="00B97006"/>
    <w:rsid w:val="00B97784"/>
    <w:rsid w:val="00BA14EB"/>
    <w:rsid w:val="00BA16ED"/>
    <w:rsid w:val="00BA1BCF"/>
    <w:rsid w:val="00BA29E9"/>
    <w:rsid w:val="00BA3D0F"/>
    <w:rsid w:val="00BA477F"/>
    <w:rsid w:val="00BA7142"/>
    <w:rsid w:val="00BA77AE"/>
    <w:rsid w:val="00BA788B"/>
    <w:rsid w:val="00BB149E"/>
    <w:rsid w:val="00BB2346"/>
    <w:rsid w:val="00BB237C"/>
    <w:rsid w:val="00BB288A"/>
    <w:rsid w:val="00BB41A3"/>
    <w:rsid w:val="00BB4298"/>
    <w:rsid w:val="00BB5C59"/>
    <w:rsid w:val="00BB6585"/>
    <w:rsid w:val="00BB6772"/>
    <w:rsid w:val="00BC32DC"/>
    <w:rsid w:val="00BC35B6"/>
    <w:rsid w:val="00BC56C6"/>
    <w:rsid w:val="00BC72C4"/>
    <w:rsid w:val="00BD1B51"/>
    <w:rsid w:val="00BD4596"/>
    <w:rsid w:val="00BD6293"/>
    <w:rsid w:val="00BD700E"/>
    <w:rsid w:val="00BD7538"/>
    <w:rsid w:val="00BE1405"/>
    <w:rsid w:val="00BE2FE9"/>
    <w:rsid w:val="00BE312D"/>
    <w:rsid w:val="00BE572F"/>
    <w:rsid w:val="00BF1C20"/>
    <w:rsid w:val="00BF59FB"/>
    <w:rsid w:val="00BF6C58"/>
    <w:rsid w:val="00BF7F16"/>
    <w:rsid w:val="00C000E9"/>
    <w:rsid w:val="00C0208B"/>
    <w:rsid w:val="00C04700"/>
    <w:rsid w:val="00C06451"/>
    <w:rsid w:val="00C10578"/>
    <w:rsid w:val="00C11DD4"/>
    <w:rsid w:val="00C135BC"/>
    <w:rsid w:val="00C14FA2"/>
    <w:rsid w:val="00C15C95"/>
    <w:rsid w:val="00C1648D"/>
    <w:rsid w:val="00C16CF9"/>
    <w:rsid w:val="00C17A84"/>
    <w:rsid w:val="00C20C6D"/>
    <w:rsid w:val="00C24F25"/>
    <w:rsid w:val="00C2596A"/>
    <w:rsid w:val="00C27537"/>
    <w:rsid w:val="00C328FE"/>
    <w:rsid w:val="00C33507"/>
    <w:rsid w:val="00C35144"/>
    <w:rsid w:val="00C37922"/>
    <w:rsid w:val="00C411A3"/>
    <w:rsid w:val="00C41610"/>
    <w:rsid w:val="00C4175B"/>
    <w:rsid w:val="00C4199C"/>
    <w:rsid w:val="00C4409D"/>
    <w:rsid w:val="00C44E72"/>
    <w:rsid w:val="00C45A06"/>
    <w:rsid w:val="00C46D43"/>
    <w:rsid w:val="00C47422"/>
    <w:rsid w:val="00C47E5B"/>
    <w:rsid w:val="00C505A9"/>
    <w:rsid w:val="00C524B3"/>
    <w:rsid w:val="00C53D46"/>
    <w:rsid w:val="00C60059"/>
    <w:rsid w:val="00C60A55"/>
    <w:rsid w:val="00C61E4B"/>
    <w:rsid w:val="00C6275B"/>
    <w:rsid w:val="00C62800"/>
    <w:rsid w:val="00C63002"/>
    <w:rsid w:val="00C6322D"/>
    <w:rsid w:val="00C64BFF"/>
    <w:rsid w:val="00C66E53"/>
    <w:rsid w:val="00C67A5D"/>
    <w:rsid w:val="00C704E9"/>
    <w:rsid w:val="00C72089"/>
    <w:rsid w:val="00C72EA2"/>
    <w:rsid w:val="00C76168"/>
    <w:rsid w:val="00C763C9"/>
    <w:rsid w:val="00C76FB2"/>
    <w:rsid w:val="00C80057"/>
    <w:rsid w:val="00C8005B"/>
    <w:rsid w:val="00C81A7E"/>
    <w:rsid w:val="00C82232"/>
    <w:rsid w:val="00C82913"/>
    <w:rsid w:val="00C82A4B"/>
    <w:rsid w:val="00C83369"/>
    <w:rsid w:val="00C92FBF"/>
    <w:rsid w:val="00C96541"/>
    <w:rsid w:val="00C972B1"/>
    <w:rsid w:val="00CA1263"/>
    <w:rsid w:val="00CA17AE"/>
    <w:rsid w:val="00CA2CCE"/>
    <w:rsid w:val="00CA43FD"/>
    <w:rsid w:val="00CA61AC"/>
    <w:rsid w:val="00CA7EF8"/>
    <w:rsid w:val="00CB205B"/>
    <w:rsid w:val="00CB2615"/>
    <w:rsid w:val="00CB3F90"/>
    <w:rsid w:val="00CB5FDA"/>
    <w:rsid w:val="00CB7108"/>
    <w:rsid w:val="00CB741F"/>
    <w:rsid w:val="00CB7690"/>
    <w:rsid w:val="00CB78BB"/>
    <w:rsid w:val="00CB7BE4"/>
    <w:rsid w:val="00CC489B"/>
    <w:rsid w:val="00CC66AD"/>
    <w:rsid w:val="00CC72FE"/>
    <w:rsid w:val="00CD2380"/>
    <w:rsid w:val="00CD27E3"/>
    <w:rsid w:val="00CD2976"/>
    <w:rsid w:val="00CD2BCD"/>
    <w:rsid w:val="00CD3A39"/>
    <w:rsid w:val="00CD3A4C"/>
    <w:rsid w:val="00CE10E9"/>
    <w:rsid w:val="00CE20EF"/>
    <w:rsid w:val="00CE284F"/>
    <w:rsid w:val="00CE2910"/>
    <w:rsid w:val="00CE32EA"/>
    <w:rsid w:val="00CE4EDF"/>
    <w:rsid w:val="00CE5393"/>
    <w:rsid w:val="00CE5C64"/>
    <w:rsid w:val="00CE7FCD"/>
    <w:rsid w:val="00CF36BE"/>
    <w:rsid w:val="00CF401A"/>
    <w:rsid w:val="00CF463B"/>
    <w:rsid w:val="00CF6000"/>
    <w:rsid w:val="00CF61E2"/>
    <w:rsid w:val="00CF7C01"/>
    <w:rsid w:val="00CF7F8F"/>
    <w:rsid w:val="00D003F3"/>
    <w:rsid w:val="00D02953"/>
    <w:rsid w:val="00D0364F"/>
    <w:rsid w:val="00D06834"/>
    <w:rsid w:val="00D102F8"/>
    <w:rsid w:val="00D14AEA"/>
    <w:rsid w:val="00D17D52"/>
    <w:rsid w:val="00D21FD2"/>
    <w:rsid w:val="00D22D53"/>
    <w:rsid w:val="00D23C5C"/>
    <w:rsid w:val="00D302C2"/>
    <w:rsid w:val="00D308ED"/>
    <w:rsid w:val="00D336AE"/>
    <w:rsid w:val="00D36A7B"/>
    <w:rsid w:val="00D36D86"/>
    <w:rsid w:val="00D407DD"/>
    <w:rsid w:val="00D4118F"/>
    <w:rsid w:val="00D425C6"/>
    <w:rsid w:val="00D428AA"/>
    <w:rsid w:val="00D43B11"/>
    <w:rsid w:val="00D43F78"/>
    <w:rsid w:val="00D44FCB"/>
    <w:rsid w:val="00D50A34"/>
    <w:rsid w:val="00D53EFA"/>
    <w:rsid w:val="00D57996"/>
    <w:rsid w:val="00D60755"/>
    <w:rsid w:val="00D61656"/>
    <w:rsid w:val="00D62EB9"/>
    <w:rsid w:val="00D63FAB"/>
    <w:rsid w:val="00D77C41"/>
    <w:rsid w:val="00D821E8"/>
    <w:rsid w:val="00D82AEE"/>
    <w:rsid w:val="00D83190"/>
    <w:rsid w:val="00D838F3"/>
    <w:rsid w:val="00D85983"/>
    <w:rsid w:val="00D8676B"/>
    <w:rsid w:val="00D87AEF"/>
    <w:rsid w:val="00D87C14"/>
    <w:rsid w:val="00D91719"/>
    <w:rsid w:val="00D940FF"/>
    <w:rsid w:val="00D943A4"/>
    <w:rsid w:val="00D94461"/>
    <w:rsid w:val="00D94A7C"/>
    <w:rsid w:val="00D94ADA"/>
    <w:rsid w:val="00D94D87"/>
    <w:rsid w:val="00D95271"/>
    <w:rsid w:val="00D95896"/>
    <w:rsid w:val="00D96183"/>
    <w:rsid w:val="00DA1284"/>
    <w:rsid w:val="00DA2756"/>
    <w:rsid w:val="00DA2FA3"/>
    <w:rsid w:val="00DA6B0E"/>
    <w:rsid w:val="00DA73A1"/>
    <w:rsid w:val="00DA76D4"/>
    <w:rsid w:val="00DA7709"/>
    <w:rsid w:val="00DB037C"/>
    <w:rsid w:val="00DB0EC0"/>
    <w:rsid w:val="00DB2983"/>
    <w:rsid w:val="00DB6CAC"/>
    <w:rsid w:val="00DC0107"/>
    <w:rsid w:val="00DC0185"/>
    <w:rsid w:val="00DC1257"/>
    <w:rsid w:val="00DC3DC0"/>
    <w:rsid w:val="00DC4B8E"/>
    <w:rsid w:val="00DC5B2B"/>
    <w:rsid w:val="00DC6B4D"/>
    <w:rsid w:val="00DC6D01"/>
    <w:rsid w:val="00DD0E5A"/>
    <w:rsid w:val="00DD318D"/>
    <w:rsid w:val="00DE401F"/>
    <w:rsid w:val="00DE67BF"/>
    <w:rsid w:val="00DE7E04"/>
    <w:rsid w:val="00DF2E12"/>
    <w:rsid w:val="00DF3708"/>
    <w:rsid w:val="00DF3B03"/>
    <w:rsid w:val="00DF514A"/>
    <w:rsid w:val="00DF6690"/>
    <w:rsid w:val="00DF6804"/>
    <w:rsid w:val="00DF7951"/>
    <w:rsid w:val="00E0358D"/>
    <w:rsid w:val="00E03A25"/>
    <w:rsid w:val="00E04323"/>
    <w:rsid w:val="00E05BCA"/>
    <w:rsid w:val="00E06D5C"/>
    <w:rsid w:val="00E070A2"/>
    <w:rsid w:val="00E105E2"/>
    <w:rsid w:val="00E10F2A"/>
    <w:rsid w:val="00E11172"/>
    <w:rsid w:val="00E12C80"/>
    <w:rsid w:val="00E13D61"/>
    <w:rsid w:val="00E141FE"/>
    <w:rsid w:val="00E1434F"/>
    <w:rsid w:val="00E1449F"/>
    <w:rsid w:val="00E152D8"/>
    <w:rsid w:val="00E23634"/>
    <w:rsid w:val="00E2656A"/>
    <w:rsid w:val="00E2688B"/>
    <w:rsid w:val="00E319ED"/>
    <w:rsid w:val="00E328D0"/>
    <w:rsid w:val="00E34464"/>
    <w:rsid w:val="00E412D0"/>
    <w:rsid w:val="00E4327F"/>
    <w:rsid w:val="00E43DE4"/>
    <w:rsid w:val="00E44190"/>
    <w:rsid w:val="00E46A96"/>
    <w:rsid w:val="00E474DC"/>
    <w:rsid w:val="00E50009"/>
    <w:rsid w:val="00E5471E"/>
    <w:rsid w:val="00E56322"/>
    <w:rsid w:val="00E563EE"/>
    <w:rsid w:val="00E56479"/>
    <w:rsid w:val="00E57CDD"/>
    <w:rsid w:val="00E60982"/>
    <w:rsid w:val="00E61577"/>
    <w:rsid w:val="00E62C62"/>
    <w:rsid w:val="00E6311F"/>
    <w:rsid w:val="00E654C1"/>
    <w:rsid w:val="00E65D97"/>
    <w:rsid w:val="00E661EF"/>
    <w:rsid w:val="00E66675"/>
    <w:rsid w:val="00E67CEC"/>
    <w:rsid w:val="00E709AA"/>
    <w:rsid w:val="00E727BA"/>
    <w:rsid w:val="00E72A5A"/>
    <w:rsid w:val="00E73354"/>
    <w:rsid w:val="00E74C35"/>
    <w:rsid w:val="00E74F23"/>
    <w:rsid w:val="00E767C5"/>
    <w:rsid w:val="00E777BB"/>
    <w:rsid w:val="00E844AC"/>
    <w:rsid w:val="00E91637"/>
    <w:rsid w:val="00E9242D"/>
    <w:rsid w:val="00E925A2"/>
    <w:rsid w:val="00E9284E"/>
    <w:rsid w:val="00E931DB"/>
    <w:rsid w:val="00E95442"/>
    <w:rsid w:val="00EA1EFE"/>
    <w:rsid w:val="00EA4CD5"/>
    <w:rsid w:val="00EA4F54"/>
    <w:rsid w:val="00EA5206"/>
    <w:rsid w:val="00EA7695"/>
    <w:rsid w:val="00EA7BF4"/>
    <w:rsid w:val="00EB0381"/>
    <w:rsid w:val="00EB096B"/>
    <w:rsid w:val="00EB1DB7"/>
    <w:rsid w:val="00EB2E5B"/>
    <w:rsid w:val="00EB3D4C"/>
    <w:rsid w:val="00EB5255"/>
    <w:rsid w:val="00EB5C47"/>
    <w:rsid w:val="00EC1900"/>
    <w:rsid w:val="00EC2B78"/>
    <w:rsid w:val="00EC4396"/>
    <w:rsid w:val="00EC4B64"/>
    <w:rsid w:val="00EC4F91"/>
    <w:rsid w:val="00EC74B3"/>
    <w:rsid w:val="00ED0639"/>
    <w:rsid w:val="00ED097B"/>
    <w:rsid w:val="00ED09D1"/>
    <w:rsid w:val="00ED12CF"/>
    <w:rsid w:val="00ED38E2"/>
    <w:rsid w:val="00ED3C67"/>
    <w:rsid w:val="00ED44BB"/>
    <w:rsid w:val="00EE1157"/>
    <w:rsid w:val="00EE3934"/>
    <w:rsid w:val="00EE5861"/>
    <w:rsid w:val="00EE59E7"/>
    <w:rsid w:val="00EE6663"/>
    <w:rsid w:val="00EE6DA3"/>
    <w:rsid w:val="00EE7CD7"/>
    <w:rsid w:val="00EF2D5F"/>
    <w:rsid w:val="00EF4755"/>
    <w:rsid w:val="00EF4E41"/>
    <w:rsid w:val="00EF67DE"/>
    <w:rsid w:val="00EF7135"/>
    <w:rsid w:val="00F027DB"/>
    <w:rsid w:val="00F0507A"/>
    <w:rsid w:val="00F0656E"/>
    <w:rsid w:val="00F076EC"/>
    <w:rsid w:val="00F1068D"/>
    <w:rsid w:val="00F13FC8"/>
    <w:rsid w:val="00F14A7A"/>
    <w:rsid w:val="00F1555E"/>
    <w:rsid w:val="00F15E7E"/>
    <w:rsid w:val="00F16218"/>
    <w:rsid w:val="00F16C0B"/>
    <w:rsid w:val="00F16CCC"/>
    <w:rsid w:val="00F219D0"/>
    <w:rsid w:val="00F22985"/>
    <w:rsid w:val="00F24ABD"/>
    <w:rsid w:val="00F24F3E"/>
    <w:rsid w:val="00F25558"/>
    <w:rsid w:val="00F3383E"/>
    <w:rsid w:val="00F34CBC"/>
    <w:rsid w:val="00F35381"/>
    <w:rsid w:val="00F35921"/>
    <w:rsid w:val="00F378FB"/>
    <w:rsid w:val="00F37B5D"/>
    <w:rsid w:val="00F40AB0"/>
    <w:rsid w:val="00F465A7"/>
    <w:rsid w:val="00F46D2C"/>
    <w:rsid w:val="00F50B7C"/>
    <w:rsid w:val="00F52890"/>
    <w:rsid w:val="00F5302A"/>
    <w:rsid w:val="00F550E6"/>
    <w:rsid w:val="00F60021"/>
    <w:rsid w:val="00F63287"/>
    <w:rsid w:val="00F65699"/>
    <w:rsid w:val="00F70488"/>
    <w:rsid w:val="00F71BC5"/>
    <w:rsid w:val="00F72C03"/>
    <w:rsid w:val="00F72CA9"/>
    <w:rsid w:val="00F731C7"/>
    <w:rsid w:val="00F73938"/>
    <w:rsid w:val="00F73CCA"/>
    <w:rsid w:val="00F74345"/>
    <w:rsid w:val="00F74F3B"/>
    <w:rsid w:val="00F76ECF"/>
    <w:rsid w:val="00F77D11"/>
    <w:rsid w:val="00F80975"/>
    <w:rsid w:val="00F80A0A"/>
    <w:rsid w:val="00F82B19"/>
    <w:rsid w:val="00F84DFF"/>
    <w:rsid w:val="00F86BA1"/>
    <w:rsid w:val="00F86F4E"/>
    <w:rsid w:val="00F9212D"/>
    <w:rsid w:val="00F93F08"/>
    <w:rsid w:val="00F965DA"/>
    <w:rsid w:val="00F97C3C"/>
    <w:rsid w:val="00FA22D6"/>
    <w:rsid w:val="00FA27DE"/>
    <w:rsid w:val="00FA2FDA"/>
    <w:rsid w:val="00FA406A"/>
    <w:rsid w:val="00FA53F0"/>
    <w:rsid w:val="00FA6E6B"/>
    <w:rsid w:val="00FA7CA9"/>
    <w:rsid w:val="00FB08C4"/>
    <w:rsid w:val="00FB2A68"/>
    <w:rsid w:val="00FB3788"/>
    <w:rsid w:val="00FB4FE6"/>
    <w:rsid w:val="00FB4FEE"/>
    <w:rsid w:val="00FB503A"/>
    <w:rsid w:val="00FB516C"/>
    <w:rsid w:val="00FC0ED1"/>
    <w:rsid w:val="00FC17E6"/>
    <w:rsid w:val="00FC37E5"/>
    <w:rsid w:val="00FC5FBD"/>
    <w:rsid w:val="00FC6BE7"/>
    <w:rsid w:val="00FC6F36"/>
    <w:rsid w:val="00FD022F"/>
    <w:rsid w:val="00FD0236"/>
    <w:rsid w:val="00FD18F4"/>
    <w:rsid w:val="00FD54DB"/>
    <w:rsid w:val="00FD5992"/>
    <w:rsid w:val="00FD619F"/>
    <w:rsid w:val="00FD7D41"/>
    <w:rsid w:val="00FE0553"/>
    <w:rsid w:val="00FE13C7"/>
    <w:rsid w:val="00FE3031"/>
    <w:rsid w:val="00FE3191"/>
    <w:rsid w:val="00FE352B"/>
    <w:rsid w:val="00FF033F"/>
    <w:rsid w:val="00FF358C"/>
    <w:rsid w:val="00FF535D"/>
    <w:rsid w:val="00FF541D"/>
    <w:rsid w:val="00FF6727"/>
    <w:rsid w:val="01154EDD"/>
    <w:rsid w:val="01290F7E"/>
    <w:rsid w:val="0156082B"/>
    <w:rsid w:val="015D1E09"/>
    <w:rsid w:val="0160230B"/>
    <w:rsid w:val="01CF69CC"/>
    <w:rsid w:val="01DE1ACF"/>
    <w:rsid w:val="01FF3BC3"/>
    <w:rsid w:val="020834AC"/>
    <w:rsid w:val="02697903"/>
    <w:rsid w:val="02A5748A"/>
    <w:rsid w:val="02F96569"/>
    <w:rsid w:val="02FB4BD9"/>
    <w:rsid w:val="031A37AB"/>
    <w:rsid w:val="037C7BA4"/>
    <w:rsid w:val="03A05601"/>
    <w:rsid w:val="03AC4754"/>
    <w:rsid w:val="03C36E72"/>
    <w:rsid w:val="03EA7B21"/>
    <w:rsid w:val="04AA5F61"/>
    <w:rsid w:val="04CE2134"/>
    <w:rsid w:val="04F3104E"/>
    <w:rsid w:val="05017C52"/>
    <w:rsid w:val="052A5AEA"/>
    <w:rsid w:val="053733CA"/>
    <w:rsid w:val="053A13B6"/>
    <w:rsid w:val="055557BF"/>
    <w:rsid w:val="05A75DDB"/>
    <w:rsid w:val="05C44FA8"/>
    <w:rsid w:val="05C522F7"/>
    <w:rsid w:val="05F83EAE"/>
    <w:rsid w:val="063E7D85"/>
    <w:rsid w:val="067F1BC4"/>
    <w:rsid w:val="06B97270"/>
    <w:rsid w:val="06E20753"/>
    <w:rsid w:val="07030F99"/>
    <w:rsid w:val="07273F01"/>
    <w:rsid w:val="07293586"/>
    <w:rsid w:val="07295285"/>
    <w:rsid w:val="07636392"/>
    <w:rsid w:val="076A5F83"/>
    <w:rsid w:val="07770C56"/>
    <w:rsid w:val="077B32E8"/>
    <w:rsid w:val="07A700A8"/>
    <w:rsid w:val="07B06C3D"/>
    <w:rsid w:val="07DB6485"/>
    <w:rsid w:val="08004B7E"/>
    <w:rsid w:val="08214629"/>
    <w:rsid w:val="089166F4"/>
    <w:rsid w:val="08C96B37"/>
    <w:rsid w:val="08CA637F"/>
    <w:rsid w:val="092217DD"/>
    <w:rsid w:val="09265ED9"/>
    <w:rsid w:val="093A7294"/>
    <w:rsid w:val="094E5847"/>
    <w:rsid w:val="0998236F"/>
    <w:rsid w:val="09FB16DB"/>
    <w:rsid w:val="0A261F09"/>
    <w:rsid w:val="0A263993"/>
    <w:rsid w:val="0A293CC2"/>
    <w:rsid w:val="0A2D3AC2"/>
    <w:rsid w:val="0A2E1A90"/>
    <w:rsid w:val="0A304078"/>
    <w:rsid w:val="0AA755DF"/>
    <w:rsid w:val="0AFF799F"/>
    <w:rsid w:val="0B120D44"/>
    <w:rsid w:val="0B205C0D"/>
    <w:rsid w:val="0B636E21"/>
    <w:rsid w:val="0B8D0492"/>
    <w:rsid w:val="0B9A3845"/>
    <w:rsid w:val="0BB32A42"/>
    <w:rsid w:val="0BD27BF6"/>
    <w:rsid w:val="0BE635A6"/>
    <w:rsid w:val="0C197F58"/>
    <w:rsid w:val="0C3B3C7D"/>
    <w:rsid w:val="0C53184D"/>
    <w:rsid w:val="0C880C59"/>
    <w:rsid w:val="0CAB2EAE"/>
    <w:rsid w:val="0CAC653E"/>
    <w:rsid w:val="0CC61B01"/>
    <w:rsid w:val="0CCB7CC3"/>
    <w:rsid w:val="0CCC4FEA"/>
    <w:rsid w:val="0CEB1758"/>
    <w:rsid w:val="0D231807"/>
    <w:rsid w:val="0D3452ED"/>
    <w:rsid w:val="0D621C7D"/>
    <w:rsid w:val="0D6D7B31"/>
    <w:rsid w:val="0D9B01C4"/>
    <w:rsid w:val="0DA0766F"/>
    <w:rsid w:val="0DBF4B4E"/>
    <w:rsid w:val="0DE34399"/>
    <w:rsid w:val="0DF742E8"/>
    <w:rsid w:val="0DFD0FF8"/>
    <w:rsid w:val="0E1A3EEA"/>
    <w:rsid w:val="0E4E6542"/>
    <w:rsid w:val="0E5D0D31"/>
    <w:rsid w:val="0E600D44"/>
    <w:rsid w:val="0E73034D"/>
    <w:rsid w:val="0E78402E"/>
    <w:rsid w:val="0E831986"/>
    <w:rsid w:val="0EAC79ED"/>
    <w:rsid w:val="0F0B1549"/>
    <w:rsid w:val="0F13775A"/>
    <w:rsid w:val="0F372A4D"/>
    <w:rsid w:val="0F5F45FE"/>
    <w:rsid w:val="0F9A112B"/>
    <w:rsid w:val="0FEC66B4"/>
    <w:rsid w:val="0FED635C"/>
    <w:rsid w:val="0FFE5D3F"/>
    <w:rsid w:val="10157B75"/>
    <w:rsid w:val="10461103"/>
    <w:rsid w:val="10630624"/>
    <w:rsid w:val="106D2F64"/>
    <w:rsid w:val="107439CE"/>
    <w:rsid w:val="1083711C"/>
    <w:rsid w:val="10A9391A"/>
    <w:rsid w:val="10B63710"/>
    <w:rsid w:val="10F10820"/>
    <w:rsid w:val="10F14A72"/>
    <w:rsid w:val="111C2F7A"/>
    <w:rsid w:val="1131366D"/>
    <w:rsid w:val="11352297"/>
    <w:rsid w:val="11441833"/>
    <w:rsid w:val="11665CA1"/>
    <w:rsid w:val="118D6C93"/>
    <w:rsid w:val="11A912DE"/>
    <w:rsid w:val="11AA279B"/>
    <w:rsid w:val="11CE026D"/>
    <w:rsid w:val="122D056F"/>
    <w:rsid w:val="12366FB6"/>
    <w:rsid w:val="12597320"/>
    <w:rsid w:val="12653997"/>
    <w:rsid w:val="126E07AF"/>
    <w:rsid w:val="12C440E5"/>
    <w:rsid w:val="12CB2F3F"/>
    <w:rsid w:val="12FF49C6"/>
    <w:rsid w:val="1311605F"/>
    <w:rsid w:val="131173BA"/>
    <w:rsid w:val="13951726"/>
    <w:rsid w:val="13966FC9"/>
    <w:rsid w:val="139F341F"/>
    <w:rsid w:val="13A7593A"/>
    <w:rsid w:val="13CB7B00"/>
    <w:rsid w:val="13D20A06"/>
    <w:rsid w:val="142576EE"/>
    <w:rsid w:val="14396509"/>
    <w:rsid w:val="147026FF"/>
    <w:rsid w:val="14877699"/>
    <w:rsid w:val="14DC1B42"/>
    <w:rsid w:val="14DD2C3C"/>
    <w:rsid w:val="15353137"/>
    <w:rsid w:val="153E2E97"/>
    <w:rsid w:val="15724C16"/>
    <w:rsid w:val="15746899"/>
    <w:rsid w:val="15AE24E6"/>
    <w:rsid w:val="15FC5ED6"/>
    <w:rsid w:val="16087E1D"/>
    <w:rsid w:val="1618376A"/>
    <w:rsid w:val="161C6BA4"/>
    <w:rsid w:val="162C6ADA"/>
    <w:rsid w:val="167062B5"/>
    <w:rsid w:val="16737D63"/>
    <w:rsid w:val="16776073"/>
    <w:rsid w:val="169E1CE0"/>
    <w:rsid w:val="169F3F62"/>
    <w:rsid w:val="16C211F3"/>
    <w:rsid w:val="1705415B"/>
    <w:rsid w:val="17406B93"/>
    <w:rsid w:val="17415739"/>
    <w:rsid w:val="175A3D65"/>
    <w:rsid w:val="175F5198"/>
    <w:rsid w:val="17701D14"/>
    <w:rsid w:val="17735226"/>
    <w:rsid w:val="17B93D49"/>
    <w:rsid w:val="18510387"/>
    <w:rsid w:val="185D0871"/>
    <w:rsid w:val="187C78C4"/>
    <w:rsid w:val="189F624C"/>
    <w:rsid w:val="18AB2FAA"/>
    <w:rsid w:val="18AE4EBC"/>
    <w:rsid w:val="18CC1225"/>
    <w:rsid w:val="18D32AE2"/>
    <w:rsid w:val="1957220A"/>
    <w:rsid w:val="196D12A4"/>
    <w:rsid w:val="19763826"/>
    <w:rsid w:val="19A10856"/>
    <w:rsid w:val="19BB4CF5"/>
    <w:rsid w:val="1A1C66C0"/>
    <w:rsid w:val="1A42393B"/>
    <w:rsid w:val="1A5B1B76"/>
    <w:rsid w:val="1A5E5186"/>
    <w:rsid w:val="1A654123"/>
    <w:rsid w:val="1A7406E7"/>
    <w:rsid w:val="1AA234D7"/>
    <w:rsid w:val="1AA422A1"/>
    <w:rsid w:val="1AA9113E"/>
    <w:rsid w:val="1AAD45DE"/>
    <w:rsid w:val="1ABB6AAD"/>
    <w:rsid w:val="1B046F80"/>
    <w:rsid w:val="1B063DBD"/>
    <w:rsid w:val="1B3267B5"/>
    <w:rsid w:val="1B40161D"/>
    <w:rsid w:val="1B441859"/>
    <w:rsid w:val="1B6606B1"/>
    <w:rsid w:val="1BA30231"/>
    <w:rsid w:val="1BAF5FFF"/>
    <w:rsid w:val="1BE22134"/>
    <w:rsid w:val="1BF83268"/>
    <w:rsid w:val="1C135DED"/>
    <w:rsid w:val="1C3A3A8C"/>
    <w:rsid w:val="1C5E7925"/>
    <w:rsid w:val="1C9B69F4"/>
    <w:rsid w:val="1C9E76A5"/>
    <w:rsid w:val="1CAE701D"/>
    <w:rsid w:val="1CB37368"/>
    <w:rsid w:val="1CDC3027"/>
    <w:rsid w:val="1CDD0B4D"/>
    <w:rsid w:val="1CFD070F"/>
    <w:rsid w:val="1D1901DE"/>
    <w:rsid w:val="1D4209B0"/>
    <w:rsid w:val="1D46403B"/>
    <w:rsid w:val="1D5F6196"/>
    <w:rsid w:val="1D6132A5"/>
    <w:rsid w:val="1D69418F"/>
    <w:rsid w:val="1D782BD1"/>
    <w:rsid w:val="1D8E56D5"/>
    <w:rsid w:val="1DA641BF"/>
    <w:rsid w:val="1DF477DB"/>
    <w:rsid w:val="1E39435D"/>
    <w:rsid w:val="1E7A43DA"/>
    <w:rsid w:val="1E972947"/>
    <w:rsid w:val="1EC6714D"/>
    <w:rsid w:val="1ED71BBA"/>
    <w:rsid w:val="1ED94CD3"/>
    <w:rsid w:val="1EE94DC8"/>
    <w:rsid w:val="1F324E4E"/>
    <w:rsid w:val="1F525966"/>
    <w:rsid w:val="1FA63478"/>
    <w:rsid w:val="1FE7539E"/>
    <w:rsid w:val="1FF273C4"/>
    <w:rsid w:val="20060EF8"/>
    <w:rsid w:val="2018106E"/>
    <w:rsid w:val="20427F48"/>
    <w:rsid w:val="20671BE0"/>
    <w:rsid w:val="2094008E"/>
    <w:rsid w:val="20963CB8"/>
    <w:rsid w:val="20977708"/>
    <w:rsid w:val="209C7E24"/>
    <w:rsid w:val="20A81A1B"/>
    <w:rsid w:val="20B07FB6"/>
    <w:rsid w:val="20B33EFD"/>
    <w:rsid w:val="20B646FB"/>
    <w:rsid w:val="20B94EBA"/>
    <w:rsid w:val="20E20F5E"/>
    <w:rsid w:val="210D73EA"/>
    <w:rsid w:val="211A4B40"/>
    <w:rsid w:val="2124548C"/>
    <w:rsid w:val="21280E02"/>
    <w:rsid w:val="21392F9C"/>
    <w:rsid w:val="213B74B1"/>
    <w:rsid w:val="213F461A"/>
    <w:rsid w:val="215A2310"/>
    <w:rsid w:val="21AC189D"/>
    <w:rsid w:val="21DE14D3"/>
    <w:rsid w:val="21DE318A"/>
    <w:rsid w:val="21EF5B80"/>
    <w:rsid w:val="21F0743B"/>
    <w:rsid w:val="21F30BD6"/>
    <w:rsid w:val="22165591"/>
    <w:rsid w:val="22204D47"/>
    <w:rsid w:val="224B7326"/>
    <w:rsid w:val="224D3E7B"/>
    <w:rsid w:val="22576990"/>
    <w:rsid w:val="226A60E2"/>
    <w:rsid w:val="226D7AFE"/>
    <w:rsid w:val="227F230C"/>
    <w:rsid w:val="228056C8"/>
    <w:rsid w:val="22A6306A"/>
    <w:rsid w:val="22B63DFF"/>
    <w:rsid w:val="22C9730C"/>
    <w:rsid w:val="22F47480"/>
    <w:rsid w:val="230D18DA"/>
    <w:rsid w:val="23116B4E"/>
    <w:rsid w:val="231F5F5D"/>
    <w:rsid w:val="237F11D9"/>
    <w:rsid w:val="238824E9"/>
    <w:rsid w:val="23DE1C48"/>
    <w:rsid w:val="23E41794"/>
    <w:rsid w:val="240210CD"/>
    <w:rsid w:val="2412028E"/>
    <w:rsid w:val="2412490E"/>
    <w:rsid w:val="24280900"/>
    <w:rsid w:val="243A0B22"/>
    <w:rsid w:val="24480FA2"/>
    <w:rsid w:val="244F0192"/>
    <w:rsid w:val="249D7540"/>
    <w:rsid w:val="24A76F89"/>
    <w:rsid w:val="24BF09F7"/>
    <w:rsid w:val="250238B3"/>
    <w:rsid w:val="252D53FE"/>
    <w:rsid w:val="253E34FD"/>
    <w:rsid w:val="259729B9"/>
    <w:rsid w:val="25AD37B3"/>
    <w:rsid w:val="25C61FC9"/>
    <w:rsid w:val="25EC2D81"/>
    <w:rsid w:val="262D7038"/>
    <w:rsid w:val="26384C41"/>
    <w:rsid w:val="263B4332"/>
    <w:rsid w:val="26463773"/>
    <w:rsid w:val="2678630B"/>
    <w:rsid w:val="268132D0"/>
    <w:rsid w:val="271278FB"/>
    <w:rsid w:val="271413F4"/>
    <w:rsid w:val="273B6C92"/>
    <w:rsid w:val="277057A2"/>
    <w:rsid w:val="2778742B"/>
    <w:rsid w:val="27D078B5"/>
    <w:rsid w:val="27FE35E3"/>
    <w:rsid w:val="28153BB7"/>
    <w:rsid w:val="28A543E5"/>
    <w:rsid w:val="28C02D0C"/>
    <w:rsid w:val="28D545B0"/>
    <w:rsid w:val="28DE3E39"/>
    <w:rsid w:val="28E01B37"/>
    <w:rsid w:val="28F416F8"/>
    <w:rsid w:val="290D4835"/>
    <w:rsid w:val="29206EB8"/>
    <w:rsid w:val="29283193"/>
    <w:rsid w:val="292E251A"/>
    <w:rsid w:val="293566B2"/>
    <w:rsid w:val="29400979"/>
    <w:rsid w:val="294C37CC"/>
    <w:rsid w:val="2953004C"/>
    <w:rsid w:val="29595666"/>
    <w:rsid w:val="29874881"/>
    <w:rsid w:val="29CA3A21"/>
    <w:rsid w:val="29CE3CF8"/>
    <w:rsid w:val="29D05279"/>
    <w:rsid w:val="29E325E0"/>
    <w:rsid w:val="29FC272A"/>
    <w:rsid w:val="29FF0355"/>
    <w:rsid w:val="2A0B48B8"/>
    <w:rsid w:val="2A2A78CC"/>
    <w:rsid w:val="2A434D38"/>
    <w:rsid w:val="2A452503"/>
    <w:rsid w:val="2A972868"/>
    <w:rsid w:val="2AAD76D4"/>
    <w:rsid w:val="2AB07FCE"/>
    <w:rsid w:val="2AC86999"/>
    <w:rsid w:val="2ACB3B4E"/>
    <w:rsid w:val="2B1B6538"/>
    <w:rsid w:val="2B22591E"/>
    <w:rsid w:val="2B233767"/>
    <w:rsid w:val="2B605C61"/>
    <w:rsid w:val="2B616A1F"/>
    <w:rsid w:val="2BA936A8"/>
    <w:rsid w:val="2BA96464"/>
    <w:rsid w:val="2BF923AB"/>
    <w:rsid w:val="2C315A5A"/>
    <w:rsid w:val="2C4B1C25"/>
    <w:rsid w:val="2C4D43BC"/>
    <w:rsid w:val="2CEF5816"/>
    <w:rsid w:val="2CFD67D0"/>
    <w:rsid w:val="2D3A6003"/>
    <w:rsid w:val="2D3C06E4"/>
    <w:rsid w:val="2D5F55BD"/>
    <w:rsid w:val="2D9E56F5"/>
    <w:rsid w:val="2DBC5C11"/>
    <w:rsid w:val="2DDA680D"/>
    <w:rsid w:val="2DEE44CC"/>
    <w:rsid w:val="2DF8242F"/>
    <w:rsid w:val="2E112405"/>
    <w:rsid w:val="2E132621"/>
    <w:rsid w:val="2E3D7F03"/>
    <w:rsid w:val="2E667F96"/>
    <w:rsid w:val="2E8226AB"/>
    <w:rsid w:val="2EA42CE6"/>
    <w:rsid w:val="2ECB0B5A"/>
    <w:rsid w:val="2ECE1E1A"/>
    <w:rsid w:val="2F5C7C8A"/>
    <w:rsid w:val="2F622FA8"/>
    <w:rsid w:val="2F83130C"/>
    <w:rsid w:val="2FA07B6A"/>
    <w:rsid w:val="2FD065E6"/>
    <w:rsid w:val="2FD44154"/>
    <w:rsid w:val="2FD96870"/>
    <w:rsid w:val="2FE54175"/>
    <w:rsid w:val="303E3030"/>
    <w:rsid w:val="3045283A"/>
    <w:rsid w:val="304E7940"/>
    <w:rsid w:val="305129DB"/>
    <w:rsid w:val="30580BC9"/>
    <w:rsid w:val="306B723C"/>
    <w:rsid w:val="308C45F3"/>
    <w:rsid w:val="3092452F"/>
    <w:rsid w:val="30E942A3"/>
    <w:rsid w:val="30FA40AE"/>
    <w:rsid w:val="311E2ED7"/>
    <w:rsid w:val="314B0464"/>
    <w:rsid w:val="31531B52"/>
    <w:rsid w:val="315619EE"/>
    <w:rsid w:val="315C449C"/>
    <w:rsid w:val="31A87524"/>
    <w:rsid w:val="31B82709"/>
    <w:rsid w:val="31BD5C42"/>
    <w:rsid w:val="31D05482"/>
    <w:rsid w:val="322A1CE7"/>
    <w:rsid w:val="32400B34"/>
    <w:rsid w:val="326E62BE"/>
    <w:rsid w:val="329E6876"/>
    <w:rsid w:val="32AA6D58"/>
    <w:rsid w:val="32D1081B"/>
    <w:rsid w:val="32F92FE0"/>
    <w:rsid w:val="331469FE"/>
    <w:rsid w:val="333015F2"/>
    <w:rsid w:val="33392EAE"/>
    <w:rsid w:val="333E3858"/>
    <w:rsid w:val="334B6320"/>
    <w:rsid w:val="334F7A6A"/>
    <w:rsid w:val="33504CE3"/>
    <w:rsid w:val="33A520AD"/>
    <w:rsid w:val="33B37F5C"/>
    <w:rsid w:val="33D934D4"/>
    <w:rsid w:val="33FE2F6A"/>
    <w:rsid w:val="340E07E5"/>
    <w:rsid w:val="3410457E"/>
    <w:rsid w:val="34235BF7"/>
    <w:rsid w:val="343C1FA3"/>
    <w:rsid w:val="343E1A7A"/>
    <w:rsid w:val="34632B73"/>
    <w:rsid w:val="34713BFD"/>
    <w:rsid w:val="34B348E5"/>
    <w:rsid w:val="34B62B98"/>
    <w:rsid w:val="34E12A3F"/>
    <w:rsid w:val="35031632"/>
    <w:rsid w:val="35095756"/>
    <w:rsid w:val="355520E8"/>
    <w:rsid w:val="357B28D6"/>
    <w:rsid w:val="358C5FA8"/>
    <w:rsid w:val="35962B12"/>
    <w:rsid w:val="35C15DF1"/>
    <w:rsid w:val="35EF5721"/>
    <w:rsid w:val="36074A7F"/>
    <w:rsid w:val="361542C4"/>
    <w:rsid w:val="3627628E"/>
    <w:rsid w:val="364D41F6"/>
    <w:rsid w:val="366F42EA"/>
    <w:rsid w:val="36923549"/>
    <w:rsid w:val="36996D7C"/>
    <w:rsid w:val="36B31C26"/>
    <w:rsid w:val="36B75FBF"/>
    <w:rsid w:val="36BD0C45"/>
    <w:rsid w:val="37375527"/>
    <w:rsid w:val="373D36B3"/>
    <w:rsid w:val="376E5B6B"/>
    <w:rsid w:val="37AE52EC"/>
    <w:rsid w:val="37AF141C"/>
    <w:rsid w:val="37DE3DB3"/>
    <w:rsid w:val="37E00298"/>
    <w:rsid w:val="383B5D6A"/>
    <w:rsid w:val="383B7A45"/>
    <w:rsid w:val="38437DAA"/>
    <w:rsid w:val="38B244DB"/>
    <w:rsid w:val="38B302F9"/>
    <w:rsid w:val="38DB65DE"/>
    <w:rsid w:val="38F12CD3"/>
    <w:rsid w:val="38F733E2"/>
    <w:rsid w:val="38F75C43"/>
    <w:rsid w:val="38F94775"/>
    <w:rsid w:val="38FD0DA2"/>
    <w:rsid w:val="39191A9F"/>
    <w:rsid w:val="392971ED"/>
    <w:rsid w:val="39325651"/>
    <w:rsid w:val="394F6581"/>
    <w:rsid w:val="399D5494"/>
    <w:rsid w:val="39A4757E"/>
    <w:rsid w:val="39AA5322"/>
    <w:rsid w:val="39B3411E"/>
    <w:rsid w:val="39C05056"/>
    <w:rsid w:val="39D709A6"/>
    <w:rsid w:val="39DD5A8E"/>
    <w:rsid w:val="3A086B43"/>
    <w:rsid w:val="3A461BDB"/>
    <w:rsid w:val="3A466EE7"/>
    <w:rsid w:val="3A5F274A"/>
    <w:rsid w:val="3A872856"/>
    <w:rsid w:val="3A882A44"/>
    <w:rsid w:val="3AA20CD0"/>
    <w:rsid w:val="3ACA3F2C"/>
    <w:rsid w:val="3AEF66A6"/>
    <w:rsid w:val="3B0A1723"/>
    <w:rsid w:val="3B3763D1"/>
    <w:rsid w:val="3B6E70E8"/>
    <w:rsid w:val="3B7F16BC"/>
    <w:rsid w:val="3BAC5E63"/>
    <w:rsid w:val="3BB43FE1"/>
    <w:rsid w:val="3BB77BB7"/>
    <w:rsid w:val="3BC511F5"/>
    <w:rsid w:val="3BDD23D9"/>
    <w:rsid w:val="3C0E4427"/>
    <w:rsid w:val="3C153A08"/>
    <w:rsid w:val="3C2F6E1E"/>
    <w:rsid w:val="3C4F64BA"/>
    <w:rsid w:val="3C8674A9"/>
    <w:rsid w:val="3C9167CF"/>
    <w:rsid w:val="3C9506A5"/>
    <w:rsid w:val="3CA35CB2"/>
    <w:rsid w:val="3CDA1406"/>
    <w:rsid w:val="3CDA245A"/>
    <w:rsid w:val="3D103128"/>
    <w:rsid w:val="3D196910"/>
    <w:rsid w:val="3D1E06B7"/>
    <w:rsid w:val="3D78255B"/>
    <w:rsid w:val="3DA52731"/>
    <w:rsid w:val="3DC61E40"/>
    <w:rsid w:val="3DC6320C"/>
    <w:rsid w:val="3DFC79EE"/>
    <w:rsid w:val="3E0D77BB"/>
    <w:rsid w:val="3E22755C"/>
    <w:rsid w:val="3E4937F9"/>
    <w:rsid w:val="3EDA0523"/>
    <w:rsid w:val="3EDA5670"/>
    <w:rsid w:val="3EF633FC"/>
    <w:rsid w:val="3EFF4F3D"/>
    <w:rsid w:val="3F152BDD"/>
    <w:rsid w:val="3F3463F4"/>
    <w:rsid w:val="3F5147FF"/>
    <w:rsid w:val="3F5C3C85"/>
    <w:rsid w:val="3F646CE5"/>
    <w:rsid w:val="3F6542F1"/>
    <w:rsid w:val="3F737255"/>
    <w:rsid w:val="3F9A5C00"/>
    <w:rsid w:val="3FA14011"/>
    <w:rsid w:val="3FA56570"/>
    <w:rsid w:val="3FC75019"/>
    <w:rsid w:val="3FF04B62"/>
    <w:rsid w:val="40004488"/>
    <w:rsid w:val="40336DE7"/>
    <w:rsid w:val="405E30CF"/>
    <w:rsid w:val="407A6407"/>
    <w:rsid w:val="40A17565"/>
    <w:rsid w:val="41032081"/>
    <w:rsid w:val="410554A8"/>
    <w:rsid w:val="411F1D27"/>
    <w:rsid w:val="418925FB"/>
    <w:rsid w:val="41972E35"/>
    <w:rsid w:val="41994C09"/>
    <w:rsid w:val="41E02EED"/>
    <w:rsid w:val="4200449D"/>
    <w:rsid w:val="42060617"/>
    <w:rsid w:val="423A3BCC"/>
    <w:rsid w:val="424E57D2"/>
    <w:rsid w:val="425B0A5A"/>
    <w:rsid w:val="429B034A"/>
    <w:rsid w:val="42B26C49"/>
    <w:rsid w:val="42C61C53"/>
    <w:rsid w:val="42DC7654"/>
    <w:rsid w:val="430F6EAC"/>
    <w:rsid w:val="430F6FDC"/>
    <w:rsid w:val="431D0FC2"/>
    <w:rsid w:val="433724B6"/>
    <w:rsid w:val="433A6FE6"/>
    <w:rsid w:val="43480868"/>
    <w:rsid w:val="43486471"/>
    <w:rsid w:val="4350713C"/>
    <w:rsid w:val="435F59E0"/>
    <w:rsid w:val="436653E0"/>
    <w:rsid w:val="438A4615"/>
    <w:rsid w:val="438D0328"/>
    <w:rsid w:val="43A46EDA"/>
    <w:rsid w:val="43C4431A"/>
    <w:rsid w:val="43DB5537"/>
    <w:rsid w:val="43EE087F"/>
    <w:rsid w:val="43F65ECD"/>
    <w:rsid w:val="43F81C45"/>
    <w:rsid w:val="440B3F7B"/>
    <w:rsid w:val="44201C06"/>
    <w:rsid w:val="44312084"/>
    <w:rsid w:val="44383B45"/>
    <w:rsid w:val="44590106"/>
    <w:rsid w:val="44814A97"/>
    <w:rsid w:val="44957494"/>
    <w:rsid w:val="449766AD"/>
    <w:rsid w:val="449B5470"/>
    <w:rsid w:val="44B951CC"/>
    <w:rsid w:val="44CD14E0"/>
    <w:rsid w:val="44DD79AD"/>
    <w:rsid w:val="44EE3048"/>
    <w:rsid w:val="44F20B0B"/>
    <w:rsid w:val="44F37EB1"/>
    <w:rsid w:val="450B65A3"/>
    <w:rsid w:val="450B7626"/>
    <w:rsid w:val="452E5F4C"/>
    <w:rsid w:val="455462EC"/>
    <w:rsid w:val="45612018"/>
    <w:rsid w:val="458946E9"/>
    <w:rsid w:val="45A47C0E"/>
    <w:rsid w:val="45A53EED"/>
    <w:rsid w:val="45B35844"/>
    <w:rsid w:val="45E43B02"/>
    <w:rsid w:val="46577FD6"/>
    <w:rsid w:val="46625A9C"/>
    <w:rsid w:val="46795CCD"/>
    <w:rsid w:val="46910190"/>
    <w:rsid w:val="46AA17AC"/>
    <w:rsid w:val="46C10A14"/>
    <w:rsid w:val="46D955A7"/>
    <w:rsid w:val="47133957"/>
    <w:rsid w:val="471D19C3"/>
    <w:rsid w:val="472D0D10"/>
    <w:rsid w:val="4736049F"/>
    <w:rsid w:val="474549F9"/>
    <w:rsid w:val="475537A3"/>
    <w:rsid w:val="47A07E0C"/>
    <w:rsid w:val="47A53780"/>
    <w:rsid w:val="47B432CE"/>
    <w:rsid w:val="4810485A"/>
    <w:rsid w:val="48271C75"/>
    <w:rsid w:val="482B1743"/>
    <w:rsid w:val="48497018"/>
    <w:rsid w:val="485907D7"/>
    <w:rsid w:val="485B27A2"/>
    <w:rsid w:val="486B540C"/>
    <w:rsid w:val="4870272E"/>
    <w:rsid w:val="487C6594"/>
    <w:rsid w:val="489B514D"/>
    <w:rsid w:val="48B45BAA"/>
    <w:rsid w:val="48B91532"/>
    <w:rsid w:val="49033872"/>
    <w:rsid w:val="49203B38"/>
    <w:rsid w:val="4926601A"/>
    <w:rsid w:val="497D35E7"/>
    <w:rsid w:val="49DC7715"/>
    <w:rsid w:val="4A023139"/>
    <w:rsid w:val="4A2A6383"/>
    <w:rsid w:val="4A4A6F73"/>
    <w:rsid w:val="4A555E98"/>
    <w:rsid w:val="4A615CA0"/>
    <w:rsid w:val="4A7B576F"/>
    <w:rsid w:val="4A857AB2"/>
    <w:rsid w:val="4AE97F15"/>
    <w:rsid w:val="4AED0379"/>
    <w:rsid w:val="4AF561A9"/>
    <w:rsid w:val="4B4B73DD"/>
    <w:rsid w:val="4B857541"/>
    <w:rsid w:val="4BD80A78"/>
    <w:rsid w:val="4BE920CC"/>
    <w:rsid w:val="4C0A349A"/>
    <w:rsid w:val="4C0B1465"/>
    <w:rsid w:val="4C474817"/>
    <w:rsid w:val="4C4A0649"/>
    <w:rsid w:val="4C7E5ECA"/>
    <w:rsid w:val="4C86114F"/>
    <w:rsid w:val="4C876AA5"/>
    <w:rsid w:val="4C9C5986"/>
    <w:rsid w:val="4CA96946"/>
    <w:rsid w:val="4CBD57DA"/>
    <w:rsid w:val="4CC50E08"/>
    <w:rsid w:val="4CCE6461"/>
    <w:rsid w:val="4CEC05C5"/>
    <w:rsid w:val="4D0478AD"/>
    <w:rsid w:val="4D056E71"/>
    <w:rsid w:val="4D0E00FB"/>
    <w:rsid w:val="4D11707B"/>
    <w:rsid w:val="4D176606"/>
    <w:rsid w:val="4D2A2EFE"/>
    <w:rsid w:val="4D3738CE"/>
    <w:rsid w:val="4D4720B1"/>
    <w:rsid w:val="4D512C4F"/>
    <w:rsid w:val="4D604915"/>
    <w:rsid w:val="4DD059E1"/>
    <w:rsid w:val="4DE922D7"/>
    <w:rsid w:val="4DEC4FB0"/>
    <w:rsid w:val="4DF0398D"/>
    <w:rsid w:val="4E075D8A"/>
    <w:rsid w:val="4E2A40E3"/>
    <w:rsid w:val="4E3B7B85"/>
    <w:rsid w:val="4E6C0A75"/>
    <w:rsid w:val="4EAE2119"/>
    <w:rsid w:val="4EB50CBD"/>
    <w:rsid w:val="4EC00FAD"/>
    <w:rsid w:val="4F1F5B5E"/>
    <w:rsid w:val="4F2F6737"/>
    <w:rsid w:val="4F7C5A76"/>
    <w:rsid w:val="4F9843DC"/>
    <w:rsid w:val="4FB56C3C"/>
    <w:rsid w:val="4FBC621D"/>
    <w:rsid w:val="4FC62A8C"/>
    <w:rsid w:val="4FE20F0D"/>
    <w:rsid w:val="4FE51552"/>
    <w:rsid w:val="4FFF590E"/>
    <w:rsid w:val="50357D7D"/>
    <w:rsid w:val="50504C4B"/>
    <w:rsid w:val="5051631A"/>
    <w:rsid w:val="50661466"/>
    <w:rsid w:val="508E09C8"/>
    <w:rsid w:val="50955271"/>
    <w:rsid w:val="509C6E7C"/>
    <w:rsid w:val="50A21234"/>
    <w:rsid w:val="50BE4091"/>
    <w:rsid w:val="50CA3508"/>
    <w:rsid w:val="50D92DFE"/>
    <w:rsid w:val="510E3718"/>
    <w:rsid w:val="511A4F73"/>
    <w:rsid w:val="511B24F4"/>
    <w:rsid w:val="512F7091"/>
    <w:rsid w:val="5162104E"/>
    <w:rsid w:val="51842DFB"/>
    <w:rsid w:val="51FA5237"/>
    <w:rsid w:val="52113E2C"/>
    <w:rsid w:val="52287659"/>
    <w:rsid w:val="527C6137"/>
    <w:rsid w:val="528171C6"/>
    <w:rsid w:val="52896F71"/>
    <w:rsid w:val="52DB5BE5"/>
    <w:rsid w:val="532C1933"/>
    <w:rsid w:val="53477F06"/>
    <w:rsid w:val="5355790F"/>
    <w:rsid w:val="5370423A"/>
    <w:rsid w:val="538238BC"/>
    <w:rsid w:val="53857EB9"/>
    <w:rsid w:val="538708F0"/>
    <w:rsid w:val="539444A6"/>
    <w:rsid w:val="53A039CC"/>
    <w:rsid w:val="53A1505A"/>
    <w:rsid w:val="53A63C91"/>
    <w:rsid w:val="53C10AE7"/>
    <w:rsid w:val="53F412C3"/>
    <w:rsid w:val="54063E08"/>
    <w:rsid w:val="543437E8"/>
    <w:rsid w:val="54396395"/>
    <w:rsid w:val="54414DEB"/>
    <w:rsid w:val="545D31E2"/>
    <w:rsid w:val="547F5A6B"/>
    <w:rsid w:val="54F00C07"/>
    <w:rsid w:val="54F45432"/>
    <w:rsid w:val="54F73313"/>
    <w:rsid w:val="54F80955"/>
    <w:rsid w:val="55411B64"/>
    <w:rsid w:val="555170A7"/>
    <w:rsid w:val="556F2513"/>
    <w:rsid w:val="5572737D"/>
    <w:rsid w:val="5587536D"/>
    <w:rsid w:val="559B174B"/>
    <w:rsid w:val="55B562D2"/>
    <w:rsid w:val="55CE0CF4"/>
    <w:rsid w:val="55CE6BB0"/>
    <w:rsid w:val="55DB0A5F"/>
    <w:rsid w:val="563805C7"/>
    <w:rsid w:val="56584D6C"/>
    <w:rsid w:val="568877C4"/>
    <w:rsid w:val="56A93273"/>
    <w:rsid w:val="56B22A9C"/>
    <w:rsid w:val="56BD768C"/>
    <w:rsid w:val="56CD520B"/>
    <w:rsid w:val="56E11927"/>
    <w:rsid w:val="56F45484"/>
    <w:rsid w:val="571F6B5B"/>
    <w:rsid w:val="57347751"/>
    <w:rsid w:val="57572CCF"/>
    <w:rsid w:val="57626A66"/>
    <w:rsid w:val="57AC2359"/>
    <w:rsid w:val="57B72A76"/>
    <w:rsid w:val="57C3426C"/>
    <w:rsid w:val="57CE1F93"/>
    <w:rsid w:val="57DD72A8"/>
    <w:rsid w:val="57DE0425"/>
    <w:rsid w:val="57EB72A1"/>
    <w:rsid w:val="57FA7E2F"/>
    <w:rsid w:val="58521FFA"/>
    <w:rsid w:val="588743D1"/>
    <w:rsid w:val="5887701A"/>
    <w:rsid w:val="58CA2C18"/>
    <w:rsid w:val="58CE7869"/>
    <w:rsid w:val="58EA1D1E"/>
    <w:rsid w:val="591249EB"/>
    <w:rsid w:val="592B4E39"/>
    <w:rsid w:val="593C7FF3"/>
    <w:rsid w:val="597578F5"/>
    <w:rsid w:val="59A157E7"/>
    <w:rsid w:val="59AC6A96"/>
    <w:rsid w:val="59C0439F"/>
    <w:rsid w:val="59F06A77"/>
    <w:rsid w:val="5A5A6D5E"/>
    <w:rsid w:val="5A7B6CD4"/>
    <w:rsid w:val="5A8B6D18"/>
    <w:rsid w:val="5A901B3A"/>
    <w:rsid w:val="5A9629A7"/>
    <w:rsid w:val="5A9C7F93"/>
    <w:rsid w:val="5ABC5FFA"/>
    <w:rsid w:val="5ABE2233"/>
    <w:rsid w:val="5B063E50"/>
    <w:rsid w:val="5B706DFB"/>
    <w:rsid w:val="5B88699E"/>
    <w:rsid w:val="5B904557"/>
    <w:rsid w:val="5BB028E0"/>
    <w:rsid w:val="5BBF6BEA"/>
    <w:rsid w:val="5BDF5D95"/>
    <w:rsid w:val="5BF96CF3"/>
    <w:rsid w:val="5BFE7528"/>
    <w:rsid w:val="5C163158"/>
    <w:rsid w:val="5C213210"/>
    <w:rsid w:val="5C2B1FC8"/>
    <w:rsid w:val="5C9037CE"/>
    <w:rsid w:val="5CEA552B"/>
    <w:rsid w:val="5CEC77C1"/>
    <w:rsid w:val="5D203BEC"/>
    <w:rsid w:val="5E0B441A"/>
    <w:rsid w:val="5E1D0669"/>
    <w:rsid w:val="5E2467F1"/>
    <w:rsid w:val="5E7C343F"/>
    <w:rsid w:val="5E8412B9"/>
    <w:rsid w:val="5E8D11BA"/>
    <w:rsid w:val="5E9C00EB"/>
    <w:rsid w:val="5EC724E8"/>
    <w:rsid w:val="5F1031D6"/>
    <w:rsid w:val="5F121C28"/>
    <w:rsid w:val="5F132A68"/>
    <w:rsid w:val="5F1A2B43"/>
    <w:rsid w:val="5F1B37CE"/>
    <w:rsid w:val="5FB837BB"/>
    <w:rsid w:val="5FDA12EA"/>
    <w:rsid w:val="602E0661"/>
    <w:rsid w:val="60541BBF"/>
    <w:rsid w:val="606957AE"/>
    <w:rsid w:val="60984495"/>
    <w:rsid w:val="60CB31AE"/>
    <w:rsid w:val="60CC405A"/>
    <w:rsid w:val="60EC5F7A"/>
    <w:rsid w:val="60F4420E"/>
    <w:rsid w:val="610F6AD4"/>
    <w:rsid w:val="61192282"/>
    <w:rsid w:val="6142679E"/>
    <w:rsid w:val="61914CA7"/>
    <w:rsid w:val="61C5330C"/>
    <w:rsid w:val="61C9247D"/>
    <w:rsid w:val="61CA024C"/>
    <w:rsid w:val="61E215D8"/>
    <w:rsid w:val="61EC13D7"/>
    <w:rsid w:val="61FF588A"/>
    <w:rsid w:val="621B3277"/>
    <w:rsid w:val="621B3775"/>
    <w:rsid w:val="62316454"/>
    <w:rsid w:val="62364782"/>
    <w:rsid w:val="62713E4E"/>
    <w:rsid w:val="62877B22"/>
    <w:rsid w:val="62926C76"/>
    <w:rsid w:val="62A70C0A"/>
    <w:rsid w:val="62C24738"/>
    <w:rsid w:val="62FE49E4"/>
    <w:rsid w:val="631C645C"/>
    <w:rsid w:val="63690795"/>
    <w:rsid w:val="6394356A"/>
    <w:rsid w:val="63C61B2C"/>
    <w:rsid w:val="63D17DAE"/>
    <w:rsid w:val="63D40BE9"/>
    <w:rsid w:val="64102431"/>
    <w:rsid w:val="643D690A"/>
    <w:rsid w:val="64710657"/>
    <w:rsid w:val="648F6D62"/>
    <w:rsid w:val="64A5243A"/>
    <w:rsid w:val="64D61F15"/>
    <w:rsid w:val="64F46001"/>
    <w:rsid w:val="64F531DE"/>
    <w:rsid w:val="651F307E"/>
    <w:rsid w:val="652564B0"/>
    <w:rsid w:val="65373578"/>
    <w:rsid w:val="65622C98"/>
    <w:rsid w:val="65846462"/>
    <w:rsid w:val="65C6174B"/>
    <w:rsid w:val="660B5BF0"/>
    <w:rsid w:val="6618355F"/>
    <w:rsid w:val="662F2232"/>
    <w:rsid w:val="66533267"/>
    <w:rsid w:val="666F0042"/>
    <w:rsid w:val="66800924"/>
    <w:rsid w:val="66B22CA4"/>
    <w:rsid w:val="66C832A1"/>
    <w:rsid w:val="66D2624B"/>
    <w:rsid w:val="66DB1B4D"/>
    <w:rsid w:val="66E07B36"/>
    <w:rsid w:val="670834E8"/>
    <w:rsid w:val="671F124A"/>
    <w:rsid w:val="67335397"/>
    <w:rsid w:val="675B346C"/>
    <w:rsid w:val="676E0BBD"/>
    <w:rsid w:val="677A33C6"/>
    <w:rsid w:val="677C594F"/>
    <w:rsid w:val="677E2E0C"/>
    <w:rsid w:val="679F6B73"/>
    <w:rsid w:val="67DC7C94"/>
    <w:rsid w:val="67E367F1"/>
    <w:rsid w:val="681F6961"/>
    <w:rsid w:val="6826674A"/>
    <w:rsid w:val="682E607D"/>
    <w:rsid w:val="684352D5"/>
    <w:rsid w:val="68610A2F"/>
    <w:rsid w:val="687C6A42"/>
    <w:rsid w:val="68805514"/>
    <w:rsid w:val="68AA23CD"/>
    <w:rsid w:val="68B70354"/>
    <w:rsid w:val="68F465CF"/>
    <w:rsid w:val="6917406C"/>
    <w:rsid w:val="69316E2F"/>
    <w:rsid w:val="694E2071"/>
    <w:rsid w:val="695F2BF0"/>
    <w:rsid w:val="69766163"/>
    <w:rsid w:val="697A3B33"/>
    <w:rsid w:val="69D44760"/>
    <w:rsid w:val="6A203EB8"/>
    <w:rsid w:val="6A3D1A35"/>
    <w:rsid w:val="6A520EC7"/>
    <w:rsid w:val="6A732648"/>
    <w:rsid w:val="6ACF0C65"/>
    <w:rsid w:val="6AD06BC8"/>
    <w:rsid w:val="6AF12C45"/>
    <w:rsid w:val="6AF87E20"/>
    <w:rsid w:val="6B322639"/>
    <w:rsid w:val="6B4748BE"/>
    <w:rsid w:val="6B883AD8"/>
    <w:rsid w:val="6B885550"/>
    <w:rsid w:val="6B8F236E"/>
    <w:rsid w:val="6BA717F9"/>
    <w:rsid w:val="6BD72DB0"/>
    <w:rsid w:val="6C33751D"/>
    <w:rsid w:val="6C375151"/>
    <w:rsid w:val="6C636C38"/>
    <w:rsid w:val="6C6C4CB7"/>
    <w:rsid w:val="6C893DFB"/>
    <w:rsid w:val="6C89446A"/>
    <w:rsid w:val="6CCD48CB"/>
    <w:rsid w:val="6CCE0EE6"/>
    <w:rsid w:val="6CD95E3A"/>
    <w:rsid w:val="6D257CBF"/>
    <w:rsid w:val="6D461C2D"/>
    <w:rsid w:val="6D622E7C"/>
    <w:rsid w:val="6D77157D"/>
    <w:rsid w:val="6DA34A7F"/>
    <w:rsid w:val="6DAA423A"/>
    <w:rsid w:val="6DB34098"/>
    <w:rsid w:val="6DB545B6"/>
    <w:rsid w:val="6DBC7D2D"/>
    <w:rsid w:val="6DC01C04"/>
    <w:rsid w:val="6DCC38D7"/>
    <w:rsid w:val="6DE02FB4"/>
    <w:rsid w:val="6DE92ADF"/>
    <w:rsid w:val="6E3C654B"/>
    <w:rsid w:val="6E514CED"/>
    <w:rsid w:val="6E5D1E8C"/>
    <w:rsid w:val="6E731639"/>
    <w:rsid w:val="6E7F693B"/>
    <w:rsid w:val="6EB01E99"/>
    <w:rsid w:val="6EB563D5"/>
    <w:rsid w:val="6ECA0FEF"/>
    <w:rsid w:val="6ECE4CE3"/>
    <w:rsid w:val="6ED92677"/>
    <w:rsid w:val="6EEE6ED5"/>
    <w:rsid w:val="6F00293A"/>
    <w:rsid w:val="6F0034F2"/>
    <w:rsid w:val="6F225983"/>
    <w:rsid w:val="6F3D2B4D"/>
    <w:rsid w:val="6F6D2C38"/>
    <w:rsid w:val="6F70684E"/>
    <w:rsid w:val="6FA7433A"/>
    <w:rsid w:val="6FBE2670"/>
    <w:rsid w:val="6FCA2B67"/>
    <w:rsid w:val="6FFC5590"/>
    <w:rsid w:val="7026268D"/>
    <w:rsid w:val="70306718"/>
    <w:rsid w:val="706D1DD0"/>
    <w:rsid w:val="70724CEC"/>
    <w:rsid w:val="70785B5B"/>
    <w:rsid w:val="70856B87"/>
    <w:rsid w:val="70950698"/>
    <w:rsid w:val="70B34303"/>
    <w:rsid w:val="70D527EE"/>
    <w:rsid w:val="712A6591"/>
    <w:rsid w:val="71336E1D"/>
    <w:rsid w:val="71522D7A"/>
    <w:rsid w:val="715B5300"/>
    <w:rsid w:val="71A43844"/>
    <w:rsid w:val="71CC144E"/>
    <w:rsid w:val="71D27F8A"/>
    <w:rsid w:val="72294F9B"/>
    <w:rsid w:val="724B38B5"/>
    <w:rsid w:val="72553024"/>
    <w:rsid w:val="726D7DC7"/>
    <w:rsid w:val="72707425"/>
    <w:rsid w:val="727E1A1D"/>
    <w:rsid w:val="729230A6"/>
    <w:rsid w:val="72987507"/>
    <w:rsid w:val="72CF7E40"/>
    <w:rsid w:val="73004EF2"/>
    <w:rsid w:val="73075986"/>
    <w:rsid w:val="73122968"/>
    <w:rsid w:val="731F5D5E"/>
    <w:rsid w:val="73222990"/>
    <w:rsid w:val="73441F01"/>
    <w:rsid w:val="73A73392"/>
    <w:rsid w:val="73AA4AA1"/>
    <w:rsid w:val="73B375FA"/>
    <w:rsid w:val="73C51AD5"/>
    <w:rsid w:val="73EF4563"/>
    <w:rsid w:val="74026D79"/>
    <w:rsid w:val="741E793C"/>
    <w:rsid w:val="743C339E"/>
    <w:rsid w:val="744B5282"/>
    <w:rsid w:val="74590EB0"/>
    <w:rsid w:val="745E3944"/>
    <w:rsid w:val="746A1B51"/>
    <w:rsid w:val="746A7C19"/>
    <w:rsid w:val="748F408B"/>
    <w:rsid w:val="74BB2B5E"/>
    <w:rsid w:val="74D26607"/>
    <w:rsid w:val="74D315ED"/>
    <w:rsid w:val="74E028D8"/>
    <w:rsid w:val="74F57E3F"/>
    <w:rsid w:val="759E59A3"/>
    <w:rsid w:val="75C9253B"/>
    <w:rsid w:val="75CB690A"/>
    <w:rsid w:val="75CE4858"/>
    <w:rsid w:val="75FC6AC3"/>
    <w:rsid w:val="7635099D"/>
    <w:rsid w:val="76803804"/>
    <w:rsid w:val="76832AC1"/>
    <w:rsid w:val="7696160E"/>
    <w:rsid w:val="76BF646F"/>
    <w:rsid w:val="771E5047"/>
    <w:rsid w:val="773E07C2"/>
    <w:rsid w:val="77762421"/>
    <w:rsid w:val="7783749C"/>
    <w:rsid w:val="77B56B1F"/>
    <w:rsid w:val="77BE29B2"/>
    <w:rsid w:val="77BF249E"/>
    <w:rsid w:val="77E02721"/>
    <w:rsid w:val="78000AED"/>
    <w:rsid w:val="78001307"/>
    <w:rsid w:val="78026C14"/>
    <w:rsid w:val="78032F7A"/>
    <w:rsid w:val="780F09F4"/>
    <w:rsid w:val="7818425D"/>
    <w:rsid w:val="781A478F"/>
    <w:rsid w:val="781C6282"/>
    <w:rsid w:val="78324C1D"/>
    <w:rsid w:val="784A46FD"/>
    <w:rsid w:val="784B788E"/>
    <w:rsid w:val="786106E5"/>
    <w:rsid w:val="786718BD"/>
    <w:rsid w:val="788B2D15"/>
    <w:rsid w:val="788D7E3D"/>
    <w:rsid w:val="78A5551D"/>
    <w:rsid w:val="78A90480"/>
    <w:rsid w:val="78D9400D"/>
    <w:rsid w:val="78DA6689"/>
    <w:rsid w:val="78E7713F"/>
    <w:rsid w:val="78E913DF"/>
    <w:rsid w:val="79282A9A"/>
    <w:rsid w:val="79317956"/>
    <w:rsid w:val="79444166"/>
    <w:rsid w:val="79764F6E"/>
    <w:rsid w:val="797D0DD1"/>
    <w:rsid w:val="798464A2"/>
    <w:rsid w:val="79886E95"/>
    <w:rsid w:val="79A9525C"/>
    <w:rsid w:val="79C20E75"/>
    <w:rsid w:val="7A356A48"/>
    <w:rsid w:val="7A357E3C"/>
    <w:rsid w:val="7A364017"/>
    <w:rsid w:val="7A4921B7"/>
    <w:rsid w:val="7A5E2AE8"/>
    <w:rsid w:val="7A61317E"/>
    <w:rsid w:val="7A8265E1"/>
    <w:rsid w:val="7A897B4C"/>
    <w:rsid w:val="7A8C5380"/>
    <w:rsid w:val="7A957775"/>
    <w:rsid w:val="7ABD4BC3"/>
    <w:rsid w:val="7AD41DBD"/>
    <w:rsid w:val="7AD63C8B"/>
    <w:rsid w:val="7B173F98"/>
    <w:rsid w:val="7B686D42"/>
    <w:rsid w:val="7B841746"/>
    <w:rsid w:val="7BE6702F"/>
    <w:rsid w:val="7C266815"/>
    <w:rsid w:val="7C2F094C"/>
    <w:rsid w:val="7C4A4B58"/>
    <w:rsid w:val="7C674791"/>
    <w:rsid w:val="7C6C5AC7"/>
    <w:rsid w:val="7CBC106E"/>
    <w:rsid w:val="7CC6544B"/>
    <w:rsid w:val="7CF27B8C"/>
    <w:rsid w:val="7CF34973"/>
    <w:rsid w:val="7D0239FF"/>
    <w:rsid w:val="7D425E4E"/>
    <w:rsid w:val="7D580A83"/>
    <w:rsid w:val="7D5E2D6C"/>
    <w:rsid w:val="7D5E40CD"/>
    <w:rsid w:val="7D676E06"/>
    <w:rsid w:val="7D9447BC"/>
    <w:rsid w:val="7DC24CFD"/>
    <w:rsid w:val="7DCD56F2"/>
    <w:rsid w:val="7DFC3616"/>
    <w:rsid w:val="7E096241"/>
    <w:rsid w:val="7E220582"/>
    <w:rsid w:val="7E385624"/>
    <w:rsid w:val="7E45714A"/>
    <w:rsid w:val="7E575995"/>
    <w:rsid w:val="7EAC5EE6"/>
    <w:rsid w:val="7EB760B3"/>
    <w:rsid w:val="7EBF6908"/>
    <w:rsid w:val="7ECB430D"/>
    <w:rsid w:val="7F001611"/>
    <w:rsid w:val="7F001CE7"/>
    <w:rsid w:val="7F1B4FE1"/>
    <w:rsid w:val="7F3F1CCB"/>
    <w:rsid w:val="7F7F0AE8"/>
    <w:rsid w:val="7F9E1D74"/>
    <w:rsid w:val="7FA85531"/>
    <w:rsid w:val="7FB118A2"/>
    <w:rsid w:val="7FCA3AD2"/>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9"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qFormat="1" w:unhideWhenUsed="0" w:uiPriority="0" w:semiHidden="0" w:name="toc 5" w:locked="1"/>
    <w:lsdException w:qFormat="1"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qFormat="1"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99"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0"/>
    <w:qFormat/>
    <w:locked/>
    <w:uiPriority w:val="0"/>
    <w:pPr>
      <w:keepNext/>
      <w:keepLines/>
      <w:numPr>
        <w:ilvl w:val="1"/>
        <w:numId w:val="1"/>
      </w:numPr>
      <w:autoSpaceDE w:val="0"/>
      <w:autoSpaceDN w:val="0"/>
      <w:adjustRightInd w:val="0"/>
      <w:spacing w:before="120" w:after="120" w:line="360" w:lineRule="atLeast"/>
      <w:textAlignment w:val="baseline"/>
      <w:outlineLvl w:val="1"/>
    </w:pPr>
    <w:rPr>
      <w:rFonts w:ascii="宋体" w:hAnsi="Arial" w:eastAsia="楷体_GB2312"/>
      <w:b/>
      <w:kern w:val="24"/>
      <w:sz w:val="24"/>
      <w:szCs w:val="20"/>
    </w:rPr>
  </w:style>
  <w:style w:type="paragraph" w:styleId="4">
    <w:name w:val="heading 3"/>
    <w:basedOn w:val="1"/>
    <w:next w:val="1"/>
    <w:link w:val="71"/>
    <w:qFormat/>
    <w:locked/>
    <w:uiPriority w:val="0"/>
    <w:pPr>
      <w:keepNext/>
      <w:keepLines/>
      <w:numPr>
        <w:ilvl w:val="2"/>
        <w:numId w:val="1"/>
      </w:numPr>
      <w:adjustRightInd w:val="0"/>
      <w:spacing w:line="360" w:lineRule="atLeast"/>
      <w:textAlignment w:val="baseline"/>
      <w:outlineLvl w:val="2"/>
    </w:pPr>
    <w:rPr>
      <w:b/>
      <w:sz w:val="28"/>
      <w:szCs w:val="20"/>
    </w:rPr>
  </w:style>
  <w:style w:type="paragraph" w:styleId="5">
    <w:name w:val="heading 4"/>
    <w:basedOn w:val="6"/>
    <w:next w:val="1"/>
    <w:link w:val="72"/>
    <w:qFormat/>
    <w:locked/>
    <w:uiPriority w:val="0"/>
    <w:pPr>
      <w:keepNext/>
      <w:keepLines/>
      <w:spacing w:before="280" w:after="290" w:line="374" w:lineRule="auto"/>
      <w:outlineLvl w:val="3"/>
    </w:pPr>
    <w:rPr>
      <w:rFonts w:ascii="Arial" w:hAnsi="Arial" w:eastAsia="黑体"/>
      <w:b/>
      <w:sz w:val="28"/>
      <w:szCs w:val="20"/>
    </w:rPr>
  </w:style>
  <w:style w:type="paragraph" w:styleId="7">
    <w:name w:val="heading 5"/>
    <w:basedOn w:val="1"/>
    <w:next w:val="1"/>
    <w:link w:val="73"/>
    <w:qFormat/>
    <w:locked/>
    <w:uiPriority w:val="9"/>
    <w:pPr>
      <w:keepNext/>
      <w:keepLines/>
      <w:numPr>
        <w:ilvl w:val="4"/>
        <w:numId w:val="2"/>
      </w:numPr>
      <w:tabs>
        <w:tab w:val="left" w:pos="1080"/>
        <w:tab w:val="clear" w:pos="1008"/>
      </w:tabs>
      <w:adjustRightInd w:val="0"/>
      <w:snapToGrid w:val="0"/>
      <w:spacing w:before="280" w:after="290" w:line="376" w:lineRule="auto"/>
      <w:outlineLvl w:val="4"/>
    </w:pPr>
    <w:rPr>
      <w:rFonts w:eastAsia="仿宋_GB2312"/>
      <w:b/>
      <w:sz w:val="28"/>
      <w:szCs w:val="28"/>
    </w:rPr>
  </w:style>
  <w:style w:type="paragraph" w:styleId="8">
    <w:name w:val="heading 6"/>
    <w:basedOn w:val="1"/>
    <w:next w:val="1"/>
    <w:link w:val="74"/>
    <w:qFormat/>
    <w:locked/>
    <w:uiPriority w:val="0"/>
    <w:pPr>
      <w:keepNext/>
      <w:keepLines/>
      <w:numPr>
        <w:ilvl w:val="5"/>
        <w:numId w:val="2"/>
      </w:numPr>
      <w:tabs>
        <w:tab w:val="left" w:pos="1440"/>
        <w:tab w:val="clear" w:pos="1152"/>
      </w:tabs>
      <w:adjustRightInd w:val="0"/>
      <w:snapToGrid w:val="0"/>
      <w:spacing w:before="240" w:after="64" w:line="320" w:lineRule="auto"/>
      <w:outlineLvl w:val="5"/>
    </w:pPr>
    <w:rPr>
      <w:rFonts w:ascii="Arial" w:hAnsi="Arial" w:eastAsia="黑体"/>
      <w:b/>
      <w:sz w:val="24"/>
      <w:szCs w:val="32"/>
    </w:rPr>
  </w:style>
  <w:style w:type="paragraph" w:styleId="9">
    <w:name w:val="heading 7"/>
    <w:basedOn w:val="1"/>
    <w:next w:val="1"/>
    <w:link w:val="75"/>
    <w:qFormat/>
    <w:locked/>
    <w:uiPriority w:val="0"/>
    <w:pPr>
      <w:keepNext/>
      <w:keepLines/>
      <w:numPr>
        <w:ilvl w:val="6"/>
        <w:numId w:val="2"/>
      </w:numPr>
      <w:tabs>
        <w:tab w:val="left" w:pos="1800"/>
        <w:tab w:val="clear" w:pos="1296"/>
      </w:tabs>
      <w:adjustRightInd w:val="0"/>
      <w:snapToGrid w:val="0"/>
      <w:spacing w:before="240" w:after="64" w:line="320" w:lineRule="auto"/>
      <w:outlineLvl w:val="6"/>
    </w:pPr>
    <w:rPr>
      <w:rFonts w:eastAsia="仿宋_GB2312"/>
      <w:b/>
      <w:sz w:val="24"/>
      <w:szCs w:val="32"/>
    </w:rPr>
  </w:style>
  <w:style w:type="paragraph" w:styleId="10">
    <w:name w:val="heading 8"/>
    <w:basedOn w:val="1"/>
    <w:next w:val="1"/>
    <w:link w:val="76"/>
    <w:qFormat/>
    <w:locked/>
    <w:uiPriority w:val="0"/>
    <w:pPr>
      <w:keepNext/>
      <w:keepLines/>
      <w:numPr>
        <w:ilvl w:val="7"/>
        <w:numId w:val="2"/>
      </w:numPr>
      <w:tabs>
        <w:tab w:val="left" w:pos="2160"/>
        <w:tab w:val="clear" w:pos="1440"/>
      </w:tabs>
      <w:adjustRightInd w:val="0"/>
      <w:snapToGrid w:val="0"/>
      <w:spacing w:before="240" w:after="64" w:line="320" w:lineRule="auto"/>
      <w:outlineLvl w:val="7"/>
    </w:pPr>
    <w:rPr>
      <w:rFonts w:ascii="Arial" w:hAnsi="Arial" w:eastAsia="黑体"/>
      <w:bCs/>
      <w:sz w:val="24"/>
      <w:szCs w:val="32"/>
    </w:rPr>
  </w:style>
  <w:style w:type="paragraph" w:styleId="11">
    <w:name w:val="heading 9"/>
    <w:basedOn w:val="1"/>
    <w:next w:val="1"/>
    <w:link w:val="77"/>
    <w:qFormat/>
    <w:locked/>
    <w:uiPriority w:val="0"/>
    <w:pPr>
      <w:keepNext/>
      <w:keepLines/>
      <w:numPr>
        <w:ilvl w:val="8"/>
        <w:numId w:val="2"/>
      </w:numPr>
      <w:tabs>
        <w:tab w:val="left" w:pos="2160"/>
        <w:tab w:val="clear" w:pos="1584"/>
      </w:tabs>
      <w:adjustRightInd w:val="0"/>
      <w:snapToGrid w:val="0"/>
      <w:spacing w:before="240" w:after="64" w:line="320" w:lineRule="auto"/>
      <w:outlineLvl w:val="8"/>
    </w:pPr>
    <w:rPr>
      <w:rFonts w:ascii="Arial" w:hAnsi="Arial" w:eastAsia="黑体"/>
      <w:bCs/>
      <w:sz w:val="28"/>
      <w:szCs w:val="21"/>
    </w:rPr>
  </w:style>
  <w:style w:type="character" w:default="1" w:styleId="49">
    <w:name w:val="Default Paragraph Font"/>
    <w:semiHidden/>
    <w:qFormat/>
    <w:uiPriority w:val="0"/>
  </w:style>
  <w:style w:type="table" w:default="1" w:styleId="47">
    <w:name w:val="Normal Table"/>
    <w:semiHidden/>
    <w:qFormat/>
    <w:uiPriority w:val="0"/>
    <w:tblPr>
      <w:tblCellMar>
        <w:top w:w="0" w:type="dxa"/>
        <w:left w:w="108" w:type="dxa"/>
        <w:bottom w:w="0" w:type="dxa"/>
        <w:right w:w="108" w:type="dxa"/>
      </w:tblCellMar>
    </w:tblPr>
  </w:style>
  <w:style w:type="paragraph" w:styleId="6">
    <w:name w:val="List Paragraph"/>
    <w:basedOn w:val="1"/>
    <w:autoRedefine/>
    <w:qFormat/>
    <w:uiPriority w:val="99"/>
    <w:pPr>
      <w:ind w:firstLine="420" w:firstLineChars="200"/>
    </w:pPr>
  </w:style>
  <w:style w:type="paragraph" w:styleId="12">
    <w:name w:val="Normal Indent"/>
    <w:basedOn w:val="1"/>
    <w:link w:val="78"/>
    <w:qFormat/>
    <w:locked/>
    <w:uiPriority w:val="0"/>
    <w:pPr>
      <w:adjustRightInd w:val="0"/>
      <w:snapToGrid w:val="0"/>
      <w:spacing w:line="300" w:lineRule="auto"/>
      <w:ind w:firstLine="200" w:firstLineChars="200"/>
    </w:pPr>
    <w:rPr>
      <w:rFonts w:ascii="仿宋_GB2312" w:eastAsia="仿宋_GB2312"/>
      <w:sz w:val="28"/>
      <w:szCs w:val="20"/>
    </w:rPr>
  </w:style>
  <w:style w:type="paragraph" w:styleId="13">
    <w:name w:val="caption"/>
    <w:basedOn w:val="1"/>
    <w:next w:val="1"/>
    <w:link w:val="79"/>
    <w:qFormat/>
    <w:locked/>
    <w:uiPriority w:val="0"/>
    <w:pPr>
      <w:adjustRightInd w:val="0"/>
      <w:snapToGrid w:val="0"/>
      <w:spacing w:line="360" w:lineRule="auto"/>
      <w:jc w:val="center"/>
    </w:pPr>
    <w:rPr>
      <w:rFonts w:eastAsia="黑体"/>
      <w:sz w:val="24"/>
      <w:szCs w:val="20"/>
    </w:rPr>
  </w:style>
  <w:style w:type="paragraph" w:styleId="14">
    <w:name w:val="Document Map"/>
    <w:basedOn w:val="1"/>
    <w:link w:val="80"/>
    <w:qFormat/>
    <w:locked/>
    <w:uiPriority w:val="0"/>
    <w:pPr>
      <w:shd w:val="clear" w:color="auto" w:fill="000080"/>
    </w:pPr>
    <w:rPr>
      <w:szCs w:val="20"/>
    </w:rPr>
  </w:style>
  <w:style w:type="paragraph" w:styleId="15">
    <w:name w:val="annotation text"/>
    <w:basedOn w:val="1"/>
    <w:link w:val="81"/>
    <w:qFormat/>
    <w:uiPriority w:val="0"/>
    <w:pPr>
      <w:jc w:val="left"/>
    </w:pPr>
    <w:rPr>
      <w:kern w:val="0"/>
      <w:sz w:val="24"/>
      <w:szCs w:val="20"/>
    </w:rPr>
  </w:style>
  <w:style w:type="paragraph" w:styleId="16">
    <w:name w:val="Salutation"/>
    <w:basedOn w:val="1"/>
    <w:next w:val="1"/>
    <w:semiHidden/>
    <w:qFormat/>
    <w:locked/>
    <w:uiPriority w:val="99"/>
    <w:pPr>
      <w:pBdr>
        <w:top w:val="single" w:color="auto" w:sz="4" w:space="1"/>
      </w:pBdr>
      <w:adjustRightInd w:val="0"/>
      <w:spacing w:line="360" w:lineRule="atLeast"/>
      <w:jc w:val="left"/>
      <w:textAlignment w:val="baseline"/>
    </w:pPr>
    <w:rPr>
      <w:kern w:val="0"/>
    </w:rPr>
  </w:style>
  <w:style w:type="paragraph" w:styleId="17">
    <w:name w:val="Body Text 3"/>
    <w:basedOn w:val="1"/>
    <w:link w:val="82"/>
    <w:qFormat/>
    <w:locked/>
    <w:uiPriority w:val="0"/>
    <w:pPr>
      <w:spacing w:after="120"/>
    </w:pPr>
    <w:rPr>
      <w:sz w:val="16"/>
      <w:szCs w:val="16"/>
    </w:rPr>
  </w:style>
  <w:style w:type="paragraph" w:styleId="18">
    <w:name w:val="Body Text"/>
    <w:basedOn w:val="1"/>
    <w:link w:val="68"/>
    <w:qFormat/>
    <w:uiPriority w:val="0"/>
    <w:pPr>
      <w:widowControl/>
      <w:snapToGrid w:val="0"/>
      <w:spacing w:before="60" w:after="160" w:line="259" w:lineRule="auto"/>
      <w:ind w:right="113"/>
    </w:pPr>
    <w:rPr>
      <w:kern w:val="0"/>
      <w:sz w:val="18"/>
      <w:szCs w:val="20"/>
    </w:rPr>
  </w:style>
  <w:style w:type="paragraph" w:styleId="19">
    <w:name w:val="Body Text Indent"/>
    <w:basedOn w:val="1"/>
    <w:next w:val="1"/>
    <w:link w:val="83"/>
    <w:qFormat/>
    <w:uiPriority w:val="0"/>
    <w:pPr>
      <w:spacing w:after="120"/>
      <w:ind w:left="420" w:leftChars="200"/>
    </w:pPr>
    <w:rPr>
      <w:kern w:val="0"/>
      <w:sz w:val="24"/>
      <w:szCs w:val="20"/>
    </w:rPr>
  </w:style>
  <w:style w:type="paragraph" w:styleId="20">
    <w:name w:val="List 2"/>
    <w:basedOn w:val="1"/>
    <w:qFormat/>
    <w:locked/>
    <w:uiPriority w:val="0"/>
    <w:pPr>
      <w:ind w:left="100" w:leftChars="200" w:hanging="200" w:hangingChars="200"/>
      <w:contextualSpacing/>
    </w:pPr>
    <w:rPr>
      <w:szCs w:val="20"/>
    </w:rPr>
  </w:style>
  <w:style w:type="paragraph" w:styleId="21">
    <w:name w:val="Block Text"/>
    <w:basedOn w:val="1"/>
    <w:qFormat/>
    <w:locked/>
    <w:uiPriority w:val="0"/>
    <w:pPr>
      <w:tabs>
        <w:tab w:val="left" w:pos="360"/>
      </w:tabs>
      <w:spacing w:line="360" w:lineRule="auto"/>
      <w:ind w:left="360" w:right="-714" w:rightChars="-340"/>
    </w:pPr>
    <w:rPr>
      <w:rFonts w:ascii="宋体" w:hAnsi="宋体"/>
      <w:kern w:val="0"/>
      <w:sz w:val="24"/>
    </w:rPr>
  </w:style>
  <w:style w:type="paragraph" w:styleId="22">
    <w:name w:val="toc 5"/>
    <w:basedOn w:val="1"/>
    <w:next w:val="1"/>
    <w:qFormat/>
    <w:locked/>
    <w:uiPriority w:val="0"/>
    <w:rPr>
      <w:sz w:val="24"/>
      <w:szCs w:val="21"/>
    </w:rPr>
  </w:style>
  <w:style w:type="paragraph" w:styleId="23">
    <w:name w:val="Plain Text"/>
    <w:basedOn w:val="1"/>
    <w:next w:val="16"/>
    <w:link w:val="84"/>
    <w:qFormat/>
    <w:locked/>
    <w:uiPriority w:val="0"/>
    <w:rPr>
      <w:rFonts w:ascii="宋体" w:hAnsi="Courier New"/>
      <w:sz w:val="28"/>
      <w:szCs w:val="20"/>
    </w:rPr>
  </w:style>
  <w:style w:type="paragraph" w:styleId="24">
    <w:name w:val="List Bullet 5"/>
    <w:basedOn w:val="1"/>
    <w:qFormat/>
    <w:locked/>
    <w:uiPriority w:val="0"/>
    <w:pPr>
      <w:numPr>
        <w:ilvl w:val="0"/>
        <w:numId w:val="3"/>
      </w:numPr>
    </w:pPr>
  </w:style>
  <w:style w:type="paragraph" w:styleId="25">
    <w:name w:val="Date"/>
    <w:basedOn w:val="1"/>
    <w:next w:val="1"/>
    <w:link w:val="85"/>
    <w:qFormat/>
    <w:uiPriority w:val="0"/>
    <w:pPr>
      <w:ind w:left="100" w:leftChars="2500"/>
    </w:pPr>
    <w:rPr>
      <w:kern w:val="0"/>
      <w:sz w:val="24"/>
      <w:szCs w:val="20"/>
    </w:rPr>
  </w:style>
  <w:style w:type="paragraph" w:styleId="26">
    <w:name w:val="Body Text Indent 2"/>
    <w:basedOn w:val="1"/>
    <w:next w:val="27"/>
    <w:link w:val="86"/>
    <w:qFormat/>
    <w:locked/>
    <w:uiPriority w:val="0"/>
    <w:pPr>
      <w:ind w:firstLine="480" w:firstLineChars="200"/>
    </w:pPr>
    <w:rPr>
      <w:rFonts w:ascii="宋体" w:hAnsi="宋体"/>
      <w:sz w:val="24"/>
      <w:szCs w:val="20"/>
    </w:rPr>
  </w:style>
  <w:style w:type="paragraph" w:styleId="27">
    <w:name w:val="Body Text First Indent 2"/>
    <w:basedOn w:val="1"/>
    <w:next w:val="1"/>
    <w:link w:val="98"/>
    <w:qFormat/>
    <w:locked/>
    <w:uiPriority w:val="0"/>
    <w:pPr>
      <w:ind w:firstLine="420" w:firstLineChars="200"/>
    </w:pPr>
    <w:rPr>
      <w:kern w:val="2"/>
    </w:rPr>
  </w:style>
  <w:style w:type="paragraph" w:styleId="28">
    <w:name w:val="Balloon Text"/>
    <w:basedOn w:val="1"/>
    <w:link w:val="87"/>
    <w:qFormat/>
    <w:uiPriority w:val="0"/>
    <w:rPr>
      <w:kern w:val="0"/>
      <w:sz w:val="18"/>
      <w:szCs w:val="20"/>
    </w:rPr>
  </w:style>
  <w:style w:type="paragraph" w:styleId="29">
    <w:name w:val="footer"/>
    <w:basedOn w:val="1"/>
    <w:link w:val="88"/>
    <w:qFormat/>
    <w:uiPriority w:val="0"/>
    <w:pPr>
      <w:tabs>
        <w:tab w:val="center" w:pos="4153"/>
        <w:tab w:val="right" w:pos="8306"/>
      </w:tabs>
      <w:snapToGrid w:val="0"/>
      <w:jc w:val="left"/>
    </w:pPr>
    <w:rPr>
      <w:kern w:val="0"/>
      <w:sz w:val="18"/>
      <w:szCs w:val="20"/>
    </w:rPr>
  </w:style>
  <w:style w:type="paragraph" w:styleId="30">
    <w:name w:val="header"/>
    <w:basedOn w:val="1"/>
    <w:link w:val="89"/>
    <w:qFormat/>
    <w:uiPriority w:val="0"/>
    <w:pPr>
      <w:pBdr>
        <w:bottom w:val="single" w:color="auto" w:sz="6" w:space="1"/>
      </w:pBdr>
      <w:tabs>
        <w:tab w:val="center" w:pos="4153"/>
        <w:tab w:val="right" w:pos="8306"/>
      </w:tabs>
      <w:snapToGrid w:val="0"/>
      <w:jc w:val="center"/>
    </w:pPr>
    <w:rPr>
      <w:kern w:val="0"/>
      <w:sz w:val="18"/>
      <w:szCs w:val="20"/>
    </w:rPr>
  </w:style>
  <w:style w:type="paragraph" w:styleId="31">
    <w:name w:val="toc 1"/>
    <w:basedOn w:val="1"/>
    <w:next w:val="1"/>
    <w:qFormat/>
    <w:locked/>
    <w:uiPriority w:val="0"/>
    <w:rPr>
      <w:sz w:val="24"/>
    </w:rPr>
  </w:style>
  <w:style w:type="paragraph" w:styleId="32">
    <w:name w:val="index heading"/>
    <w:basedOn w:val="1"/>
    <w:next w:val="33"/>
    <w:qFormat/>
    <w:locked/>
    <w:uiPriority w:val="0"/>
    <w:rPr>
      <w:szCs w:val="20"/>
    </w:rPr>
  </w:style>
  <w:style w:type="paragraph" w:styleId="33">
    <w:name w:val="index 1"/>
    <w:basedOn w:val="1"/>
    <w:next w:val="1"/>
    <w:semiHidden/>
    <w:qFormat/>
    <w:locked/>
    <w:uiPriority w:val="0"/>
    <w:pPr>
      <w:spacing w:line="440" w:lineRule="exact"/>
    </w:pPr>
    <w:rPr>
      <w:rFonts w:ascii="宋体" w:hAnsi="宋体"/>
      <w:b/>
      <w:kern w:val="0"/>
      <w:sz w:val="24"/>
    </w:rPr>
  </w:style>
  <w:style w:type="paragraph" w:styleId="34">
    <w:name w:val="Subtitle"/>
    <w:basedOn w:val="1"/>
    <w:next w:val="1"/>
    <w:link w:val="90"/>
    <w:qFormat/>
    <w:locked/>
    <w:uiPriority w:val="0"/>
    <w:pPr>
      <w:spacing w:before="240" w:after="60" w:line="312" w:lineRule="auto"/>
      <w:jc w:val="center"/>
      <w:outlineLvl w:val="1"/>
    </w:pPr>
    <w:rPr>
      <w:rFonts w:ascii="Cambria" w:hAnsi="Cambria" w:cs="Times New Roman"/>
      <w:b/>
      <w:bCs/>
      <w:kern w:val="28"/>
      <w:sz w:val="32"/>
      <w:szCs w:val="32"/>
    </w:rPr>
  </w:style>
  <w:style w:type="paragraph" w:styleId="35">
    <w:name w:val="List"/>
    <w:basedOn w:val="1"/>
    <w:qFormat/>
    <w:locked/>
    <w:uiPriority w:val="0"/>
    <w:pPr>
      <w:spacing w:line="400" w:lineRule="exact"/>
      <w:jc w:val="center"/>
    </w:pPr>
    <w:rPr>
      <w:rFonts w:ascii="宋体" w:hAnsi="宋体"/>
      <w:sz w:val="24"/>
      <w:szCs w:val="20"/>
    </w:rPr>
  </w:style>
  <w:style w:type="paragraph" w:styleId="36">
    <w:name w:val="footnote text"/>
    <w:basedOn w:val="1"/>
    <w:link w:val="91"/>
    <w:qFormat/>
    <w:locked/>
    <w:uiPriority w:val="0"/>
    <w:pPr>
      <w:snapToGrid w:val="0"/>
      <w:jc w:val="left"/>
    </w:pPr>
    <w:rPr>
      <w:sz w:val="18"/>
      <w:szCs w:val="18"/>
    </w:rPr>
  </w:style>
  <w:style w:type="paragraph" w:styleId="37">
    <w:name w:val="toc 6"/>
    <w:basedOn w:val="1"/>
    <w:next w:val="1"/>
    <w:qFormat/>
    <w:locked/>
    <w:uiPriority w:val="0"/>
    <w:pPr>
      <w:ind w:left="2100" w:leftChars="1000"/>
    </w:pPr>
  </w:style>
  <w:style w:type="paragraph" w:styleId="38">
    <w:name w:val="Body Text Indent 3"/>
    <w:basedOn w:val="1"/>
    <w:link w:val="92"/>
    <w:qFormat/>
    <w:locked/>
    <w:uiPriority w:val="0"/>
    <w:pPr>
      <w:spacing w:after="120"/>
      <w:ind w:left="420" w:leftChars="200"/>
    </w:pPr>
    <w:rPr>
      <w:sz w:val="16"/>
      <w:szCs w:val="20"/>
    </w:rPr>
  </w:style>
  <w:style w:type="paragraph" w:styleId="39">
    <w:name w:val="table of figures"/>
    <w:basedOn w:val="1"/>
    <w:next w:val="1"/>
    <w:qFormat/>
    <w:locked/>
    <w:uiPriority w:val="0"/>
    <w:pPr>
      <w:spacing w:after="120" w:line="500" w:lineRule="exact"/>
      <w:jc w:val="center"/>
    </w:pPr>
    <w:rPr>
      <w:rFonts w:ascii="仿宋_GB2312" w:eastAsia="仿宋_GB2312"/>
      <w:sz w:val="28"/>
      <w:szCs w:val="20"/>
    </w:rPr>
  </w:style>
  <w:style w:type="paragraph" w:styleId="40">
    <w:name w:val="toc 2"/>
    <w:basedOn w:val="1"/>
    <w:next w:val="1"/>
    <w:qFormat/>
    <w:locked/>
    <w:uiPriority w:val="0"/>
    <w:pPr>
      <w:jc w:val="center"/>
    </w:pPr>
    <w:rPr>
      <w:rFonts w:ascii="宋体" w:hAnsi="宋体"/>
      <w:b/>
      <w:szCs w:val="21"/>
    </w:rPr>
  </w:style>
  <w:style w:type="paragraph" w:styleId="41">
    <w:name w:val="Body Text 2"/>
    <w:basedOn w:val="1"/>
    <w:next w:val="1"/>
    <w:link w:val="93"/>
    <w:qFormat/>
    <w:locked/>
    <w:uiPriority w:val="0"/>
    <w:pPr>
      <w:spacing w:after="120" w:line="480" w:lineRule="auto"/>
    </w:pPr>
    <w:rPr>
      <w:szCs w:val="20"/>
    </w:rPr>
  </w:style>
  <w:style w:type="paragraph" w:styleId="42">
    <w:name w:val="HTML Preformatted"/>
    <w:basedOn w:val="1"/>
    <w:link w:val="94"/>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0"/>
      <w:szCs w:val="20"/>
    </w:rPr>
  </w:style>
  <w:style w:type="paragraph" w:styleId="43">
    <w:name w:val="Normal (Web)"/>
    <w:basedOn w:val="1"/>
    <w:link w:val="95"/>
    <w:qFormat/>
    <w:uiPriority w:val="0"/>
    <w:pPr>
      <w:widowControl/>
      <w:spacing w:before="100" w:beforeAutospacing="1" w:after="100" w:afterAutospacing="1"/>
      <w:jc w:val="left"/>
    </w:pPr>
    <w:rPr>
      <w:rFonts w:ascii="宋体" w:hAnsi="宋体"/>
      <w:kern w:val="0"/>
      <w:sz w:val="24"/>
      <w:szCs w:val="20"/>
    </w:rPr>
  </w:style>
  <w:style w:type="paragraph" w:styleId="44">
    <w:name w:val="Title"/>
    <w:basedOn w:val="1"/>
    <w:next w:val="1"/>
    <w:link w:val="96"/>
    <w:qFormat/>
    <w:locked/>
    <w:uiPriority w:val="0"/>
    <w:pPr>
      <w:jc w:val="left"/>
      <w:outlineLvl w:val="0"/>
    </w:pPr>
    <w:rPr>
      <w:rFonts w:ascii="Calibri Light" w:hAnsi="Calibri Light"/>
      <w:b/>
      <w:bCs/>
      <w:sz w:val="32"/>
      <w:szCs w:val="32"/>
    </w:rPr>
  </w:style>
  <w:style w:type="paragraph" w:styleId="45">
    <w:name w:val="annotation subject"/>
    <w:basedOn w:val="15"/>
    <w:next w:val="15"/>
    <w:link w:val="97"/>
    <w:qFormat/>
    <w:uiPriority w:val="0"/>
    <w:rPr>
      <w:b/>
      <w:sz w:val="24"/>
      <w:szCs w:val="20"/>
    </w:rPr>
  </w:style>
  <w:style w:type="paragraph" w:styleId="46">
    <w:name w:val="Body Text First Indent"/>
    <w:basedOn w:val="18"/>
    <w:next w:val="37"/>
    <w:link w:val="69"/>
    <w:qFormat/>
    <w:locked/>
    <w:uiPriority w:val="0"/>
    <w:pPr>
      <w:widowControl w:val="0"/>
      <w:snapToGrid/>
      <w:spacing w:before="0" w:after="120" w:line="240" w:lineRule="auto"/>
      <w:ind w:right="0" w:firstLine="420" w:firstLineChars="100"/>
    </w:pPr>
    <w:rPr>
      <w:kern w:val="2"/>
      <w:sz w:val="21"/>
    </w:rPr>
  </w:style>
  <w:style w:type="table" w:styleId="48">
    <w:name w:val="Table Grid"/>
    <w:basedOn w:val="4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locked/>
    <w:uiPriority w:val="0"/>
    <w:rPr>
      <w:b/>
      <w:bCs/>
    </w:rPr>
  </w:style>
  <w:style w:type="character" w:styleId="51">
    <w:name w:val="page number"/>
    <w:qFormat/>
    <w:locked/>
    <w:uiPriority w:val="0"/>
  </w:style>
  <w:style w:type="character" w:styleId="52">
    <w:name w:val="FollowedHyperlink"/>
    <w:qFormat/>
    <w:locked/>
    <w:uiPriority w:val="0"/>
    <w:rPr>
      <w:color w:val="800080"/>
      <w:u w:val="single"/>
    </w:rPr>
  </w:style>
  <w:style w:type="character" w:styleId="53">
    <w:name w:val="Emphasis"/>
    <w:qFormat/>
    <w:locked/>
    <w:uiPriority w:val="0"/>
    <w:rPr>
      <w:i/>
      <w:iCs/>
    </w:rPr>
  </w:style>
  <w:style w:type="character" w:styleId="54">
    <w:name w:val="Hyperlink"/>
    <w:qFormat/>
    <w:locked/>
    <w:uiPriority w:val="0"/>
    <w:rPr>
      <w:color w:val="0000FF"/>
      <w:u w:val="single"/>
    </w:rPr>
  </w:style>
  <w:style w:type="character" w:styleId="55">
    <w:name w:val="annotation reference"/>
    <w:qFormat/>
    <w:uiPriority w:val="0"/>
    <w:rPr>
      <w:sz w:val="21"/>
    </w:rPr>
  </w:style>
  <w:style w:type="character" w:styleId="56">
    <w:name w:val="footnote reference"/>
    <w:qFormat/>
    <w:locked/>
    <w:uiPriority w:val="0"/>
    <w:rPr>
      <w:vertAlign w:val="superscript"/>
    </w:rPr>
  </w:style>
  <w:style w:type="paragraph" w:customStyle="1" w:styleId="57">
    <w:name w:val="Default"/>
    <w:basedOn w:val="58"/>
    <w:next w:val="5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纯文本1"/>
    <w:basedOn w:val="1"/>
    <w:qFormat/>
    <w:uiPriority w:val="0"/>
    <w:rPr>
      <w:rFonts w:ascii="宋体" w:hAnsi="Courier New"/>
      <w:szCs w:val="21"/>
    </w:rPr>
  </w:style>
  <w:style w:type="paragraph" w:customStyle="1" w:styleId="59">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60">
    <w:name w:val="xl27"/>
    <w:basedOn w:val="1"/>
    <w:next w:val="1"/>
    <w:qFormat/>
    <w:uiPriority w:val="0"/>
    <w:pPr>
      <w:widowControl/>
      <w:pBdr>
        <w:bottom w:val="single" w:color="auto" w:sz="12" w:space="0"/>
      </w:pBdr>
      <w:spacing w:before="100" w:after="100"/>
      <w:jc w:val="center"/>
    </w:pPr>
    <w:rPr>
      <w:rFonts w:ascii="宋体" w:hAnsi="宋体"/>
      <w:kern w:val="0"/>
      <w:szCs w:val="20"/>
    </w:rPr>
  </w:style>
  <w:style w:type="paragraph" w:customStyle="1" w:styleId="61">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62">
    <w:name w:val="A正文"/>
    <w:basedOn w:val="1"/>
    <w:qFormat/>
    <w:uiPriority w:val="0"/>
    <w:pPr>
      <w:widowControl/>
      <w:overflowPunct w:val="0"/>
      <w:autoSpaceDE w:val="0"/>
      <w:autoSpaceDN w:val="0"/>
      <w:jc w:val="left"/>
      <w:textAlignment w:val="baseline"/>
    </w:pPr>
  </w:style>
  <w:style w:type="paragraph" w:customStyle="1" w:styleId="63">
    <w:name w:val="表格编号"/>
    <w:basedOn w:val="1"/>
    <w:next w:val="64"/>
    <w:autoRedefine/>
    <w:qFormat/>
    <w:uiPriority w:val="0"/>
    <w:pPr>
      <w:spacing w:line="60" w:lineRule="atLeast"/>
      <w:jc w:val="left"/>
    </w:pPr>
    <w:rPr>
      <w:spacing w:val="10"/>
      <w:kern w:val="0"/>
      <w:szCs w:val="21"/>
    </w:rPr>
  </w:style>
  <w:style w:type="paragraph" w:customStyle="1" w:styleId="64">
    <w:name w:val="表格文字"/>
    <w:basedOn w:val="65"/>
    <w:next w:val="1"/>
    <w:link w:val="165"/>
    <w:qFormat/>
    <w:uiPriority w:val="0"/>
    <w:pPr>
      <w:jc w:val="center"/>
    </w:pPr>
    <w:rPr>
      <w:rFonts w:ascii="仿宋_GB2312" w:hAnsi="Arial Black" w:eastAsia="仿宋_GB2312"/>
      <w:kern w:val="44"/>
      <w:sz w:val="24"/>
      <w:szCs w:val="20"/>
    </w:rPr>
  </w:style>
  <w:style w:type="paragraph" w:customStyle="1" w:styleId="65">
    <w:name w:val="博士论文正文"/>
    <w:basedOn w:val="1"/>
    <w:autoRedefine/>
    <w:qFormat/>
    <w:uiPriority w:val="0"/>
    <w:pPr>
      <w:snapToGrid w:val="0"/>
      <w:spacing w:beforeLines="20" w:afterLines="20" w:line="360" w:lineRule="auto"/>
      <w:ind w:firstLine="200" w:firstLineChars="200"/>
    </w:pPr>
    <w:rPr>
      <w:szCs w:val="20"/>
    </w:rPr>
  </w:style>
  <w:style w:type="paragraph" w:customStyle="1" w:styleId="66">
    <w:name w:val="样式 正文文本缩进 + 行距: 1.5 倍行距"/>
    <w:basedOn w:val="67"/>
    <w:qFormat/>
    <w:uiPriority w:val="0"/>
    <w:pPr>
      <w:ind w:left="90" w:leftChars="32" w:firstLine="560" w:firstLineChars="200"/>
    </w:pPr>
    <w:rPr>
      <w:rFonts w:cs="宋体"/>
    </w:rPr>
  </w:style>
  <w:style w:type="paragraph" w:customStyle="1" w:styleId="67">
    <w:name w:val="Body Text Indent"/>
    <w:basedOn w:val="1"/>
    <w:next w:val="66"/>
    <w:qFormat/>
    <w:uiPriority w:val="0"/>
    <w:pPr>
      <w:spacing w:after="120"/>
      <w:ind w:left="420" w:leftChars="200"/>
    </w:pPr>
  </w:style>
  <w:style w:type="character" w:customStyle="1" w:styleId="68">
    <w:name w:val="正文文本 Char"/>
    <w:link w:val="18"/>
    <w:qFormat/>
    <w:locked/>
    <w:uiPriority w:val="0"/>
    <w:rPr>
      <w:sz w:val="18"/>
    </w:rPr>
  </w:style>
  <w:style w:type="character" w:customStyle="1" w:styleId="69">
    <w:name w:val="正文首行缩进 Char"/>
    <w:link w:val="46"/>
    <w:qFormat/>
    <w:uiPriority w:val="0"/>
    <w:rPr>
      <w:kern w:val="2"/>
      <w:sz w:val="21"/>
    </w:rPr>
  </w:style>
  <w:style w:type="character" w:customStyle="1" w:styleId="70">
    <w:name w:val="标题 2 Char"/>
    <w:link w:val="3"/>
    <w:qFormat/>
    <w:uiPriority w:val="0"/>
    <w:rPr>
      <w:rFonts w:ascii="宋体" w:hAnsi="Arial" w:eastAsia="楷体_GB2312"/>
      <w:b/>
      <w:kern w:val="24"/>
      <w:sz w:val="24"/>
    </w:rPr>
  </w:style>
  <w:style w:type="character" w:customStyle="1" w:styleId="71">
    <w:name w:val="标题 3 Char"/>
    <w:link w:val="4"/>
    <w:qFormat/>
    <w:uiPriority w:val="0"/>
    <w:rPr>
      <w:b/>
      <w:kern w:val="2"/>
      <w:sz w:val="28"/>
    </w:rPr>
  </w:style>
  <w:style w:type="character" w:customStyle="1" w:styleId="72">
    <w:name w:val="标题 4 Char"/>
    <w:link w:val="5"/>
    <w:qFormat/>
    <w:uiPriority w:val="0"/>
    <w:rPr>
      <w:rFonts w:ascii="Arial" w:hAnsi="Arial" w:eastAsia="黑体"/>
      <w:b/>
      <w:kern w:val="2"/>
      <w:sz w:val="28"/>
    </w:rPr>
  </w:style>
  <w:style w:type="character" w:customStyle="1" w:styleId="73">
    <w:name w:val="标题 5 Char"/>
    <w:link w:val="7"/>
    <w:qFormat/>
    <w:uiPriority w:val="9"/>
    <w:rPr>
      <w:rFonts w:eastAsia="仿宋_GB2312"/>
      <w:b/>
      <w:kern w:val="2"/>
      <w:sz w:val="28"/>
      <w:szCs w:val="28"/>
    </w:rPr>
  </w:style>
  <w:style w:type="character" w:customStyle="1" w:styleId="74">
    <w:name w:val="标题 6 Char"/>
    <w:link w:val="8"/>
    <w:qFormat/>
    <w:uiPriority w:val="0"/>
    <w:rPr>
      <w:rFonts w:ascii="Arial" w:hAnsi="Arial" w:eastAsia="黑体"/>
      <w:b/>
      <w:kern w:val="2"/>
      <w:sz w:val="24"/>
      <w:szCs w:val="32"/>
    </w:rPr>
  </w:style>
  <w:style w:type="character" w:customStyle="1" w:styleId="75">
    <w:name w:val="标题 7 Char"/>
    <w:link w:val="9"/>
    <w:qFormat/>
    <w:uiPriority w:val="0"/>
    <w:rPr>
      <w:rFonts w:eastAsia="仿宋_GB2312"/>
      <w:b/>
      <w:kern w:val="2"/>
      <w:sz w:val="24"/>
      <w:szCs w:val="32"/>
    </w:rPr>
  </w:style>
  <w:style w:type="character" w:customStyle="1" w:styleId="76">
    <w:name w:val="标题 8 Char"/>
    <w:link w:val="10"/>
    <w:qFormat/>
    <w:uiPriority w:val="0"/>
    <w:rPr>
      <w:rFonts w:ascii="Arial" w:hAnsi="Arial" w:eastAsia="黑体"/>
      <w:bCs/>
      <w:kern w:val="2"/>
      <w:sz w:val="24"/>
      <w:szCs w:val="32"/>
    </w:rPr>
  </w:style>
  <w:style w:type="character" w:customStyle="1" w:styleId="77">
    <w:name w:val="标题 9 Char"/>
    <w:link w:val="11"/>
    <w:qFormat/>
    <w:uiPriority w:val="0"/>
    <w:rPr>
      <w:rFonts w:ascii="Arial" w:hAnsi="Arial" w:eastAsia="黑体"/>
      <w:bCs/>
      <w:kern w:val="2"/>
      <w:sz w:val="28"/>
      <w:szCs w:val="21"/>
    </w:rPr>
  </w:style>
  <w:style w:type="character" w:customStyle="1" w:styleId="78">
    <w:name w:val="正文缩进 Char"/>
    <w:link w:val="12"/>
    <w:qFormat/>
    <w:uiPriority w:val="0"/>
    <w:rPr>
      <w:rFonts w:ascii="仿宋_GB2312" w:eastAsia="仿宋_GB2312"/>
      <w:kern w:val="2"/>
      <w:sz w:val="28"/>
    </w:rPr>
  </w:style>
  <w:style w:type="character" w:customStyle="1" w:styleId="79">
    <w:name w:val="题注 Char"/>
    <w:link w:val="13"/>
    <w:qFormat/>
    <w:uiPriority w:val="0"/>
    <w:rPr>
      <w:rFonts w:eastAsia="黑体"/>
      <w:kern w:val="2"/>
      <w:sz w:val="24"/>
    </w:rPr>
  </w:style>
  <w:style w:type="character" w:customStyle="1" w:styleId="80">
    <w:name w:val="文档结构图 Char"/>
    <w:link w:val="14"/>
    <w:qFormat/>
    <w:uiPriority w:val="0"/>
    <w:rPr>
      <w:kern w:val="2"/>
      <w:sz w:val="21"/>
      <w:shd w:val="clear" w:color="auto" w:fill="000080"/>
    </w:rPr>
  </w:style>
  <w:style w:type="character" w:customStyle="1" w:styleId="81">
    <w:name w:val="批注文字 Char"/>
    <w:link w:val="15"/>
    <w:qFormat/>
    <w:locked/>
    <w:uiPriority w:val="0"/>
    <w:rPr>
      <w:rFonts w:ascii="Times New Roman" w:hAnsi="Times New Roman" w:eastAsia="宋体"/>
      <w:sz w:val="24"/>
    </w:rPr>
  </w:style>
  <w:style w:type="character" w:customStyle="1" w:styleId="82">
    <w:name w:val="正文文本 3 Char"/>
    <w:link w:val="17"/>
    <w:qFormat/>
    <w:uiPriority w:val="0"/>
    <w:rPr>
      <w:kern w:val="2"/>
      <w:sz w:val="16"/>
      <w:szCs w:val="16"/>
    </w:rPr>
  </w:style>
  <w:style w:type="character" w:customStyle="1" w:styleId="83">
    <w:name w:val="正文文本缩进 Char"/>
    <w:link w:val="19"/>
    <w:qFormat/>
    <w:locked/>
    <w:uiPriority w:val="0"/>
    <w:rPr>
      <w:rFonts w:ascii="Times New Roman" w:hAnsi="Times New Roman" w:eastAsia="宋体"/>
      <w:sz w:val="24"/>
    </w:rPr>
  </w:style>
  <w:style w:type="character" w:customStyle="1" w:styleId="84">
    <w:name w:val="纯文本 Char"/>
    <w:link w:val="23"/>
    <w:qFormat/>
    <w:uiPriority w:val="0"/>
    <w:rPr>
      <w:rFonts w:ascii="宋体" w:hAnsi="Courier New"/>
      <w:kern w:val="2"/>
      <w:sz w:val="28"/>
    </w:rPr>
  </w:style>
  <w:style w:type="character" w:customStyle="1" w:styleId="85">
    <w:name w:val="日期 Char"/>
    <w:link w:val="25"/>
    <w:qFormat/>
    <w:locked/>
    <w:uiPriority w:val="0"/>
    <w:rPr>
      <w:rFonts w:ascii="Times New Roman" w:hAnsi="Times New Roman" w:eastAsia="宋体"/>
      <w:sz w:val="24"/>
    </w:rPr>
  </w:style>
  <w:style w:type="character" w:customStyle="1" w:styleId="86">
    <w:name w:val="正文文本缩进 2 Char"/>
    <w:link w:val="26"/>
    <w:qFormat/>
    <w:uiPriority w:val="0"/>
    <w:rPr>
      <w:rFonts w:ascii="宋体" w:hAnsi="宋体"/>
      <w:kern w:val="2"/>
      <w:sz w:val="24"/>
    </w:rPr>
  </w:style>
  <w:style w:type="character" w:customStyle="1" w:styleId="87">
    <w:name w:val="批注框文本 Char"/>
    <w:link w:val="28"/>
    <w:semiHidden/>
    <w:qFormat/>
    <w:locked/>
    <w:uiPriority w:val="0"/>
    <w:rPr>
      <w:rFonts w:ascii="Times New Roman" w:hAnsi="Times New Roman" w:eastAsia="宋体"/>
      <w:sz w:val="18"/>
    </w:rPr>
  </w:style>
  <w:style w:type="character" w:customStyle="1" w:styleId="88">
    <w:name w:val="页脚 Char"/>
    <w:link w:val="29"/>
    <w:qFormat/>
    <w:locked/>
    <w:uiPriority w:val="0"/>
    <w:rPr>
      <w:sz w:val="18"/>
    </w:rPr>
  </w:style>
  <w:style w:type="character" w:customStyle="1" w:styleId="89">
    <w:name w:val="页眉 Char"/>
    <w:link w:val="30"/>
    <w:qFormat/>
    <w:locked/>
    <w:uiPriority w:val="0"/>
    <w:rPr>
      <w:sz w:val="18"/>
    </w:rPr>
  </w:style>
  <w:style w:type="character" w:customStyle="1" w:styleId="90">
    <w:name w:val="副标题 Char"/>
    <w:link w:val="34"/>
    <w:qFormat/>
    <w:uiPriority w:val="0"/>
    <w:rPr>
      <w:rFonts w:ascii="Cambria" w:hAnsi="Cambria" w:cs="Times New Roman"/>
      <w:b/>
      <w:bCs/>
      <w:kern w:val="28"/>
      <w:sz w:val="32"/>
      <w:szCs w:val="32"/>
    </w:rPr>
  </w:style>
  <w:style w:type="character" w:customStyle="1" w:styleId="91">
    <w:name w:val="脚注文本 Char"/>
    <w:link w:val="36"/>
    <w:qFormat/>
    <w:uiPriority w:val="0"/>
    <w:rPr>
      <w:kern w:val="2"/>
      <w:sz w:val="18"/>
      <w:szCs w:val="18"/>
    </w:rPr>
  </w:style>
  <w:style w:type="character" w:customStyle="1" w:styleId="92">
    <w:name w:val="正文文本缩进 3 Char"/>
    <w:link w:val="38"/>
    <w:qFormat/>
    <w:uiPriority w:val="0"/>
    <w:rPr>
      <w:kern w:val="2"/>
      <w:sz w:val="16"/>
    </w:rPr>
  </w:style>
  <w:style w:type="character" w:customStyle="1" w:styleId="93">
    <w:name w:val="正文文本 2 Char"/>
    <w:link w:val="41"/>
    <w:qFormat/>
    <w:uiPriority w:val="0"/>
    <w:rPr>
      <w:kern w:val="2"/>
      <w:sz w:val="21"/>
    </w:rPr>
  </w:style>
  <w:style w:type="character" w:customStyle="1" w:styleId="94">
    <w:name w:val="HTML 预设格式 Char"/>
    <w:link w:val="42"/>
    <w:qFormat/>
    <w:uiPriority w:val="0"/>
    <w:rPr>
      <w:rFonts w:ascii="宋体" w:hAnsi="宋体"/>
    </w:rPr>
  </w:style>
  <w:style w:type="character" w:customStyle="1" w:styleId="95">
    <w:name w:val="普通(网站) Char"/>
    <w:link w:val="43"/>
    <w:qFormat/>
    <w:locked/>
    <w:uiPriority w:val="0"/>
    <w:rPr>
      <w:rFonts w:ascii="宋体" w:hAnsi="宋体" w:eastAsia="宋体"/>
      <w:sz w:val="24"/>
    </w:rPr>
  </w:style>
  <w:style w:type="character" w:customStyle="1" w:styleId="96">
    <w:name w:val="标题 Char"/>
    <w:link w:val="44"/>
    <w:qFormat/>
    <w:uiPriority w:val="0"/>
    <w:rPr>
      <w:rFonts w:ascii="Calibri Light" w:hAnsi="Calibri Light"/>
      <w:b/>
      <w:bCs/>
      <w:kern w:val="2"/>
      <w:sz w:val="32"/>
      <w:szCs w:val="32"/>
    </w:rPr>
  </w:style>
  <w:style w:type="character" w:customStyle="1" w:styleId="97">
    <w:name w:val="批注主题 Char"/>
    <w:link w:val="45"/>
    <w:semiHidden/>
    <w:qFormat/>
    <w:locked/>
    <w:uiPriority w:val="0"/>
    <w:rPr>
      <w:rFonts w:ascii="Times New Roman" w:hAnsi="Times New Roman" w:eastAsia="宋体"/>
      <w:b/>
      <w:kern w:val="2"/>
      <w:sz w:val="24"/>
    </w:rPr>
  </w:style>
  <w:style w:type="character" w:customStyle="1" w:styleId="98">
    <w:name w:val="正文首行缩进 2 Char"/>
    <w:link w:val="27"/>
    <w:qFormat/>
    <w:uiPriority w:val="0"/>
    <w:rPr>
      <w:rFonts w:ascii="Times New Roman" w:hAnsi="Times New Roman" w:eastAsia="宋体"/>
      <w:kern w:val="2"/>
      <w:sz w:val="24"/>
    </w:rPr>
  </w:style>
  <w:style w:type="character" w:customStyle="1" w:styleId="99">
    <w:name w:val="表格 字符"/>
    <w:qFormat/>
    <w:uiPriority w:val="1"/>
    <w:rPr>
      <w:rFonts w:ascii="Times New Roman" w:hAnsi="Times New Roman" w:eastAsia="宋体" w:cs="Times New Roman"/>
      <w:snapToGrid/>
      <w:sz w:val="21"/>
      <w:szCs w:val="21"/>
      <w:lang w:eastAsia="zh-CN"/>
    </w:rPr>
  </w:style>
  <w:style w:type="character" w:customStyle="1" w:styleId="100">
    <w:name w:val="text1"/>
    <w:qFormat/>
    <w:uiPriority w:val="0"/>
    <w:rPr>
      <w:rFonts w:hint="eastAsia" w:ascii="宋体" w:hAnsi="宋体" w:eastAsia="宋体"/>
      <w:color w:val="999999"/>
      <w:sz w:val="18"/>
      <w:szCs w:val="18"/>
      <w:u w:val="none"/>
    </w:rPr>
  </w:style>
  <w:style w:type="character" w:customStyle="1" w:styleId="101">
    <w:name w:val="报告正文 Char Char"/>
    <w:link w:val="102"/>
    <w:qFormat/>
    <w:uiPriority w:val="0"/>
    <w:rPr>
      <w:rFonts w:ascii="宋体" w:hAnsi="宋体"/>
      <w:bCs/>
      <w:kern w:val="44"/>
      <w:sz w:val="24"/>
      <w:szCs w:val="44"/>
    </w:rPr>
  </w:style>
  <w:style w:type="paragraph" w:customStyle="1" w:styleId="102">
    <w:name w:val="报告正文"/>
    <w:basedOn w:val="1"/>
    <w:link w:val="101"/>
    <w:qFormat/>
    <w:uiPriority w:val="0"/>
    <w:pPr>
      <w:adjustRightInd w:val="0"/>
      <w:snapToGrid w:val="0"/>
      <w:spacing w:line="360" w:lineRule="auto"/>
      <w:ind w:firstLine="200" w:firstLineChars="200"/>
    </w:pPr>
    <w:rPr>
      <w:rFonts w:ascii="宋体" w:hAnsi="宋体"/>
      <w:bCs/>
      <w:kern w:val="44"/>
      <w:sz w:val="24"/>
      <w:szCs w:val="44"/>
    </w:rPr>
  </w:style>
  <w:style w:type="character" w:customStyle="1" w:styleId="103">
    <w:name w:val="正文文本缩进 2 Char1"/>
    <w:qFormat/>
    <w:uiPriority w:val="0"/>
    <w:rPr>
      <w:kern w:val="2"/>
      <w:sz w:val="21"/>
      <w:szCs w:val="24"/>
    </w:rPr>
  </w:style>
  <w:style w:type="character" w:customStyle="1" w:styleId="104">
    <w:name w:val="页脚 字符"/>
    <w:qFormat/>
    <w:uiPriority w:val="99"/>
  </w:style>
  <w:style w:type="character" w:customStyle="1" w:styleId="105">
    <w:name w:val="apple-converted-space"/>
    <w:qFormat/>
    <w:uiPriority w:val="0"/>
  </w:style>
  <w:style w:type="character" w:customStyle="1" w:styleId="106">
    <w:name w:val="正文文本 3 Char1"/>
    <w:qFormat/>
    <w:uiPriority w:val="0"/>
    <w:rPr>
      <w:kern w:val="2"/>
      <w:sz w:val="16"/>
      <w:szCs w:val="16"/>
    </w:rPr>
  </w:style>
  <w:style w:type="character" w:customStyle="1" w:styleId="107">
    <w:name w:val="headline-content"/>
    <w:qFormat/>
    <w:uiPriority w:val="0"/>
  </w:style>
  <w:style w:type="character" w:customStyle="1" w:styleId="108">
    <w:name w:val="样式 (符号) 宋体 小四"/>
    <w:qFormat/>
    <w:uiPriority w:val="0"/>
    <w:rPr>
      <w:rFonts w:ascii="Times New Roman" w:hAnsi="Times New Roman"/>
      <w:sz w:val="24"/>
    </w:rPr>
  </w:style>
  <w:style w:type="character" w:customStyle="1" w:styleId="109">
    <w:name w:val="正文文本 2 Char1"/>
    <w:qFormat/>
    <w:uiPriority w:val="0"/>
    <w:rPr>
      <w:kern w:val="2"/>
      <w:sz w:val="21"/>
      <w:szCs w:val="24"/>
    </w:rPr>
  </w:style>
  <w:style w:type="character" w:customStyle="1" w:styleId="110">
    <w:name w:val="表格文字 Char"/>
    <w:qFormat/>
    <w:uiPriority w:val="0"/>
    <w:rPr>
      <w:rFonts w:ascii="宋体" w:hAnsi="宋体" w:eastAsia="宋体"/>
    </w:rPr>
  </w:style>
  <w:style w:type="character" w:customStyle="1" w:styleId="111">
    <w:name w:val="日期 字符"/>
    <w:semiHidden/>
    <w:qFormat/>
    <w:uiPriority w:val="0"/>
    <w:rPr>
      <w:rFonts w:ascii="Times New Roman" w:hAnsi="Times New Roman" w:eastAsia="宋体"/>
      <w:sz w:val="24"/>
    </w:rPr>
  </w:style>
  <w:style w:type="character" w:customStyle="1" w:styleId="112">
    <w:name w:val="text081"/>
    <w:qFormat/>
    <w:uiPriority w:val="0"/>
    <w:rPr>
      <w:color w:val="666666"/>
      <w:sz w:val="24"/>
      <w:szCs w:val="24"/>
    </w:rPr>
  </w:style>
  <w:style w:type="character" w:customStyle="1" w:styleId="113">
    <w:name w:val="正文首行缩进 2 Char1"/>
    <w:qFormat/>
    <w:uiPriority w:val="0"/>
    <w:rPr>
      <w:rFonts w:ascii="Times New Roman" w:hAnsi="Times New Roman" w:eastAsia="宋体"/>
      <w:kern w:val="2"/>
      <w:sz w:val="21"/>
      <w:szCs w:val="24"/>
    </w:rPr>
  </w:style>
  <w:style w:type="character" w:customStyle="1" w:styleId="114">
    <w:name w:val="longtext"/>
    <w:qFormat/>
    <w:uiPriority w:val="0"/>
  </w:style>
  <w:style w:type="character" w:customStyle="1" w:styleId="115">
    <w:name w:val="正文缩进 Char1"/>
    <w:qFormat/>
    <w:uiPriority w:val="0"/>
    <w:rPr>
      <w:rFonts w:ascii="Times New Roman" w:hAnsi="Times New Roman" w:eastAsia="宋体" w:cs="Times New Roman"/>
      <w:sz w:val="24"/>
      <w:szCs w:val="24"/>
    </w:rPr>
  </w:style>
  <w:style w:type="character" w:customStyle="1" w:styleId="116">
    <w:name w:val="正文（首行缩进两字） Char3"/>
    <w:qFormat/>
    <w:uiPriority w:val="0"/>
    <w:rPr>
      <w:rFonts w:ascii="仿宋_GB2312" w:eastAsia="仿宋_GB2312"/>
      <w:kern w:val="2"/>
      <w:sz w:val="28"/>
      <w:lang w:val="en-US" w:eastAsia="zh-CN"/>
    </w:rPr>
  </w:style>
  <w:style w:type="character" w:customStyle="1" w:styleId="117">
    <w:name w:val="样式1 Char"/>
    <w:link w:val="118"/>
    <w:qFormat/>
    <w:uiPriority w:val="0"/>
    <w:rPr>
      <w:kern w:val="2"/>
      <w:sz w:val="21"/>
    </w:rPr>
  </w:style>
  <w:style w:type="paragraph" w:customStyle="1" w:styleId="118">
    <w:name w:val="样式1"/>
    <w:basedOn w:val="32"/>
    <w:next w:val="21"/>
    <w:link w:val="117"/>
    <w:qFormat/>
    <w:uiPriority w:val="0"/>
    <w:rPr>
      <w:szCs w:val="20"/>
    </w:rPr>
  </w:style>
  <w:style w:type="character" w:customStyle="1" w:styleId="119">
    <w:name w:val="articlecontent1"/>
    <w:qFormat/>
    <w:uiPriority w:val="0"/>
    <w:rPr>
      <w:sz w:val="24"/>
      <w:szCs w:val="24"/>
    </w:rPr>
  </w:style>
  <w:style w:type="character" w:customStyle="1" w:styleId="120">
    <w:name w:val="表头 Char1"/>
    <w:qFormat/>
    <w:uiPriority w:val="0"/>
    <w:rPr>
      <w:rFonts w:eastAsia="黑体"/>
      <w:spacing w:val="-10"/>
      <w:sz w:val="21"/>
      <w:lang w:val="en-US" w:eastAsia="zh-CN" w:bidi="ar-SA"/>
    </w:rPr>
  </w:style>
  <w:style w:type="character" w:customStyle="1" w:styleId="121">
    <w:name w:val="f11"/>
    <w:qFormat/>
    <w:uiPriority w:val="0"/>
    <w:rPr>
      <w:color w:val="0000FF"/>
      <w:sz w:val="27"/>
      <w:szCs w:val="27"/>
    </w:rPr>
  </w:style>
  <w:style w:type="character" w:customStyle="1" w:styleId="122">
    <w:name w:val="文章正文样式 Char"/>
    <w:link w:val="123"/>
    <w:qFormat/>
    <w:uiPriority w:val="0"/>
    <w:rPr>
      <w:rFonts w:ascii="宋体" w:hAnsi="宋体" w:cs="宋体"/>
      <w:kern w:val="2"/>
      <w:sz w:val="24"/>
    </w:rPr>
  </w:style>
  <w:style w:type="paragraph" w:customStyle="1" w:styleId="123">
    <w:name w:val="文章正文样式"/>
    <w:basedOn w:val="1"/>
    <w:link w:val="122"/>
    <w:qFormat/>
    <w:uiPriority w:val="0"/>
    <w:pPr>
      <w:spacing w:line="520" w:lineRule="exact"/>
      <w:ind w:firstLine="480" w:firstLineChars="200"/>
      <w:jc w:val="left"/>
    </w:pPr>
    <w:rPr>
      <w:rFonts w:ascii="宋体" w:hAnsi="宋体" w:cs="宋体"/>
      <w:sz w:val="24"/>
      <w:szCs w:val="20"/>
    </w:rPr>
  </w:style>
  <w:style w:type="character" w:customStyle="1" w:styleId="124">
    <w:name w:val="表格 Char Char"/>
    <w:qFormat/>
    <w:uiPriority w:val="0"/>
    <w:rPr>
      <w:rFonts w:ascii="Times New Roman" w:hAnsi="Times New Roman" w:eastAsia="仿宋_GB2312" w:cs="Times New Roman"/>
      <w:bCs/>
      <w:snapToGrid w:val="0"/>
      <w:kern w:val="0"/>
      <w:szCs w:val="21"/>
    </w:rPr>
  </w:style>
  <w:style w:type="character" w:customStyle="1" w:styleId="125">
    <w:name w:val="正文2 Char"/>
    <w:link w:val="126"/>
    <w:qFormat/>
    <w:uiPriority w:val="0"/>
    <w:rPr>
      <w:kern w:val="2"/>
      <w:sz w:val="24"/>
    </w:rPr>
  </w:style>
  <w:style w:type="paragraph" w:customStyle="1" w:styleId="126">
    <w:name w:val="正文2"/>
    <w:basedOn w:val="1"/>
    <w:link w:val="125"/>
    <w:qFormat/>
    <w:uiPriority w:val="0"/>
    <w:pPr>
      <w:adjustRightInd w:val="0"/>
      <w:snapToGrid w:val="0"/>
      <w:spacing w:line="440" w:lineRule="atLeast"/>
      <w:ind w:firstLine="567"/>
    </w:pPr>
    <w:rPr>
      <w:sz w:val="24"/>
      <w:szCs w:val="20"/>
    </w:rPr>
  </w:style>
  <w:style w:type="character" w:customStyle="1" w:styleId="127">
    <w:name w:val="表格内容 Char Char"/>
    <w:link w:val="128"/>
    <w:qFormat/>
    <w:uiPriority w:val="0"/>
    <w:rPr>
      <w:rFonts w:ascii="宋体" w:hAnsi="宋体"/>
      <w:kern w:val="2"/>
      <w:sz w:val="21"/>
      <w:szCs w:val="21"/>
    </w:rPr>
  </w:style>
  <w:style w:type="paragraph" w:customStyle="1" w:styleId="128">
    <w:name w:val="表格内容"/>
    <w:basedOn w:val="129"/>
    <w:next w:val="1"/>
    <w:link w:val="127"/>
    <w:qFormat/>
    <w:uiPriority w:val="0"/>
    <w:pPr>
      <w:jc w:val="center"/>
    </w:pPr>
    <w:rPr>
      <w:rFonts w:ascii="宋体" w:hAnsi="宋体"/>
      <w:szCs w:val="21"/>
    </w:rPr>
  </w:style>
  <w:style w:type="paragraph" w:customStyle="1" w:styleId="129">
    <w:name w:val="表格标题"/>
    <w:basedOn w:val="1"/>
    <w:next w:val="128"/>
    <w:qFormat/>
    <w:uiPriority w:val="0"/>
    <w:pPr>
      <w:keepNext w:val="0"/>
      <w:keepLines/>
      <w:spacing w:line="360" w:lineRule="auto"/>
      <w:ind w:firstLine="0" w:firstLineChars="0"/>
      <w:jc w:val="center"/>
    </w:pPr>
    <w:rPr>
      <w:b/>
      <w:sz w:val="21"/>
      <w:szCs w:val="24"/>
      <w:lang w:bidi="ar-SA"/>
    </w:rPr>
  </w:style>
  <w:style w:type="character" w:customStyle="1" w:styleId="130">
    <w:name w:val="textcontents"/>
    <w:qFormat/>
    <w:uiPriority w:val="0"/>
  </w:style>
  <w:style w:type="character" w:customStyle="1" w:styleId="131">
    <w:name w:val="正文文本 字符1"/>
    <w:semiHidden/>
    <w:qFormat/>
    <w:uiPriority w:val="0"/>
    <w:rPr>
      <w:rFonts w:ascii="Times New Roman" w:hAnsi="Times New Roman" w:eastAsia="宋体"/>
      <w:sz w:val="24"/>
    </w:rPr>
  </w:style>
  <w:style w:type="character" w:customStyle="1" w:styleId="132">
    <w:name w:val="04正文 Char"/>
    <w:link w:val="133"/>
    <w:qFormat/>
    <w:uiPriority w:val="0"/>
    <w:rPr>
      <w:sz w:val="24"/>
      <w:szCs w:val="24"/>
    </w:rPr>
  </w:style>
  <w:style w:type="paragraph" w:customStyle="1" w:styleId="133">
    <w:name w:val="04正文"/>
    <w:basedOn w:val="1"/>
    <w:link w:val="132"/>
    <w:qFormat/>
    <w:uiPriority w:val="0"/>
    <w:pPr>
      <w:adjustRightInd w:val="0"/>
      <w:snapToGrid w:val="0"/>
      <w:spacing w:line="360" w:lineRule="auto"/>
      <w:ind w:firstLine="480" w:firstLineChars="200"/>
    </w:pPr>
    <w:rPr>
      <w:kern w:val="0"/>
      <w:sz w:val="24"/>
    </w:rPr>
  </w:style>
  <w:style w:type="character" w:customStyle="1" w:styleId="134">
    <w:name w:val="表头 Char"/>
    <w:qFormat/>
    <w:uiPriority w:val="0"/>
    <w:rPr>
      <w:rFonts w:eastAsia="黑体"/>
      <w:spacing w:val="-10"/>
      <w:sz w:val="24"/>
      <w:lang w:val="en-US" w:eastAsia="zh-CN" w:bidi="ar-SA"/>
    </w:rPr>
  </w:style>
  <w:style w:type="character" w:customStyle="1" w:styleId="135">
    <w:name w:val="表格 Char"/>
    <w:link w:val="136"/>
    <w:qFormat/>
    <w:locked/>
    <w:uiPriority w:val="0"/>
    <w:rPr>
      <w:rFonts w:ascii="宋体"/>
      <w:sz w:val="21"/>
    </w:rPr>
  </w:style>
  <w:style w:type="paragraph" w:customStyle="1" w:styleId="136">
    <w:name w:val="表格"/>
    <w:basedOn w:val="137"/>
    <w:next w:val="1"/>
    <w:link w:val="135"/>
    <w:qFormat/>
    <w:uiPriority w:val="0"/>
    <w:pPr>
      <w:adjustRightInd w:val="0"/>
      <w:snapToGrid w:val="0"/>
      <w:spacing w:beforeLines="10" w:afterLines="10" w:line="259" w:lineRule="auto"/>
      <w:jc w:val="center"/>
    </w:pPr>
    <w:rPr>
      <w:rFonts w:ascii="宋体"/>
      <w:kern w:val="0"/>
      <w:szCs w:val="20"/>
    </w:rPr>
  </w:style>
  <w:style w:type="paragraph" w:customStyle="1" w:styleId="137">
    <w:name w:val="表头"/>
    <w:basedOn w:val="1"/>
    <w:next w:val="1"/>
    <w:link w:val="138"/>
    <w:qFormat/>
    <w:uiPriority w:val="0"/>
    <w:pPr>
      <w:adjustRightInd w:val="0"/>
      <w:snapToGrid w:val="0"/>
      <w:spacing w:line="320" w:lineRule="atLeast"/>
      <w:jc w:val="center"/>
      <w:textAlignment w:val="baseline"/>
    </w:pPr>
    <w:rPr>
      <w:rFonts w:eastAsia="黑体"/>
      <w:spacing w:val="-10"/>
      <w:kern w:val="0"/>
      <w:szCs w:val="20"/>
    </w:rPr>
  </w:style>
  <w:style w:type="character" w:customStyle="1" w:styleId="138">
    <w:name w:val="表头 Char Char"/>
    <w:link w:val="137"/>
    <w:qFormat/>
    <w:uiPriority w:val="0"/>
    <w:rPr>
      <w:rFonts w:eastAsia="黑体"/>
      <w:spacing w:val="-10"/>
      <w:sz w:val="21"/>
    </w:rPr>
  </w:style>
  <w:style w:type="character" w:customStyle="1" w:styleId="139">
    <w:name w:val="No Spacing Char"/>
    <w:link w:val="140"/>
    <w:qFormat/>
    <w:uiPriority w:val="0"/>
  </w:style>
  <w:style w:type="paragraph" w:customStyle="1" w:styleId="140">
    <w:name w:val="无间隔1"/>
    <w:link w:val="139"/>
    <w:qFormat/>
    <w:uiPriority w:val="0"/>
    <w:pPr>
      <w:widowControl w:val="0"/>
      <w:jc w:val="both"/>
    </w:pPr>
    <w:rPr>
      <w:rFonts w:ascii="Times New Roman" w:hAnsi="Times New Roman" w:eastAsia="宋体" w:cs="Times New Roman"/>
      <w:lang w:val="en-US" w:eastAsia="zh-CN" w:bidi="ar-SA"/>
    </w:rPr>
  </w:style>
  <w:style w:type="character" w:customStyle="1" w:styleId="141">
    <w:name w:val="articlebody3"/>
    <w:qFormat/>
    <w:uiPriority w:val="0"/>
    <w:rPr>
      <w:sz w:val="21"/>
      <w:szCs w:val="21"/>
    </w:rPr>
  </w:style>
  <w:style w:type="character" w:customStyle="1" w:styleId="142">
    <w:name w:val="文字缩进 Char2"/>
    <w:qFormat/>
    <w:uiPriority w:val="0"/>
    <w:rPr>
      <w:rFonts w:ascii="宋体" w:hAnsi="Courier New" w:eastAsia="宋体" w:cs="Courier New"/>
      <w:kern w:val="2"/>
      <w:sz w:val="21"/>
      <w:szCs w:val="21"/>
      <w:lang w:val="en-US" w:eastAsia="zh-CN" w:bidi="ar-SA"/>
    </w:rPr>
  </w:style>
  <w:style w:type="character" w:customStyle="1" w:styleId="143">
    <w:name w:val="infodetail1"/>
    <w:qFormat/>
    <w:uiPriority w:val="0"/>
    <w:rPr>
      <w:rFonts w:hint="default" w:ascii="ˎ̥" w:hAnsi="ˎ̥"/>
      <w:sz w:val="21"/>
      <w:szCs w:val="21"/>
    </w:rPr>
  </w:style>
  <w:style w:type="character" w:customStyle="1" w:styleId="144">
    <w:name w:val="报告书表格 Char"/>
    <w:link w:val="145"/>
    <w:qFormat/>
    <w:uiPriority w:val="0"/>
    <w:rPr>
      <w:rFonts w:eastAsia="Arial Unicode MS"/>
      <w:sz w:val="24"/>
    </w:rPr>
  </w:style>
  <w:style w:type="paragraph" w:customStyle="1" w:styleId="145">
    <w:name w:val="报告书表格"/>
    <w:basedOn w:val="1"/>
    <w:link w:val="144"/>
    <w:qFormat/>
    <w:uiPriority w:val="0"/>
    <w:pPr>
      <w:adjustRightInd w:val="0"/>
      <w:spacing w:line="400" w:lineRule="exact"/>
      <w:jc w:val="center"/>
      <w:textAlignment w:val="baseline"/>
    </w:pPr>
    <w:rPr>
      <w:rFonts w:eastAsia="Arial Unicode MS"/>
      <w:kern w:val="0"/>
      <w:sz w:val="24"/>
      <w:szCs w:val="20"/>
    </w:rPr>
  </w:style>
  <w:style w:type="character" w:customStyle="1" w:styleId="146">
    <w:name w:val="表内文字 Char"/>
    <w:link w:val="147"/>
    <w:qFormat/>
    <w:uiPriority w:val="0"/>
    <w:rPr>
      <w:spacing w:val="20"/>
      <w:kern w:val="2"/>
      <w:sz w:val="24"/>
    </w:rPr>
  </w:style>
  <w:style w:type="paragraph" w:customStyle="1" w:styleId="147">
    <w:name w:val="表内文字"/>
    <w:basedOn w:val="1"/>
    <w:link w:val="146"/>
    <w:qFormat/>
    <w:uiPriority w:val="0"/>
    <w:pPr>
      <w:spacing w:line="400" w:lineRule="exact"/>
      <w:ind w:firstLine="624"/>
    </w:pPr>
    <w:rPr>
      <w:spacing w:val="20"/>
      <w:sz w:val="24"/>
      <w:szCs w:val="20"/>
    </w:rPr>
  </w:style>
  <w:style w:type="character" w:customStyle="1" w:styleId="148">
    <w:name w:val="HP正文 Char"/>
    <w:link w:val="149"/>
    <w:qFormat/>
    <w:uiPriority w:val="0"/>
    <w:rPr>
      <w:sz w:val="24"/>
      <w:szCs w:val="24"/>
    </w:rPr>
  </w:style>
  <w:style w:type="paragraph" w:customStyle="1" w:styleId="149">
    <w:name w:val="HP正文"/>
    <w:basedOn w:val="1"/>
    <w:link w:val="148"/>
    <w:qFormat/>
    <w:uiPriority w:val="0"/>
    <w:pPr>
      <w:spacing w:line="360" w:lineRule="auto"/>
      <w:ind w:firstLine="480" w:firstLineChars="200"/>
    </w:pPr>
    <w:rPr>
      <w:kern w:val="0"/>
      <w:sz w:val="24"/>
    </w:rPr>
  </w:style>
  <w:style w:type="character" w:customStyle="1" w:styleId="150">
    <w:name w:val="样式 正文 行距: 固定值 25 磅 Char"/>
    <w:link w:val="151"/>
    <w:qFormat/>
    <w:uiPriority w:val="0"/>
    <w:rPr>
      <w:rFonts w:cs="宋体"/>
      <w:kern w:val="2"/>
      <w:sz w:val="24"/>
      <w:szCs w:val="24"/>
    </w:rPr>
  </w:style>
  <w:style w:type="paragraph" w:customStyle="1" w:styleId="151">
    <w:name w:val="样式 正文 行距: 固定值 25 磅"/>
    <w:basedOn w:val="1"/>
    <w:link w:val="150"/>
    <w:qFormat/>
    <w:uiPriority w:val="0"/>
    <w:pPr>
      <w:adjustRightInd w:val="0"/>
      <w:spacing w:line="500" w:lineRule="exact"/>
      <w:ind w:firstLine="200" w:firstLineChars="200"/>
    </w:pPr>
    <w:rPr>
      <w:rFonts w:cs="宋体"/>
      <w:sz w:val="24"/>
    </w:rPr>
  </w:style>
  <w:style w:type="character" w:customStyle="1" w:styleId="152">
    <w:name w:val="news"/>
    <w:qFormat/>
    <w:uiPriority w:val="0"/>
  </w:style>
  <w:style w:type="character" w:customStyle="1" w:styleId="153">
    <w:name w:val="h12"/>
    <w:qFormat/>
    <w:uiPriority w:val="0"/>
  </w:style>
  <w:style w:type="character" w:customStyle="1" w:styleId="154">
    <w:name w:val=" Char Char1"/>
    <w:qFormat/>
    <w:uiPriority w:val="0"/>
    <w:rPr>
      <w:rFonts w:ascii="仿宋_GB2312" w:eastAsia="仿宋_GB2312"/>
      <w:b/>
      <w:kern w:val="44"/>
      <w:sz w:val="32"/>
      <w:lang w:val="en-US" w:eastAsia="zh-CN"/>
    </w:rPr>
  </w:style>
  <w:style w:type="character" w:customStyle="1" w:styleId="155">
    <w:name w:val="s"/>
    <w:qFormat/>
    <w:uiPriority w:val="0"/>
  </w:style>
  <w:style w:type="character" w:customStyle="1" w:styleId="156">
    <w:name w:val="main-11"/>
    <w:qFormat/>
    <w:uiPriority w:val="0"/>
    <w:rPr>
      <w:color w:val="FFFFFF"/>
      <w:sz w:val="21"/>
    </w:rPr>
  </w:style>
  <w:style w:type="character" w:customStyle="1" w:styleId="157">
    <w:name w:val="表格标题新 Char Char"/>
    <w:link w:val="158"/>
    <w:qFormat/>
    <w:uiPriority w:val="0"/>
    <w:rPr>
      <w:rFonts w:ascii="仿宋_GB2312" w:eastAsia="黑体"/>
      <w:b/>
      <w:snapToGrid/>
      <w:spacing w:val="4"/>
      <w:kern w:val="18"/>
      <w:sz w:val="24"/>
    </w:rPr>
  </w:style>
  <w:style w:type="paragraph" w:customStyle="1" w:styleId="158">
    <w:name w:val="表格标题新"/>
    <w:basedOn w:val="159"/>
    <w:link w:val="157"/>
    <w:qFormat/>
    <w:uiPriority w:val="0"/>
    <w:pPr>
      <w:tabs>
        <w:tab w:val="left" w:pos="0"/>
      </w:tabs>
      <w:spacing w:before="156" w:beforeLines="50"/>
      <w:ind w:firstLine="562"/>
    </w:pPr>
    <w:rPr>
      <w:rFonts w:eastAsia="黑体"/>
      <w:b/>
      <w:snapToGrid w:val="0"/>
    </w:rPr>
  </w:style>
  <w:style w:type="paragraph" w:customStyle="1" w:styleId="159">
    <w:name w:val="表格内文字"/>
    <w:basedOn w:val="1"/>
    <w:link w:val="160"/>
    <w:qFormat/>
    <w:uiPriority w:val="0"/>
    <w:pPr>
      <w:tabs>
        <w:tab w:val="left" w:pos="0"/>
      </w:tabs>
      <w:adjustRightInd w:val="0"/>
      <w:snapToGrid w:val="0"/>
      <w:jc w:val="center"/>
    </w:pPr>
    <w:rPr>
      <w:rFonts w:ascii="仿宋_GB2312" w:eastAsia="仿宋_GB2312"/>
      <w:spacing w:val="4"/>
      <w:kern w:val="18"/>
      <w:sz w:val="24"/>
      <w:szCs w:val="20"/>
    </w:rPr>
  </w:style>
  <w:style w:type="character" w:customStyle="1" w:styleId="160">
    <w:name w:val="表格内文字 Char Char"/>
    <w:link w:val="159"/>
    <w:qFormat/>
    <w:uiPriority w:val="0"/>
    <w:rPr>
      <w:rFonts w:ascii="仿宋_GB2312" w:eastAsia="仿宋_GB2312"/>
      <w:spacing w:val="4"/>
      <w:kern w:val="18"/>
      <w:sz w:val="24"/>
    </w:rPr>
  </w:style>
  <w:style w:type="character" w:customStyle="1" w:styleId="161">
    <w:name w:val="正文 首行缩进:  2 字符 Char"/>
    <w:link w:val="162"/>
    <w:qFormat/>
    <w:uiPriority w:val="0"/>
    <w:rPr>
      <w:rFonts w:cs="宋体"/>
      <w:kern w:val="2"/>
      <w:sz w:val="24"/>
    </w:rPr>
  </w:style>
  <w:style w:type="paragraph" w:customStyle="1" w:styleId="162">
    <w:name w:val="正文 首行缩进:  2 字符"/>
    <w:basedOn w:val="1"/>
    <w:link w:val="161"/>
    <w:qFormat/>
    <w:uiPriority w:val="0"/>
    <w:pPr>
      <w:snapToGrid w:val="0"/>
      <w:spacing w:line="500" w:lineRule="exact"/>
      <w:ind w:firstLine="480" w:firstLineChars="200"/>
      <w:jc w:val="left"/>
    </w:pPr>
    <w:rPr>
      <w:rFonts w:cs="宋体"/>
      <w:sz w:val="24"/>
      <w:szCs w:val="20"/>
    </w:rPr>
  </w:style>
  <w:style w:type="character" w:customStyle="1" w:styleId="163">
    <w:name w:val="纯文本 Char1"/>
    <w:qFormat/>
    <w:uiPriority w:val="0"/>
    <w:rPr>
      <w:rFonts w:ascii="宋体" w:hAnsi="Courier New" w:cs="Courier New"/>
      <w:kern w:val="2"/>
      <w:sz w:val="21"/>
      <w:szCs w:val="21"/>
    </w:rPr>
  </w:style>
  <w:style w:type="character" w:customStyle="1" w:styleId="164">
    <w:name w:val="批注文字 字符1"/>
    <w:semiHidden/>
    <w:qFormat/>
    <w:uiPriority w:val="0"/>
    <w:rPr>
      <w:rFonts w:ascii="Times New Roman" w:hAnsi="Times New Roman" w:eastAsia="宋体"/>
      <w:sz w:val="24"/>
    </w:rPr>
  </w:style>
  <w:style w:type="character" w:customStyle="1" w:styleId="165">
    <w:name w:val="表格文字 Char Char"/>
    <w:link w:val="64"/>
    <w:qFormat/>
    <w:uiPriority w:val="0"/>
    <w:rPr>
      <w:rFonts w:ascii="仿宋_GB2312" w:hAnsi="Arial Black" w:eastAsia="仿宋_GB2312"/>
      <w:kern w:val="44"/>
      <w:sz w:val="24"/>
    </w:rPr>
  </w:style>
  <w:style w:type="character" w:customStyle="1" w:styleId="166">
    <w:name w:val="11p1"/>
    <w:qFormat/>
    <w:uiPriority w:val="0"/>
    <w:rPr>
      <w:sz w:val="23"/>
      <w:szCs w:val="23"/>
    </w:rPr>
  </w:style>
  <w:style w:type="character" w:customStyle="1" w:styleId="167">
    <w:name w:val="报告书正文 Char Char"/>
    <w:link w:val="168"/>
    <w:qFormat/>
    <w:uiPriority w:val="0"/>
    <w:rPr>
      <w:color w:val="000000"/>
      <w:kern w:val="2"/>
      <w:sz w:val="24"/>
    </w:rPr>
  </w:style>
  <w:style w:type="paragraph" w:customStyle="1" w:styleId="168">
    <w:name w:val="报告书正文"/>
    <w:basedOn w:val="1"/>
    <w:link w:val="167"/>
    <w:qFormat/>
    <w:uiPriority w:val="0"/>
    <w:pPr>
      <w:spacing w:line="520" w:lineRule="exact"/>
      <w:ind w:firstLine="514" w:firstLineChars="200"/>
    </w:pPr>
    <w:rPr>
      <w:color w:val="000000"/>
      <w:sz w:val="24"/>
      <w:szCs w:val="20"/>
    </w:rPr>
  </w:style>
  <w:style w:type="character" w:customStyle="1" w:styleId="169">
    <w:name w:val="unnamed11"/>
    <w:qFormat/>
    <w:uiPriority w:val="0"/>
    <w:rPr>
      <w:rFonts w:hint="eastAsia" w:ascii="宋体" w:hAnsi="宋体" w:eastAsia="宋体"/>
      <w:sz w:val="24"/>
      <w:szCs w:val="24"/>
      <w:u w:val="none"/>
    </w:rPr>
  </w:style>
  <w:style w:type="paragraph" w:customStyle="1" w:styleId="170">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71">
    <w:name w:val="reader-word-layer reader-word-s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2">
    <w:name w:val="p0"/>
    <w:basedOn w:val="1"/>
    <w:qFormat/>
    <w:uiPriority w:val="0"/>
    <w:pPr>
      <w:widowControl/>
    </w:pPr>
    <w:rPr>
      <w:rFonts w:ascii="宋体" w:hAnsi="宋体" w:cs="宋体"/>
      <w:kern w:val="0"/>
      <w:szCs w:val="21"/>
    </w:rPr>
  </w:style>
  <w:style w:type="paragraph" w:customStyle="1" w:styleId="1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4">
    <w:name w:val="正文 New New"/>
    <w:qFormat/>
    <w:uiPriority w:val="0"/>
    <w:pPr>
      <w:widowControl w:val="0"/>
      <w:jc w:val="both"/>
    </w:pPr>
    <w:rPr>
      <w:rFonts w:ascii="Times New Roman" w:hAnsi="Times New Roman" w:eastAsia="仿宋_GB2312" w:cs="Times New Roman"/>
      <w:kern w:val="2"/>
      <w:sz w:val="28"/>
      <w:lang w:val="en-US" w:eastAsia="zh-CN" w:bidi="ar-SA"/>
    </w:rPr>
  </w:style>
  <w:style w:type="paragraph" w:customStyle="1" w:styleId="175">
    <w:name w:val="1 Char Char Char Char Char Char Char Char"/>
    <w:basedOn w:val="1"/>
    <w:qFormat/>
    <w:uiPriority w:val="0"/>
    <w:rPr>
      <w:sz w:val="24"/>
    </w:rPr>
  </w:style>
  <w:style w:type="paragraph" w:customStyle="1" w:styleId="176">
    <w:name w:val="Char Char Char Char"/>
    <w:basedOn w:val="14"/>
    <w:qFormat/>
    <w:uiPriority w:val="0"/>
    <w:pPr>
      <w:widowControl/>
      <w:adjustRightInd w:val="0"/>
      <w:snapToGrid w:val="0"/>
      <w:spacing w:line="360" w:lineRule="auto"/>
      <w:jc w:val="left"/>
    </w:pPr>
    <w:rPr>
      <w:rFonts w:ascii="Tahoma" w:hAnsi="Tahoma" w:cs="宋体"/>
      <w:kern w:val="0"/>
      <w:sz w:val="24"/>
      <w:szCs w:val="24"/>
    </w:rPr>
  </w:style>
  <w:style w:type="paragraph" w:customStyle="1" w:styleId="177">
    <w:name w:val="样式4"/>
    <w:basedOn w:val="178"/>
    <w:qFormat/>
    <w:uiPriority w:val="0"/>
    <w:pPr>
      <w:keepNext w:val="0"/>
      <w:numPr>
        <w:ilvl w:val="2"/>
        <w:numId w:val="0"/>
      </w:numPr>
      <w:tabs>
        <w:tab w:val="left" w:pos="1560"/>
      </w:tabs>
      <w:snapToGrid w:val="0"/>
      <w:spacing w:before="156" w:beforeLines="50" w:line="360" w:lineRule="auto"/>
      <w:ind w:firstLine="482" w:firstLineChars="200"/>
      <w:textAlignment w:val="auto"/>
    </w:pPr>
    <w:rPr>
      <w:rFonts w:eastAsia="仿宋_GB2312"/>
      <w:color w:val="000000"/>
      <w:kern w:val="0"/>
      <w:sz w:val="24"/>
    </w:rPr>
  </w:style>
  <w:style w:type="paragraph" w:customStyle="1" w:styleId="178">
    <w:name w:val="样式3"/>
    <w:basedOn w:val="25"/>
    <w:qFormat/>
    <w:uiPriority w:val="0"/>
    <w:pPr>
      <w:spacing w:before="156" w:beforeLines="50" w:after="156" w:afterLines="50" w:line="480" w:lineRule="exact"/>
      <w:ind w:left="0" w:leftChars="0"/>
    </w:pPr>
    <w:rPr>
      <w:rFonts w:eastAsia="黑体"/>
      <w:bCs/>
      <w:kern w:val="2"/>
      <w:sz w:val="30"/>
    </w:rPr>
  </w:style>
  <w:style w:type="paragraph" w:customStyle="1" w:styleId="179">
    <w:name w:val="表格的标题"/>
    <w:basedOn w:val="1"/>
    <w:qFormat/>
    <w:uiPriority w:val="0"/>
    <w:pPr>
      <w:snapToGrid w:val="0"/>
      <w:spacing w:before="93" w:beforeLines="30"/>
      <w:jc w:val="center"/>
    </w:pPr>
    <w:rPr>
      <w:b/>
      <w:szCs w:val="21"/>
    </w:rPr>
  </w:style>
  <w:style w:type="paragraph" w:customStyle="1" w:styleId="180">
    <w:name w:val=" Char1"/>
    <w:basedOn w:val="1"/>
    <w:qFormat/>
    <w:uiPriority w:val="0"/>
    <w:rPr>
      <w:sz w:val="24"/>
      <w:szCs w:val="20"/>
    </w:rPr>
  </w:style>
  <w:style w:type="paragraph" w:customStyle="1" w:styleId="181">
    <w:name w:val="居中正文"/>
    <w:basedOn w:val="1"/>
    <w:next w:val="18"/>
    <w:qFormat/>
    <w:uiPriority w:val="0"/>
    <w:pPr>
      <w:widowControl/>
      <w:spacing w:line="360" w:lineRule="auto"/>
      <w:ind w:firstLine="200" w:firstLineChars="200"/>
      <w:jc w:val="left"/>
    </w:pPr>
    <w:rPr>
      <w:rFonts w:ascii="Calibri" w:hAnsi="Calibri"/>
      <w:sz w:val="24"/>
      <w:szCs w:val="22"/>
    </w:rPr>
  </w:style>
  <w:style w:type="paragraph" w:customStyle="1" w:styleId="182">
    <w:name w:val="表格1"/>
    <w:basedOn w:val="1"/>
    <w:qFormat/>
    <w:uiPriority w:val="0"/>
    <w:pPr>
      <w:adjustRightInd w:val="0"/>
      <w:spacing w:line="360" w:lineRule="atLeast"/>
      <w:jc w:val="center"/>
      <w:textAlignment w:val="baseline"/>
    </w:pPr>
    <w:rPr>
      <w:rFonts w:ascii="CG Times (WN)" w:hAnsi="宋体"/>
      <w:kern w:val="0"/>
      <w:szCs w:val="20"/>
    </w:rPr>
  </w:style>
  <w:style w:type="paragraph" w:customStyle="1" w:styleId="18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84">
    <w:name w:val="_Style 94"/>
    <w:basedOn w:val="1"/>
    <w:next w:val="1"/>
    <w:qFormat/>
    <w:uiPriority w:val="0"/>
    <w:pPr>
      <w:spacing w:line="360" w:lineRule="auto"/>
      <w:ind w:firstLine="200" w:firstLineChars="200"/>
    </w:pPr>
    <w:rPr>
      <w:rFonts w:ascii="宋体" w:hAnsi="宋体" w:cs="宋体"/>
      <w:sz w:val="24"/>
    </w:rPr>
  </w:style>
  <w:style w:type="paragraph" w:customStyle="1" w:styleId="185">
    <w:name w:val="小四表文左齐"/>
    <w:basedOn w:val="1"/>
    <w:qFormat/>
    <w:uiPriority w:val="0"/>
    <w:pPr>
      <w:spacing w:before="100" w:after="100"/>
      <w:jc w:val="center"/>
    </w:pPr>
    <w:rPr>
      <w:rFonts w:ascii="宋体" w:hAnsi="宋体"/>
      <w:szCs w:val="20"/>
    </w:rPr>
  </w:style>
  <w:style w:type="paragraph" w:customStyle="1" w:styleId="186">
    <w:name w:val="空行"/>
    <w:basedOn w:val="1"/>
    <w:next w:val="46"/>
    <w:qFormat/>
    <w:uiPriority w:val="0"/>
    <w:pPr>
      <w:topLinePunct/>
      <w:adjustRightInd w:val="0"/>
      <w:snapToGrid w:val="0"/>
      <w:jc w:val="center"/>
    </w:pPr>
    <w:rPr>
      <w:kern w:val="0"/>
      <w:sz w:val="28"/>
      <w:szCs w:val="20"/>
    </w:rPr>
  </w:style>
  <w:style w:type="paragraph" w:customStyle="1" w:styleId="187">
    <w:name w:val="表头和图题"/>
    <w:basedOn w:val="126"/>
    <w:qFormat/>
    <w:uiPriority w:val="0"/>
    <w:pPr>
      <w:suppressAutoHyphens/>
      <w:adjustRightInd/>
      <w:snapToGrid/>
      <w:spacing w:line="240" w:lineRule="auto"/>
      <w:ind w:firstLine="680"/>
      <w:jc w:val="center"/>
    </w:pPr>
    <w:rPr>
      <w:rFonts w:eastAsia="黑体"/>
      <w:spacing w:val="18"/>
      <w:kern w:val="0"/>
      <w:sz w:val="32"/>
    </w:rPr>
  </w:style>
  <w:style w:type="paragraph" w:customStyle="1" w:styleId="188">
    <w:name w:val="正文文本缩进1"/>
    <w:basedOn w:val="1"/>
    <w:qFormat/>
    <w:uiPriority w:val="0"/>
    <w:pPr>
      <w:spacing w:after="120"/>
      <w:ind w:left="420" w:leftChars="200"/>
    </w:pPr>
  </w:style>
  <w:style w:type="paragraph" w:customStyle="1" w:styleId="189">
    <w:name w:val="表名"/>
    <w:basedOn w:val="1"/>
    <w:qFormat/>
    <w:uiPriority w:val="0"/>
    <w:pPr>
      <w:spacing w:line="400" w:lineRule="exact"/>
      <w:outlineLvl w:val="0"/>
    </w:pPr>
    <w:rPr>
      <w:rFonts w:ascii="黑体" w:eastAsia="黑体"/>
      <w:sz w:val="28"/>
    </w:rPr>
  </w:style>
  <w:style w:type="paragraph" w:customStyle="1" w:styleId="190">
    <w:name w:val="text08"/>
    <w:basedOn w:val="1"/>
    <w:qFormat/>
    <w:uiPriority w:val="0"/>
    <w:pPr>
      <w:widowControl/>
      <w:spacing w:before="100" w:beforeAutospacing="1" w:after="100" w:afterAutospacing="1" w:line="400" w:lineRule="atLeast"/>
      <w:jc w:val="left"/>
    </w:pPr>
    <w:rPr>
      <w:rFonts w:ascii="宋体" w:hAnsi="宋体"/>
      <w:color w:val="666666"/>
      <w:kern w:val="0"/>
      <w:sz w:val="24"/>
    </w:rPr>
  </w:style>
  <w:style w:type="paragraph" w:customStyle="1" w:styleId="191">
    <w:name w:val="w4"/>
    <w:basedOn w:val="1"/>
    <w:qFormat/>
    <w:uiPriority w:val="0"/>
    <w:pPr>
      <w:widowControl/>
      <w:spacing w:before="100" w:beforeAutospacing="1" w:after="100" w:afterAutospacing="1" w:line="336" w:lineRule="auto"/>
      <w:ind w:firstLine="360"/>
      <w:jc w:val="left"/>
    </w:pPr>
    <w:rPr>
      <w:rFonts w:ascii="_x000B__x000C_" w:hAnsi="_x000B__x000C_"/>
      <w:color w:val="8A5E00"/>
      <w:kern w:val="0"/>
      <w:sz w:val="18"/>
      <w:szCs w:val="18"/>
    </w:rPr>
  </w:style>
  <w:style w:type="paragraph" w:customStyle="1" w:styleId="192">
    <w:name w:val="正文缩近"/>
    <w:basedOn w:val="1"/>
    <w:qFormat/>
    <w:uiPriority w:val="0"/>
    <w:pPr>
      <w:spacing w:line="360" w:lineRule="auto"/>
      <w:ind w:firstLine="560" w:firstLineChars="200"/>
    </w:pPr>
    <w:rPr>
      <w:sz w:val="28"/>
      <w:szCs w:val="28"/>
    </w:rPr>
  </w:style>
  <w:style w:type="paragraph" w:customStyle="1" w:styleId="193">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194">
    <w:name w:val="默认段落字体 Para Char Char Char Char Char Char Char"/>
    <w:basedOn w:val="1"/>
    <w:qFormat/>
    <w:uiPriority w:val="0"/>
    <w:pPr>
      <w:adjustRightInd w:val="0"/>
      <w:spacing w:line="360" w:lineRule="auto"/>
      <w:textAlignment w:val="baseline"/>
    </w:pPr>
    <w:rPr>
      <w:kern w:val="0"/>
      <w:sz w:val="24"/>
      <w:szCs w:val="20"/>
    </w:rPr>
  </w:style>
  <w:style w:type="paragraph" w:customStyle="1" w:styleId="195">
    <w:name w:val=" Char Char Char Char Char Char1 Char Char Char Char"/>
    <w:basedOn w:val="1"/>
    <w:qFormat/>
    <w:uiPriority w:val="0"/>
    <w:pPr>
      <w:spacing w:line="360" w:lineRule="auto"/>
      <w:ind w:firstLine="200" w:firstLineChars="200"/>
    </w:pPr>
    <w:rPr>
      <w:sz w:val="24"/>
    </w:rPr>
  </w:style>
  <w:style w:type="paragraph" w:customStyle="1" w:styleId="196">
    <w:name w:val="表标题"/>
    <w:basedOn w:val="46"/>
    <w:qFormat/>
    <w:uiPriority w:val="0"/>
    <w:pPr>
      <w:adjustRightInd w:val="0"/>
      <w:snapToGrid w:val="0"/>
      <w:spacing w:before="60" w:after="60" w:line="500" w:lineRule="exact"/>
      <w:ind w:firstLine="0" w:firstLineChars="0"/>
      <w:jc w:val="center"/>
    </w:pPr>
    <w:rPr>
      <w:b/>
      <w:bCs/>
      <w:sz w:val="24"/>
      <w:szCs w:val="18"/>
    </w:rPr>
  </w:style>
  <w:style w:type="paragraph" w:customStyle="1" w:styleId="197">
    <w:name w:val="font6"/>
    <w:basedOn w:val="1"/>
    <w:qFormat/>
    <w:uiPriority w:val="0"/>
    <w:pPr>
      <w:widowControl/>
      <w:spacing w:before="100" w:beforeAutospacing="1" w:after="100" w:afterAutospacing="1"/>
      <w:jc w:val="left"/>
    </w:pPr>
    <w:rPr>
      <w:kern w:val="0"/>
      <w:sz w:val="24"/>
    </w:rPr>
  </w:style>
  <w:style w:type="paragraph" w:customStyle="1" w:styleId="198">
    <w:name w:val="图文框"/>
    <w:basedOn w:val="1"/>
    <w:qFormat/>
    <w:uiPriority w:val="0"/>
    <w:pPr>
      <w:spacing w:line="320" w:lineRule="exact"/>
      <w:jc w:val="center"/>
    </w:pPr>
    <w:rPr>
      <w:rFonts w:ascii="仿宋_GB2312" w:eastAsia="仿宋_GB2312"/>
      <w:kern w:val="0"/>
      <w:sz w:val="24"/>
      <w:szCs w:val="20"/>
    </w:rPr>
  </w:style>
  <w:style w:type="paragraph" w:customStyle="1" w:styleId="199">
    <w:name w:val="1表格"/>
    <w:basedOn w:val="1"/>
    <w:qFormat/>
    <w:uiPriority w:val="0"/>
    <w:pPr>
      <w:spacing w:line="160" w:lineRule="atLeast"/>
      <w:jc w:val="center"/>
    </w:pPr>
    <w:rPr>
      <w:rFonts w:eastAsia="仿宋_GB2312"/>
      <w:szCs w:val="20"/>
    </w:rPr>
  </w:style>
  <w:style w:type="paragraph" w:customStyle="1" w:styleId="200">
    <w:name w:val=" Char Char Char Char Char Char Char"/>
    <w:basedOn w:val="1"/>
    <w:qFormat/>
    <w:uiPriority w:val="0"/>
    <w:rPr>
      <w:sz w:val="24"/>
      <w:szCs w:val="20"/>
    </w:rPr>
  </w:style>
  <w:style w:type="paragraph" w:customStyle="1" w:styleId="201">
    <w:name w:val=" Char Char Char Char1"/>
    <w:basedOn w:val="1"/>
    <w:qFormat/>
    <w:uiPriority w:val="0"/>
    <w:pPr>
      <w:spacing w:before="120" w:after="120" w:line="360" w:lineRule="auto"/>
      <w:ind w:firstLine="420"/>
    </w:pPr>
    <w:rPr>
      <w:szCs w:val="20"/>
    </w:rPr>
  </w:style>
  <w:style w:type="paragraph" w:customStyle="1" w:styleId="202">
    <w:name w:val="正文五"/>
    <w:basedOn w:val="1"/>
    <w:qFormat/>
    <w:uiPriority w:val="0"/>
    <w:pPr>
      <w:snapToGrid w:val="0"/>
      <w:jc w:val="center"/>
    </w:pPr>
    <w:rPr>
      <w:sz w:val="24"/>
      <w:szCs w:val="28"/>
    </w:rPr>
  </w:style>
  <w:style w:type="paragraph" w:customStyle="1" w:styleId="203">
    <w:name w:val="表字1"/>
    <w:basedOn w:val="1"/>
    <w:qFormat/>
    <w:uiPriority w:val="0"/>
    <w:pPr>
      <w:adjustRightInd w:val="0"/>
      <w:spacing w:line="360" w:lineRule="auto"/>
      <w:jc w:val="center"/>
      <w:textAlignment w:val="baseline"/>
    </w:pPr>
    <w:rPr>
      <w:rFonts w:ascii="宋体"/>
      <w:kern w:val="0"/>
      <w:szCs w:val="20"/>
    </w:rPr>
  </w:style>
  <w:style w:type="paragraph" w:customStyle="1" w:styleId="204">
    <w:name w:val="正文缩进1"/>
    <w:basedOn w:val="1"/>
    <w:qFormat/>
    <w:uiPriority w:val="0"/>
    <w:rPr>
      <w:sz w:val="28"/>
    </w:rPr>
  </w:style>
  <w:style w:type="paragraph" w:customStyle="1" w:styleId="205">
    <w:name w:val="无间隔2"/>
    <w:qFormat/>
    <w:uiPriority w:val="0"/>
    <w:pPr>
      <w:widowControl w:val="0"/>
      <w:jc w:val="center"/>
    </w:pPr>
    <w:rPr>
      <w:rFonts w:ascii="宋体" w:hAnsi="Courier New" w:eastAsia="仿宋_GB2312" w:cs="Times New Roman"/>
      <w:kern w:val="2"/>
      <w:sz w:val="24"/>
      <w:lang w:val="en-US" w:eastAsia="zh-CN" w:bidi="ar-SA"/>
    </w:rPr>
  </w:style>
  <w:style w:type="paragraph" w:customStyle="1" w:styleId="206">
    <w:name w:val="默认段落字体 Para Char Char Char Char Char Char Char Char Char Char Char Char Char"/>
    <w:basedOn w:val="1"/>
    <w:qFormat/>
    <w:uiPriority w:val="0"/>
    <w:rPr>
      <w:sz w:val="24"/>
    </w:rPr>
  </w:style>
  <w:style w:type="paragraph" w:customStyle="1" w:styleId="207">
    <w:name w:val="表内容"/>
    <w:basedOn w:val="208"/>
    <w:qFormat/>
    <w:uiPriority w:val="0"/>
    <w:pPr>
      <w:widowControl/>
      <w:adjustRightInd w:val="0"/>
      <w:snapToGrid w:val="0"/>
      <w:jc w:val="center"/>
    </w:pPr>
    <w:rPr>
      <w:snapToGrid w:val="0"/>
      <w:kern w:val="0"/>
    </w:rPr>
  </w:style>
  <w:style w:type="paragraph" w:customStyle="1" w:styleId="208">
    <w:name w:val="24磅正文"/>
    <w:basedOn w:val="1"/>
    <w:autoRedefine/>
    <w:qFormat/>
    <w:uiPriority w:val="0"/>
    <w:pPr>
      <w:spacing w:line="480" w:lineRule="exact"/>
      <w:ind w:firstLine="480" w:firstLineChars="200"/>
    </w:pPr>
    <w:rPr>
      <w:rFonts w:eastAsia="宋体"/>
    </w:rPr>
  </w:style>
  <w:style w:type="paragraph" w:customStyle="1" w:styleId="209">
    <w:name w:val="缩进"/>
    <w:basedOn w:val="1"/>
    <w:qFormat/>
    <w:uiPriority w:val="0"/>
    <w:pPr>
      <w:snapToGrid w:val="0"/>
      <w:spacing w:line="360" w:lineRule="auto"/>
      <w:ind w:firstLine="200" w:firstLineChars="200"/>
    </w:pPr>
    <w:rPr>
      <w:sz w:val="24"/>
      <w:szCs w:val="21"/>
    </w:rPr>
  </w:style>
  <w:style w:type="paragraph" w:customStyle="1" w:styleId="210">
    <w:name w:val="框图"/>
    <w:basedOn w:val="1"/>
    <w:qFormat/>
    <w:uiPriority w:val="0"/>
    <w:pPr>
      <w:adjustRightInd w:val="0"/>
      <w:snapToGrid w:val="0"/>
      <w:spacing w:line="27" w:lineRule="atLeast"/>
      <w:ind w:left="12" w:leftChars="-38" w:right="-80" w:rightChars="-38" w:hanging="92" w:hangingChars="54"/>
      <w:jc w:val="center"/>
    </w:pPr>
    <w:rPr>
      <w:rFonts w:ascii="宋体" w:hAnsi="宋体"/>
      <w:spacing w:val="-20"/>
      <w:szCs w:val="21"/>
    </w:rPr>
  </w:style>
  <w:style w:type="paragraph" w:customStyle="1" w:styleId="211">
    <w:name w:val="报告表格"/>
    <w:basedOn w:val="1"/>
    <w:qFormat/>
    <w:uiPriority w:val="0"/>
    <w:pPr>
      <w:autoSpaceDE w:val="0"/>
      <w:autoSpaceDN w:val="0"/>
      <w:adjustRightInd w:val="0"/>
      <w:spacing w:before="40" w:after="40"/>
      <w:jc w:val="center"/>
    </w:pPr>
    <w:rPr>
      <w:kern w:val="0"/>
      <w:szCs w:val="20"/>
    </w:rPr>
  </w:style>
  <w:style w:type="paragraph" w:customStyle="1" w:styleId="212">
    <w:name w:val="表"/>
    <w:basedOn w:val="1"/>
    <w:qFormat/>
    <w:uiPriority w:val="0"/>
    <w:pPr>
      <w:snapToGrid w:val="0"/>
      <w:jc w:val="center"/>
    </w:pPr>
    <w:rPr>
      <w:spacing w:val="2"/>
      <w:sz w:val="24"/>
      <w:szCs w:val="20"/>
    </w:rPr>
  </w:style>
  <w:style w:type="paragraph" w:customStyle="1" w:styleId="213">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bCs/>
      <w:kern w:val="0"/>
      <w:sz w:val="24"/>
      <w:szCs w:val="21"/>
    </w:rPr>
  </w:style>
  <w:style w:type="paragraph" w:customStyle="1" w:styleId="214">
    <w:name w:val="表格填充1"/>
    <w:basedOn w:val="23"/>
    <w:qFormat/>
    <w:uiPriority w:val="0"/>
    <w:pPr>
      <w:snapToGrid w:val="0"/>
    </w:pPr>
    <w:rPr>
      <w:rFonts w:ascii="Times New Roman" w:hAnsi="Times New Roman" w:eastAsia="仿宋_GB2312"/>
      <w:snapToGrid w:val="0"/>
    </w:rPr>
  </w:style>
  <w:style w:type="paragraph" w:customStyle="1" w:styleId="215">
    <w:name w:val="char"/>
    <w:basedOn w:val="1"/>
    <w:qFormat/>
    <w:uiPriority w:val="0"/>
    <w:pPr>
      <w:widowControl/>
      <w:spacing w:after="160"/>
      <w:jc w:val="left"/>
    </w:pPr>
    <w:rPr>
      <w:kern w:val="0"/>
      <w:sz w:val="20"/>
      <w:szCs w:val="20"/>
    </w:rPr>
  </w:style>
  <w:style w:type="paragraph" w:customStyle="1" w:styleId="216">
    <w:name w:val="p18"/>
    <w:basedOn w:val="1"/>
    <w:qFormat/>
    <w:uiPriority w:val="0"/>
    <w:pPr>
      <w:widowControl/>
    </w:pPr>
    <w:rPr>
      <w:rFonts w:ascii="宋体" w:hAnsi="宋体" w:cs="宋体"/>
      <w:kern w:val="0"/>
      <w:szCs w:val="21"/>
    </w:rPr>
  </w:style>
  <w:style w:type="paragraph" w:customStyle="1" w:styleId="217">
    <w:name w:val="表格居中"/>
    <w:basedOn w:val="23"/>
    <w:qFormat/>
    <w:uiPriority w:val="0"/>
    <w:pPr>
      <w:spacing w:line="240" w:lineRule="atLeast"/>
      <w:jc w:val="center"/>
    </w:pPr>
    <w:rPr>
      <w:rFonts w:hAnsi="宋体"/>
      <w:sz w:val="18"/>
      <w:szCs w:val="18"/>
    </w:rPr>
  </w:style>
  <w:style w:type="paragraph" w:customStyle="1" w:styleId="218">
    <w:name w:val="03"/>
    <w:basedOn w:val="1"/>
    <w:qFormat/>
    <w:uiPriority w:val="0"/>
    <w:pPr>
      <w:spacing w:beforeLines="50" w:line="360" w:lineRule="auto"/>
      <w:ind w:firstLine="561" w:firstLineChars="200"/>
    </w:pPr>
    <w:rPr>
      <w:b/>
      <w:bCs/>
      <w:kern w:val="0"/>
      <w:sz w:val="28"/>
      <w:szCs w:val="28"/>
    </w:rPr>
  </w:style>
  <w:style w:type="paragraph" w:customStyle="1" w:styleId="219">
    <w:name w:val="标准"/>
    <w:basedOn w:val="1"/>
    <w:qFormat/>
    <w:uiPriority w:val="0"/>
    <w:pPr>
      <w:adjustRightInd w:val="0"/>
      <w:spacing w:line="312" w:lineRule="atLeast"/>
      <w:jc w:val="center"/>
      <w:textAlignment w:val="baseline"/>
    </w:pPr>
    <w:rPr>
      <w:kern w:val="0"/>
      <w:szCs w:val="20"/>
    </w:rPr>
  </w:style>
  <w:style w:type="paragraph" w:customStyle="1" w:styleId="220">
    <w:name w:val="y表头"/>
    <w:basedOn w:val="18"/>
    <w:qFormat/>
    <w:uiPriority w:val="0"/>
    <w:pPr>
      <w:widowControl w:val="0"/>
      <w:tabs>
        <w:tab w:val="left" w:pos="900"/>
      </w:tabs>
      <w:adjustRightInd w:val="0"/>
      <w:snapToGrid/>
      <w:spacing w:before="0" w:after="0" w:line="240" w:lineRule="auto"/>
      <w:ind w:right="0"/>
      <w:jc w:val="center"/>
      <w:textAlignment w:val="baseline"/>
    </w:pPr>
    <w:rPr>
      <w:rFonts w:hint="eastAsia" w:ascii="宋体" w:hAnsi="宋体" w:eastAsia="楷体_GB2312"/>
      <w:b/>
      <w:kern w:val="2"/>
      <w:sz w:val="24"/>
    </w:rPr>
  </w:style>
  <w:style w:type="paragraph" w:customStyle="1" w:styleId="221">
    <w:name w:val=" Char Char2"/>
    <w:basedOn w:val="1"/>
    <w:qFormat/>
    <w:uiPriority w:val="0"/>
    <w:rPr>
      <w:sz w:val="24"/>
    </w:rPr>
  </w:style>
  <w:style w:type="paragraph" w:customStyle="1" w:styleId="222">
    <w:name w:val="批注主题 Char Char"/>
    <w:basedOn w:val="15"/>
    <w:next w:val="15"/>
    <w:qFormat/>
    <w:uiPriority w:val="0"/>
    <w:pPr>
      <w:spacing w:line="360" w:lineRule="auto"/>
    </w:pPr>
    <w:rPr>
      <w:b/>
      <w:kern w:val="2"/>
      <w:sz w:val="28"/>
    </w:rPr>
  </w:style>
  <w:style w:type="paragraph" w:customStyle="1" w:styleId="223">
    <w:name w:val="f1"/>
    <w:basedOn w:val="1"/>
    <w:qFormat/>
    <w:uiPriority w:val="0"/>
    <w:pPr>
      <w:widowControl/>
      <w:spacing w:before="100" w:beforeAutospacing="1" w:after="100" w:afterAutospacing="1" w:line="420" w:lineRule="atLeast"/>
      <w:jc w:val="left"/>
    </w:pPr>
    <w:rPr>
      <w:rFonts w:ascii="Arial Unicode MS" w:hAnsi="Arial Unicode MS" w:eastAsia="Arial Unicode MS" w:cs="Arial Unicode MS"/>
      <w:color w:val="0000FF"/>
      <w:kern w:val="0"/>
      <w:sz w:val="27"/>
      <w:szCs w:val="27"/>
    </w:rPr>
  </w:style>
  <w:style w:type="paragraph" w:customStyle="1" w:styleId="224">
    <w:name w:val="表序号"/>
    <w:basedOn w:val="7"/>
    <w:qFormat/>
    <w:uiPriority w:val="0"/>
    <w:pPr>
      <w:numPr>
        <w:ilvl w:val="0"/>
        <w:numId w:val="0"/>
      </w:numPr>
      <w:tabs>
        <w:tab w:val="clear" w:pos="1080"/>
      </w:tabs>
      <w:adjustRightInd/>
      <w:snapToGrid/>
      <w:spacing w:before="0" w:after="0" w:line="360" w:lineRule="auto"/>
      <w:ind w:left="1134" w:hanging="1134"/>
      <w:jc w:val="center"/>
    </w:pPr>
    <w:rPr>
      <w:rFonts w:ascii="宋体" w:hAnsi="宋体" w:eastAsia="宋体"/>
      <w:sz w:val="24"/>
      <w:szCs w:val="20"/>
    </w:rPr>
  </w:style>
  <w:style w:type="paragraph" w:customStyle="1" w:styleId="225">
    <w:name w:val="Plain Text"/>
    <w:basedOn w:val="1"/>
    <w:qFormat/>
    <w:uiPriority w:val="0"/>
    <w:rPr>
      <w:rFonts w:ascii="宋体" w:hAnsi="Courier New"/>
      <w:szCs w:val="21"/>
    </w:rPr>
  </w:style>
  <w:style w:type="paragraph" w:customStyle="1" w:styleId="226">
    <w:name w:val="正文文本缩进2"/>
    <w:basedOn w:val="1"/>
    <w:qFormat/>
    <w:uiPriority w:val="0"/>
    <w:pPr>
      <w:spacing w:after="120"/>
      <w:ind w:left="420" w:leftChars="200"/>
    </w:pPr>
  </w:style>
  <w:style w:type="paragraph" w:customStyle="1" w:styleId="227">
    <w:name w:val="Table Paragraph"/>
    <w:basedOn w:val="1"/>
    <w:qFormat/>
    <w:uiPriority w:val="1"/>
    <w:pPr>
      <w:autoSpaceDE w:val="0"/>
      <w:autoSpaceDN w:val="0"/>
      <w:adjustRightInd w:val="0"/>
      <w:jc w:val="left"/>
    </w:pPr>
    <w:rPr>
      <w:kern w:val="0"/>
      <w:sz w:val="24"/>
    </w:rPr>
  </w:style>
  <w:style w:type="paragraph" w:customStyle="1" w:styleId="228">
    <w:name w:val="图片"/>
    <w:basedOn w:val="1"/>
    <w:qFormat/>
    <w:uiPriority w:val="0"/>
    <w:pPr>
      <w:spacing w:line="440" w:lineRule="exact"/>
    </w:pPr>
    <w:rPr>
      <w:sz w:val="24"/>
      <w:szCs w:val="20"/>
    </w:rPr>
  </w:style>
  <w:style w:type="paragraph" w:customStyle="1" w:styleId="229">
    <w:name w:val=" Char"/>
    <w:basedOn w:val="1"/>
    <w:qFormat/>
    <w:uiPriority w:val="0"/>
    <w:rPr>
      <w:sz w:val="24"/>
      <w:szCs w:val="20"/>
    </w:rPr>
  </w:style>
  <w:style w:type="paragraph" w:customStyle="1" w:styleId="230">
    <w:name w:val="L3"/>
    <w:basedOn w:val="1"/>
    <w:qFormat/>
    <w:uiPriority w:val="0"/>
    <w:pPr>
      <w:widowControl/>
      <w:tabs>
        <w:tab w:val="left" w:pos="540"/>
      </w:tabs>
      <w:autoSpaceDE w:val="0"/>
      <w:autoSpaceDN w:val="0"/>
      <w:spacing w:line="360" w:lineRule="auto"/>
      <w:jc w:val="left"/>
    </w:pPr>
    <w:rPr>
      <w:rFonts w:ascii="宋体" w:hAnsi="宋体" w:eastAsia="黑体"/>
      <w:sz w:val="24"/>
      <w:szCs w:val="28"/>
    </w:rPr>
  </w:style>
  <w:style w:type="paragraph" w:customStyle="1" w:styleId="231">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32">
    <w:name w:val="se_st_doucm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33">
    <w:name w:val=" Char Char Char Char Char Char Char Char Char Char Char Char Char Char Char Char Char Char Char"/>
    <w:basedOn w:val="1"/>
    <w:qFormat/>
    <w:uiPriority w:val="0"/>
  </w:style>
  <w:style w:type="paragraph" w:customStyle="1" w:styleId="234">
    <w:name w:val="表文"/>
    <w:basedOn w:val="18"/>
    <w:next w:val="12"/>
    <w:qFormat/>
    <w:uiPriority w:val="0"/>
    <w:pPr>
      <w:widowControl w:val="0"/>
      <w:snapToGrid/>
      <w:spacing w:before="0" w:after="0" w:line="240" w:lineRule="auto"/>
      <w:ind w:right="0"/>
      <w:jc w:val="center"/>
    </w:pPr>
    <w:rPr>
      <w:kern w:val="2"/>
      <w:sz w:val="24"/>
    </w:rPr>
  </w:style>
  <w:style w:type="paragraph" w:customStyle="1" w:styleId="235">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23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37">
    <w:name w:val="编制说明"/>
    <w:basedOn w:val="1"/>
    <w:qFormat/>
    <w:uiPriority w:val="0"/>
    <w:pPr>
      <w:topLinePunct/>
      <w:adjustRightInd w:val="0"/>
      <w:snapToGrid w:val="0"/>
      <w:spacing w:line="360" w:lineRule="auto"/>
      <w:ind w:firstLine="420"/>
    </w:pPr>
    <w:rPr>
      <w:rFonts w:eastAsia="仿宋_GB2312"/>
      <w:szCs w:val="20"/>
    </w:rPr>
  </w:style>
  <w:style w:type="paragraph" w:customStyle="1" w:styleId="238">
    <w:name w:val="正文A"/>
    <w:basedOn w:val="1"/>
    <w:qFormat/>
    <w:uiPriority w:val="0"/>
    <w:pPr>
      <w:autoSpaceDE w:val="0"/>
      <w:autoSpaceDN w:val="0"/>
      <w:adjustRightInd w:val="0"/>
      <w:snapToGrid w:val="0"/>
      <w:spacing w:line="400" w:lineRule="atLeast"/>
      <w:ind w:firstLine="539"/>
    </w:pPr>
    <w:rPr>
      <w:rFonts w:hint="eastAsia" w:ascii="宋体" w:hAnsi="宋体"/>
      <w:kern w:val="0"/>
      <w:sz w:val="24"/>
      <w:szCs w:val="22"/>
    </w:rPr>
  </w:style>
  <w:style w:type="paragraph" w:customStyle="1" w:styleId="239">
    <w:name w:val="表格样式"/>
    <w:basedOn w:val="1"/>
    <w:qFormat/>
    <w:uiPriority w:val="0"/>
    <w:pPr>
      <w:adjustRightInd w:val="0"/>
      <w:snapToGrid w:val="0"/>
      <w:jc w:val="center"/>
      <w:textAlignment w:val="center"/>
    </w:pPr>
    <w:rPr>
      <w:sz w:val="28"/>
      <w:szCs w:val="20"/>
    </w:rPr>
  </w:style>
  <w:style w:type="paragraph" w:customStyle="1" w:styleId="240">
    <w:name w:val="默认段落字体 Para Char Char Char Char"/>
    <w:basedOn w:val="1"/>
    <w:qFormat/>
    <w:uiPriority w:val="0"/>
  </w:style>
  <w:style w:type="paragraph" w:customStyle="1" w:styleId="241">
    <w:name w:val="xl31"/>
    <w:basedOn w:val="1"/>
    <w:qFormat/>
    <w:uiPriority w:val="0"/>
    <w:pPr>
      <w:widowControl/>
      <w:pBdr>
        <w:left w:val="single" w:color="auto" w:sz="8"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242">
    <w:name w:val=" Char Char Char Char"/>
    <w:basedOn w:val="1"/>
    <w:qFormat/>
    <w:uiPriority w:val="0"/>
    <w:rPr>
      <w:sz w:val="24"/>
      <w:szCs w:val="20"/>
    </w:rPr>
  </w:style>
  <w:style w:type="paragraph" w:customStyle="1" w:styleId="243">
    <w:name w:val="环正文"/>
    <w:basedOn w:val="1"/>
    <w:qFormat/>
    <w:uiPriority w:val="0"/>
    <w:pPr>
      <w:adjustRightInd w:val="0"/>
      <w:spacing w:line="312" w:lineRule="atLeast"/>
      <w:ind w:firstLine="554" w:firstLineChars="231"/>
      <w:textAlignment w:val="baseline"/>
    </w:pPr>
    <w:rPr>
      <w:rFonts w:ascii="仿宋_GB2312" w:hAnsi="Courier New" w:eastAsia="仿宋_GB2312"/>
      <w:kern w:val="0"/>
      <w:sz w:val="24"/>
      <w:szCs w:val="20"/>
    </w:rPr>
  </w:style>
  <w:style w:type="paragraph" w:customStyle="1" w:styleId="244">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245">
    <w:name w:val="样式 文字 + 首行缩进:  2 字符3"/>
    <w:basedOn w:val="1"/>
    <w:qFormat/>
    <w:uiPriority w:val="0"/>
    <w:pPr>
      <w:spacing w:line="360" w:lineRule="auto"/>
      <w:ind w:firstLine="200" w:firstLineChars="200"/>
      <w:jc w:val="left"/>
    </w:pPr>
    <w:rPr>
      <w:rFonts w:eastAsia="仿宋_GB2312"/>
      <w:sz w:val="28"/>
      <w:szCs w:val="28"/>
    </w:rPr>
  </w:style>
  <w:style w:type="table" w:customStyle="1" w:styleId="246">
    <w:name w:val="Table Normal"/>
    <w:unhideWhenUsed/>
    <w:qFormat/>
    <w:uiPriority w:val="2"/>
    <w:pPr>
      <w:widowControl w:val="0"/>
    </w:pPr>
    <w:rPr>
      <w:sz w:val="22"/>
      <w:szCs w:val="22"/>
      <w:lang w:val="en-US" w:eastAsia="en-US" w:bidi="ar-SA"/>
    </w:rPr>
    <w:tblPr>
      <w:tblCellMar>
        <w:top w:w="0" w:type="dxa"/>
        <w:left w:w="0" w:type="dxa"/>
        <w:bottom w:w="0" w:type="dxa"/>
        <w:right w:w="0" w:type="dxa"/>
      </w:tblCellMar>
    </w:tblPr>
  </w:style>
  <w:style w:type="paragraph" w:customStyle="1" w:styleId="247">
    <w:name w:val="宋14"/>
    <w:basedOn w:val="1"/>
    <w:qFormat/>
    <w:uiPriority w:val="0"/>
    <w:pPr>
      <w:autoSpaceDE w:val="0"/>
      <w:autoSpaceDN w:val="0"/>
      <w:adjustRightInd w:val="0"/>
      <w:spacing w:before="113"/>
    </w:pPr>
    <w:rPr>
      <w:rFonts w:ascii="宋体"/>
      <w:b/>
      <w:bCs/>
      <w:kern w:val="0"/>
      <w:sz w:val="28"/>
      <w:szCs w:val="28"/>
    </w:rPr>
  </w:style>
  <w:style w:type="character" w:customStyle="1" w:styleId="248">
    <w:name w:val="font31"/>
    <w:basedOn w:val="49"/>
    <w:qFormat/>
    <w:uiPriority w:val="0"/>
    <w:rPr>
      <w:rFonts w:ascii="宋体" w:hAnsi="宋体" w:eastAsia="宋体" w:cs="宋体"/>
      <w:b/>
      <w:bCs/>
      <w:color w:val="000000"/>
      <w:sz w:val="28"/>
      <w:szCs w:val="28"/>
      <w:u w:val="none"/>
    </w:rPr>
  </w:style>
  <w:style w:type="character" w:customStyle="1" w:styleId="249">
    <w:name w:val="font41"/>
    <w:basedOn w:val="49"/>
    <w:qFormat/>
    <w:uiPriority w:val="0"/>
    <w:rPr>
      <w:rFonts w:ascii="宋体" w:hAnsi="宋体" w:eastAsia="宋体" w:cs="宋体"/>
      <w:color w:val="000000"/>
      <w:sz w:val="28"/>
      <w:szCs w:val="28"/>
      <w:u w:val="none"/>
    </w:rPr>
  </w:style>
  <w:style w:type="character" w:customStyle="1" w:styleId="250">
    <w:name w:val="font51"/>
    <w:basedOn w:val="49"/>
    <w:qFormat/>
    <w:uiPriority w:val="0"/>
    <w:rPr>
      <w:rFonts w:ascii="Calibri" w:hAnsi="Calibri" w:cs="Calibri"/>
      <w:color w:val="000000"/>
      <w:sz w:val="28"/>
      <w:szCs w:val="28"/>
      <w:u w:val="none"/>
    </w:rPr>
  </w:style>
  <w:style w:type="character" w:customStyle="1" w:styleId="251">
    <w:name w:val="font61"/>
    <w:basedOn w:val="49"/>
    <w:qFormat/>
    <w:uiPriority w:val="0"/>
    <w:rPr>
      <w:rFonts w:ascii="宋体" w:hAnsi="宋体" w:eastAsia="宋体" w:cs="宋体"/>
      <w:b/>
      <w:bCs/>
      <w:color w:val="000000"/>
      <w:sz w:val="28"/>
      <w:szCs w:val="28"/>
      <w:u w:val="none"/>
    </w:rPr>
  </w:style>
  <w:style w:type="paragraph" w:customStyle="1" w:styleId="252">
    <w:name w:val="！正文"/>
    <w:basedOn w:val="1"/>
    <w:autoRedefine/>
    <w:qFormat/>
    <w:uiPriority w:val="99"/>
    <w:pPr>
      <w:ind w:firstLine="480"/>
    </w:pPr>
  </w:style>
  <w:style w:type="paragraph" w:customStyle="1" w:styleId="253">
    <w:name w:val="D正文"/>
    <w:basedOn w:val="1"/>
    <w:autoRedefine/>
    <w:qFormat/>
    <w:uiPriority w:val="0"/>
    <w:pPr>
      <w:ind w:firstLine="200" w:firstLineChars="200"/>
    </w:pPr>
    <w:rPr>
      <w:rFonts w:ascii="宋体" w:hAnsi="宋体" w:cs="宋体"/>
      <w:sz w:val="24"/>
    </w:rPr>
  </w:style>
  <w:style w:type="character" w:customStyle="1" w:styleId="254">
    <w:name w:val="font71"/>
    <w:basedOn w:val="49"/>
    <w:qFormat/>
    <w:uiPriority w:val="0"/>
    <w:rPr>
      <w:rFonts w:ascii="宋体" w:hAnsi="宋体" w:eastAsia="宋体" w:cs="宋体"/>
      <w:color w:val="000000"/>
      <w:sz w:val="32"/>
      <w:szCs w:val="32"/>
      <w:u w:val="none"/>
    </w:rPr>
  </w:style>
  <w:style w:type="character" w:customStyle="1" w:styleId="255">
    <w:name w:val="font81"/>
    <w:basedOn w:val="49"/>
    <w:qFormat/>
    <w:uiPriority w:val="0"/>
    <w:rPr>
      <w:rFonts w:hint="default" w:ascii="Arial" w:hAnsi="Arial" w:cs="Arial"/>
      <w:color w:val="000000"/>
      <w:sz w:val="18"/>
      <w:szCs w:val="18"/>
      <w:u w:val="none"/>
    </w:rPr>
  </w:style>
  <w:style w:type="paragraph" w:customStyle="1" w:styleId="256">
    <w:name w:val="正文思密达"/>
    <w:basedOn w:val="1"/>
    <w:autoRedefine/>
    <w:qFormat/>
    <w:uiPriority w:val="99"/>
    <w:pPr>
      <w:spacing w:line="360" w:lineRule="auto"/>
      <w:ind w:right="105" w:rightChars="50" w:firstLine="480" w:firstLineChars="200"/>
    </w:pPr>
    <w:rPr>
      <w:rFonts w:ascii="Calibri" w:hAnsi="Calibri" w:cs="Calibri"/>
    </w:rPr>
  </w:style>
  <w:style w:type="paragraph" w:customStyle="1" w:styleId="257">
    <w:name w:val="正文格式"/>
    <w:basedOn w:val="1"/>
    <w:autoRedefine/>
    <w:qFormat/>
    <w:uiPriority w:val="0"/>
    <w:pPr>
      <w:ind w:firstLine="480" w:firstLineChars="200"/>
    </w:pPr>
    <w:rPr>
      <w:rFonts w:cs="宋体"/>
      <w:szCs w:val="20"/>
    </w:rPr>
  </w:style>
  <w:style w:type="paragraph" w:customStyle="1" w:styleId="258">
    <w:name w:val="样式2"/>
    <w:basedOn w:val="6"/>
    <w:autoRedefine/>
    <w:qFormat/>
    <w:uiPriority w:val="99"/>
    <w:pPr>
      <w:numPr>
        <w:ilvl w:val="1"/>
        <w:numId w:val="4"/>
      </w:numPr>
      <w:spacing w:line="360" w:lineRule="auto"/>
      <w:ind w:firstLine="0" w:firstLineChars="0"/>
      <w:outlineLvl w:val="1"/>
    </w:pPr>
    <w:rPr>
      <w:b/>
      <w:bCs/>
      <w:sz w:val="30"/>
      <w:szCs w:val="30"/>
    </w:rPr>
  </w:style>
  <w:style w:type="paragraph" w:customStyle="1" w:styleId="259">
    <w:name w:val="环评正文"/>
    <w:basedOn w:val="25"/>
    <w:autoRedefine/>
    <w:qFormat/>
    <w:uiPriority w:val="99"/>
    <w:pPr>
      <w:spacing w:line="500" w:lineRule="exact"/>
      <w:ind w:left="0" w:leftChars="0" w:firstLine="560" w:firstLineChars="200"/>
    </w:pPr>
    <w:rPr>
      <w:rFonts w:ascii="仿宋_GB2312" w:hAnsi="Calibri" w:eastAsia="仿宋_GB2312" w:cs="仿宋_GB2312"/>
      <w:sz w:val="28"/>
      <w:szCs w:val="28"/>
    </w:rPr>
  </w:style>
  <w:style w:type="character" w:customStyle="1" w:styleId="260">
    <w:name w:val="font21"/>
    <w:basedOn w:val="49"/>
    <w:qFormat/>
    <w:uiPriority w:val="0"/>
    <w:rPr>
      <w:rFonts w:hint="default" w:ascii="Times New Roman" w:hAnsi="Times New Roman" w:cs="Times New Roman"/>
      <w:color w:val="000000"/>
      <w:sz w:val="21"/>
      <w:szCs w:val="21"/>
      <w:u w:val="none"/>
    </w:rPr>
  </w:style>
  <w:style w:type="character" w:customStyle="1" w:styleId="261">
    <w:name w:val="font11"/>
    <w:basedOn w:val="49"/>
    <w:qFormat/>
    <w:uiPriority w:val="0"/>
    <w:rPr>
      <w:rFonts w:hint="eastAsia" w:ascii="宋体" w:hAnsi="宋体" w:eastAsia="宋体" w:cs="宋体"/>
      <w:color w:val="000000"/>
      <w:sz w:val="21"/>
      <w:szCs w:val="21"/>
      <w:u w:val="none"/>
    </w:rPr>
  </w:style>
  <w:style w:type="paragraph" w:customStyle="1" w:styleId="262">
    <w:name w:val="表文字"/>
    <w:basedOn w:val="1"/>
    <w:qFormat/>
    <w:uiPriority w:val="0"/>
    <w:pPr>
      <w:wordWrap w:val="0"/>
      <w:overflowPunct w:val="0"/>
      <w:autoSpaceDE w:val="0"/>
      <w:autoSpaceDN w:val="0"/>
      <w:adjustRightInd w:val="0"/>
      <w:spacing w:line="240" w:lineRule="atLeast"/>
      <w:ind w:firstLine="880" w:firstLineChars="200"/>
      <w:jc w:val="center"/>
      <w:textAlignment w:val="baseline"/>
    </w:pPr>
    <w:rPr>
      <w:rFonts w:ascii="Times New Roman" w:hAnsi="Times New Roman" w:eastAsia="宋体"/>
      <w:kern w:val="0"/>
    </w:rPr>
  </w:style>
  <w:style w:type="paragraph" w:customStyle="1" w:styleId="263">
    <w:name w:val="02-图表头"/>
    <w:basedOn w:val="1"/>
    <w:qFormat/>
    <w:uiPriority w:val="0"/>
    <w:pPr>
      <w:spacing w:line="360" w:lineRule="auto"/>
      <w:ind w:firstLine="0" w:firstLineChars="0"/>
      <w:jc w:val="center"/>
    </w:pPr>
    <w:rPr>
      <w:b/>
    </w:rPr>
  </w:style>
  <w:style w:type="paragraph" w:customStyle="1" w:styleId="264">
    <w:name w:val="02-表内"/>
    <w:basedOn w:val="1"/>
    <w:qFormat/>
    <w:uiPriority w:val="0"/>
    <w:pPr>
      <w:spacing w:line="240" w:lineRule="auto"/>
      <w:ind w:firstLine="0" w:firstLineChars="0"/>
      <w:jc w:val="center"/>
    </w:pPr>
    <w:rPr>
      <w:sz w:val="18"/>
    </w:rPr>
  </w:style>
  <w:style w:type="paragraph" w:customStyle="1" w:styleId="265">
    <w:name w:val="01-正文（五/清单）"/>
    <w:basedOn w:val="1"/>
    <w:qFormat/>
    <w:uiPriority w:val="0"/>
    <w:pPr>
      <w:spacing w:line="240" w:lineRule="auto"/>
      <w:ind w:firstLine="0" w:firstLineChars="0"/>
      <w:jc w:val="center"/>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EyMTA1MTk1MzU1IiwKCSJHcm91cElkIiA6ICI0NTUxNjYxNDMiLAoJIkltYWdlIiA6ICJpVkJPUncwS0dnb0FBQUFOU1VoRVVnQUFBdUlBQUFGaUNBWUFBQUN6dTcxNkFBQUFBWE5TUjBJQXJzNGM2UUFBSUFCSlJFRlVlSnpzM1hsNEZGWFdCdkQzM082c0pDd2FFQlFWRVFXakpGM1Y0TDZOT3Fpb09MaWpzb2lLNDRhT3k3aWh1QTZPeWppNG9ZeU9nUHVHTzRMTDhDRWlLblpYcHdNQkhaUW9LTHRzQWJKMDEvbitTSGRQSitsc0NDVG8rM3NlSHRKMWI5MjYxWkRrZE5XcGN3R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2K1JscDRBRWYwMjdMN3ZRWHVtcDNuM2JlbDUwTTZyb3FKaThiTEZDMzVvNlhrUUVlMG9ETVNKNkZmcjFzM1hEWm42TEFTOVdub3V0RlA3RVZ2azNOTFNVR2xMVDRTSWFFZnd0dlFFaU9nM0lCUGRJT2dsa003WldWbndlRDB0UFNQYWlVUWpVV3dwTDRlcm1vbE1kQVBBUUp5SWZoY1lpQlBSTnBPZGxZWHJSbDZKL0FONnR2UlVhQ2RTc3VBYlBEcCtBdFp0Mk5EU1V5RWkycUVZaUJQUk51UHhlcEIvUUU4Y2VuQ2ZscDRLN1dUUzB0SmFlZ3BFUkR1Y2Fla0pFQkVSRVJIOUhqRVFKeUlpSWlKcUFRekVpWWlJaUloYUFBTnhJaUlpSXFJV3dFQ2NpSWlJaUtnRk1CQW5JaUlpSW1vQkRNU0ppSWlJaUZvQUEzRWlJaUlpb2hiQVFKeUlpSWlJcUFVd0VDY2lJaUlpYWdFTXhJbUlpSWlJV2dBRGNTSWlJaUtpRnNCQW5JaUlpSWlvQlRBUUp5SWlJaUpxQVF6RWlZaUlpSWhhZ0xlbEowQkVSRVMwclZpV3RYYzBHczJOUkNLbEpTVWxaVnN4aEJkQVpGdlBDNERrNStlM3ljcktxZ2dFQWxYeGpWMjdkczN5ZXIxYVdscGF2aDJPMldSK3Y3OWRaV1dsS1M0dVh0dVM4L2k5WVNCT1JFUkV2d2srbis4SUFKOTR2ZDRNcjlkN0dJQXZtck8vWlZsdkFWanZPTTdRclRsK3IxNjlkczNPenI1NzgrYk5keXhjdUhCTmNsdEJRY0VlWHE5M2lhcGVEZUN4K1BhT0hUdk9FWkhscGFXbEp6VTJ2cy9uNjJ1TWVUUWFqZDVTVkZRMFkydm1tRXBCUVVFbjEzVVhwcVdsdlE1Z1JIUDJ0U3pyUEZYTmJNNCtJdksrNHppcm1qWEozeWdHNGtSRVJMVFRLeWdvMkVkRTNnU3dTbFVqSWpMRjcvY2ZHZ2dFZm16cUdDTHl1YXJlYjl2MjJHQXdHRTV1c3l6ckRnQlgxTFBmbzhGZzhMNk1qSXpPQUlablpXWHRDV0RBcnptZlZEd2V6d3JYZFRPTk1lOFdGaFllVlZSVTVHeUxjY1BoOEVyYnR0OEhNTnp2OS84akVBZ3NiT3ErSXZLWWlMUlYxY29tOVBVQXlBUndHSUFhZ2JobFdZTUJITmpNcWNlVk9vN3o1RmJ1MjZJWWlCTVJFZEZPemJLc2ZBRFRSU1E5RW9rY1o0eXBBUEFaZ09rK24rL2tVQ2hVbW1vL244LzNSeEhaTi80NkZzQ1h1YTU3Z1dWWmg4ZTNSNlBScndDMEJaQWpJZzhsRFpFUDRHeFZUUWVBb3FLaStaWmwvVlZFSHJGdCt5L0JZUERoYlhtZWdVRGd4MTY5ZWgyZmxaVTExeGp6cXQvdkx3d0VBcHNiMnk4L1B6OG5Nek56WTFPT29hb0xiTnV1dDkxMTNZR2hVT2l0V3RzZUNJVkNveG9iMjdidFV3RzhXMDl6ZndDbjFkNG9JZ1pBbHFwV29QNlVvYzhCTUJBbklpSWkycEVzeXpvYXdGc2lZcUxSNktuaGNIZ2VBQlFXRnA1a2pKa3VJbDhVRkJTY0hnNkh2Nnk5cjRnTVJIVUFtS0NxdjRqSXVjbmJ2Rjd2UTZvS0FHWEJZUERPK0hiYnRsOVdWVGNhamI0WTMrWTR6bU9XWlowSDRQNkNnb0tweGhpL2lKd2pJdkgwalVzdHl6b2hhUTc3cUdxWFdGb01BTHpoT001ejlaM3Z3b1VMMS9oOHZuT05NWE9pMGVob0FEYzE5aDZWbEpTVVc1WTFxTlo1NWhoamRsSFZsSGNNVkhVWEFKdEVwS0xXOXJtTkhXOXJPSTR6S05WMnk3S09GcEdacWpvOEZBcTltS3JQem95Qk9CRVJFZTJNdkpabDNTNGl0Nm5xc2tna2NuSThDQWVBb3FJaXgrLzNIK2E2N2djZWorZFR5N0x1TThhTVNYNVEwbkdjSy9Mejh6dG5abWFPcWFpb3VINysvUG0veE5zc3l4b2tJdjFjMS8yTDR6anJMTXRLdmhLT2dvS0NyZ0RPRkpIWHcrSHdOMGxOR29sRS91ejFlZzhPaDhQZldKWmxBWWlvYWxSRW9Lb3VhbDdaMWRpZkNJQjRlNE5Db2RCYzI3WS9GNUZyQ3dvS25neUh3NHNiMlNYaU9NN0xTYS9GdHUyNXF1cGR1M2J0b2FrZUZMVXNheUtBZzZQUjZMSGhjSGhsWTNQYVhrUmsxOWpmSzFwcUR0c1RBM0VpSWlMYXFkaTI3UWZ3T0lCRFZQVVRZOHhneDNHVzFlNFhDQVMrNjlXcjEyRlpXVm5QaXNoZHJ1dWVZMW5Xclk3anZJdnE0QmV1NjFZQk9DMDlQVjBBREl2dGFnQ01BbEFlQ29WU3BuUVlZNjVXVlNNaWQ5WnVLeTR1TGdaUURBQ3hBUGpsZ3c0NmFNLzA5UFFmUmVUcFlERDRlTHl2WlZraEVWa2VEQWJQYXVyNSsvMytiRlh0S3lMcEhvL25MZ0JEbXJwdmpLcnFPQkdadk1zdXU5eGZXbHA2YlhLanorZnpBUmdNNE4yV0RNSmo5Z0NBK3E3Yzcrd1lpQk1SRWRGT29iQ3djQTlqekJoVnZSQkFKWUNiSGNkNUFMR2dPcFZZOVpJQnRtMWZKaUlQQW5qYnNxejUwV2owdkhBNFBHL2h3b1ZyYk51K1ZVU2VzaXpyV2NkeFp2cDh2c0VBZWtXajBjTUFSR3VQMmJ0Mzd3N0dtTXNCVEE0R2d3dUE2b2RGalRISHhQc1lZejRMQm9PTDRxOHpNaklrbHQ3eXE2bnFTUUF5VlhXdWlKeHYyL2JkeWNkcUNzZHhuck50K3h4VnZiaWdvT0J2U1FHM0dHUEdxK3J5TFZ1MlhOeVVzWXd4ZjdVczY5ckdlOExUbkRrQ2dLcm1BNmdNaFVMZk4zZmZuUUVEY1NJaUl0b3BxT3B1SWpJSXdJZXU2NzVoakhuUXR1MWJtcnAvTkJxOXhCaHpuSWdjdm1USmtpVStuMjlZYk55b2lIeW1xdnY1Zkw1OWpERjNxMnF4aU9UN2ZMNThBRFZxYTN1OTNxc0I1QUpJUEl6cDhYZ09FWkZuNDY5ZDE3MElRQ0k0amthanhoZ0QxM1YvZFRTdXFzTUFySEpkZDZESDQxbWtxcmNBYURSb3RtMjd3SFhkeEpPWXFqcFhWVXVNTWYyckw0SURBQW9BSENvaUV6TXpNMDlMMmc0UitjVnhuSGRTekdlYXFrNXA3UGdpVWdpZ1JzRGV1M2Z2N2w2dk4xelBMaENSVEZVMWxtV3RiMng4VmYxREtCVGFMam5zMndzRGNTSWlJdG9waE1QaG9HVlpoWTdqbFBqOS9yMmkwV2k3Mm4xRTVCb1JjVjNYZmJSMm05ZnIvU0lRQ0x5SzZ2enlEZ0R1amJlcEt1SnBKckVyMTNraUVtOWZDQ0FVNyt1Njdyc2VqK2NTVlgzWnNxd1RITWY1MlhHY1Y3dDE2L1pXdTNidGR2VjRQRXNCSUphT0VpL0oxeVUydndOczIwNnVHWjRMSUpLOFRVUytEZ1FDcTFPOUI1Wmw3UzBpSndONHZLaW82Q2ZMc3A0VmtVc3N5N3JiY1p3Zkduci9WSFdBTWVZZVZkMlVkS3hVL1RZQk9GdEV6cTdWRkFaUU94QS8xQml6cnI3NUppc29LR2lUbHBiMjFKbzFheEpWYktxcXF0Wjd2ZDdIVXZVWGtWeFVsNHo4SE1Dc3hzYVBSQ0xMRyt2VDJqQVFiMFYwVzkyem9sWkZVdjJVSXlLaXJlSTRUZ2xRWGNvUHdFTzEyMjNiUGc5QUpCUUsxV2xMRW9rdEtOTzFxY2ROZmxpenFLakk4Zmw4Unh0ajVnQjRCY0F4QU56UzB0Snl2OTlmRWY5MW5wYVdkZ3FBOGNuamlNaFZBSzVLY1lnUDRsK282c2tBcHRVemxac0JlRjNYblJqcis0Q0lYQ0lpOXdHNHNDbm5vcXBkUTZIUXVxYjByWTl0MjRjQ2FCOGJEOGtsRHpkdjNqeDM0Y0tGYTJKbEU0K3NkV3pzc3NzdTNYYlpaUmRzMkxCaFJpeDE2T1o2am5GWmJKOEhRcUhRMjc5bXZxMFZBM0VpSWlMNjNTb3NMRHpTR05PNXZuYlhkUmNVRlJYTnI3MDlGQXFWK255K1B4dGozckp0KzVSZ01GaW5QdmJhdFdzbjdycnJycS9IeGhrYXEwRit0SWdzaVBkUjFSa0FWdFlxbVpneURjUHY5L2R5WFhjNGdMZENvVkFvUGcvYnR2K2xxcGRibHZXNDR6aHpHamhkQVlDeXNySkdLN00wd1Q4QkhKS3FJU3NyNjQ4QVB2WjZ2ZDJROUFHanR1enM3RDBCTEczZ0dDTUFiSFJkOTJPZnozZTJNV1pNVlZWVnYrTGk0dDlNdmpnRGNTSWlJdHJweFBLNzY4UXhxcG9uSWxHZnozZEppdDBpb1ZCb1l2SUdqOGN6Q3NBSnFscW5oQitBYkJINUc2b3JxTlFSQ29YZXRtMTdOWUNUa0dLaG10TFMwdko0YVVEYnRvOEVzQ0VZRE00R2tBaUVMY3VLaWtoVkUxSTdSRldmQUtBaWNrT05rNHBFN3ZKNnZSY0FtSkNmbis4dktTbXBiNVhMOUZqL1JsZkJiQXBWZlVkVmh5WW1LSEtBaUh4ZXU1L3J1bjhDTURPcDN3QVJtZFRRMkpabEhRL0FWdFh4NFhCNGs4L25hd2RnMy9UMDlQUnRNZmZXZ29FNEVmMG1WVlpXWXNPR0RkaDExMTFUNWtBQ1FHbHBLYnAxNjlhazhlNjc3ejRjZlBEQitPTWYvMWh2bjd2dXVndCt2eCtubm5ycVZzMTVlMWk3ZGkzV3IxL2Y1UE1rMmxtSXlKTWlrbEZmdXpIbVg3VzN4VlpubkpoaSszdU80L3lwOW5iTHNocTZXaHZmZHlXQVhScnFVMWhZdUQrcVY0MThCa2xCZUhQRUhrcjlBNEMvQndLQjc1TGJ3dUh3eWxoTjlVY3lNakllQkhCTlBjTzBCeEJKVlRkOEsxVWxwN2dVRkJSczlIcnJocFlpc3NseG5FUS95N0lhWEEyMG9LQ2dEWUIvQVNpdnFxb2EwOWdrWXYzYnRJSlNpODFtV25vQzFMQ3FxaXFzV3JYcVY0OFRpVVN3Y09GQ3VHN3E3LzlObXpiVjJiWm16WnA2KzlmbnE2Kyt3b3daTTdacWprVGIwcWVmZm9vVFR6d1JaV1ZsaVcxVHBrekJoQWtUQUFBLy9QQUR6anJyTEx6Ly92czE5dnZuUC8rSkJ4NTRBSldWTlM4WVRaMDZGUXNXSk80bW83S3lFdEZvemFwbUgzendBZWJQcjNrSHU3eDhXLzIrYTc1SUpJSmh3NGJobW11dXdlYk5qYTZDVGJSVGNSd25NeGdNU3UwL0FBSUF2a3pWNWpoT1ptUGpOb2ZmNzk4TFFBOEE5VDRrMmExYnQweGp6QXVxR29sRUl2L1ltdVA0Zkw3VEFkeXRxbCt2V3JYcXJsUjlITWQ1WEZWbmlzaEl5N0tHMXpQVVhxcmE2aGZHOFhnOFkwVmtId0QzekpzM2Iwa1QraC9nOVhwL3RtMzczTWI2dGphOEl0N0szWEhISGZqNTU1OHhjZUxFZXEvcUpmdmxsMTlRV2xxS3RtM2Jva2VQSG9udGI3MzFGc2FNR1lQbm4zOGVCeHh3UUkxOXhvMGJoOW16WitQWlo1OUZtelp0QUZRL1RISGRkZGNoUFQwZFR6MzFGSXhwMm1lMkYxNTRBVXVXTE1FZi92Q0hacHdsdFFTLzM1K21xa2Y5OHNzdm4yL0RxeU90Mm9ZTkd6Qmh3Z1QwN2RzWGxtWGgxRk5QeFQvKzhROGNjY1FSYU4rK1BYNzQ0UWU4OU5KTE9PU1FROURRM2MveThuSmNjTUVGT1BQTU0zSCsrZWZYMjYrcXFncm5uWGNlQmc0Y2lLRkRxKy9lTGx5NEVKOTg4c2xXbjBQNzl1MXh3UVVYTkttdjErdkZYLzd5Rjl4NDQ0MzQ3TFBQMEs5ZnY2MCtMbEY5WWl0TWRncUh3dzRhcU9mOVcyRloxcjlFNUVoVjNhQ3F2V0tiSjhmYlhkYzlVRVJnak1uSXo4OVB6OHpNL0Q4QWZRQmNYV3NGemlieCtYeW5pTWdycXJyY0dETmc2ZEtsVytycDZrYWowUXM5SGs4d1ZoTzl5bkdjNTVMYUJZQ042Z293clpabFdmZUx5R1VBL2hNTUJ2L2VsSDFjMTkzRjQvRjRYTmZkNlg2WE1SQnZoWkt2WEoxeHhobTQ0b29yOFBYWFgrUEFBNnNySUJsamtKbVppZEdqUjJQRGhnM1l0R2tUeXNyS3NHelpNbXpZc0FFQWNQREJCMlA4K09vSHRTc3JLL0hNTTg5Zy8vMzNSM2w1T1J6SEFRRDA3TmtUMmRuWjZOKy9QMTU1NVJXTUhqMGFEejFVL1ZENHUrKytpM256NW1IVXFGRk5Ec0ovTGRkMU1XWEtGUHpqSC8vQWpCa3prSkZSOTQ3ajIyKy9qYnZ2dmp2bC9oZGVlQ0grOHBlLzFOaTJidDA2akI4L0hqTm56c1M2ZGV2UXBVc1huSDc2NlJnOGVEQThucnJyQ3N5WU1RT1RKazNDZi8vN1gzaTlYbGlXaGF1dXVxckdoNXF0SGJzVnlnYndTWWNPSFphMGE5ZHVnakhtWFZYOUliYUtYSjBGTEg0TExyendRa3lmUGgyUFAvNDRubjc2YVZ4MTFWV1lPWE1tQW9FQWpqLytlRHo4OE1QSXlNakFiYmZkMXVBNG1abVoySC8vL2ZIa2swK2lYNzkreU12TFM5bnYxVmRmeFpJbFM1Q1ZsWlhZOXUyMzMrTGYvLzczVnA5RDE2NWRhd1RpaXhjdnhvVVhObDRvNGE2NzdzSmRkNlc4a0lidTNidmp1ZWVlUzlsRzFCaGpqTjhZODVabFdRdFY5VWxWL1dEVHBrM0xGeTFhdEFrN3o4K1NMajZmcjA1cVNxeUdkZTNObndMb2hlcDg2dzlVOWRGUUtGUUNBSVdGaFg5QWRYbS9MUUR1ek16TW5PTzY3alBHbU9lRHdXREtFbjBBZmxiVmxMZStiZHUrQ3RVUFJXNk9SQ0lEVXEwZW1pd2NEaTh0TEN3OHcrUHhmQWhna21WWmZTb3FLbTRyS1NrcHN5enJPQkhwQ3FCT1djZXRKU0tlL1B6OG5QaHJZMHhXcW42dTZ4b2t4Wnl1NjVvVXZ5ZTlsbVg5UTBTdVZ0VWlZOHdaU1ByL0l5SVZBQkNKUk5yVzN0SGo4WFNMOVNtdDNkYmFNUkJ2WlRadTNJaGpqejIyenZZLy8vblBpYS8zM250dlRKa3lCVk9uVHNWKysrMkg3dDI3bzJmUG5zakx5MFBIamgzUnBVc1g3TDc3N29uK3p6Ly9QRmF1WEluVnExZGp4SWdSVUZXb2F1THErSDc3N1lkcnI3MFc0OGFOdy9mZmY0K2NuQnlNSFRzVy9mdjN4OENCQTV0OUR2VlZZU3d2TDBkNmVucWR3RjVWOGVtbm4yTENoQWxZdUxEaEQrcnIxbFdubVBYcDB3ZHQyOWI4WHR4dnYvM3E5QjA2ZENpV0xsMEt2OStQd3c0N0RKOS8vamtlZmZSUkxGNjh1RTVROHVLTEwyTHMyTEZvMzc0OVRqamhCS3hldlJxelpzM0MxMTkvallrVEo5WUl4cHM3ZG1zbUludDZQSjU3QU55cXFnSExzcjVTMWVKSUpESnIzcng1M3pVNlFDc1REb2RSV2xxYVNDUDU0SU1Qa0p1Ymk5NjllMlB4NHNVNCtlU1QwYlp0Vzh5YVZWMlM5dWFiYjBaNmVqcGVmZlZWekpvMUN5ZWRkQksrL2ZaYnJGMjdGcDA2ZFVJd0dBUlEvVUh4aHg5K3dNY2ZmNHk4dkR4Y2M4MDFtRGx6Smg1NzdESGNlV2VkRmE2eGV2VnFUSmd3QWIxNjljSlpaLzF2NWVvQkF3Wmd3SUFCS2VlK1lzVUs5Ty9mSDRNR0RjSU5OOXlRc2s5dDBXZ1U1ZVhsT082NDQyQlpWclBlcTdqMjdkdHYxWDVFeVVTa2w0ajhVMVh2eXMzTi9jcXlyQUNxNjA3UGRCem41MjExSEovUDl5Y1I2VlZmdTZwMkZoSFhzcXlVSmZGaWZZcERvVkFpTDAxRURoYVJONXR5L05oVjVqcWZYRzNiUGdyQVZBQWwwV2gwZ01mamVUdTI4dVU3cXZxRlpWbERVTDBhYUZYOGo0aDRWUFVaQU9rK24yK1lNU1pEVmRNQmZDSWl0d0s0UUZWTG85SG9hZUZ3ZUY1VDVsZFVWUFNaWlZrRFJHUUtnSkVaR1JuN0F6ZzFWaU45eStiTm01OXB5amhOOUtmTXpNeU5qWFh5ZUR6VGs4c2IxbWJidGgvVk9lR1dxbjZxcXFjSEFvRWFsV05pQ3l6QkdQT3diZHRQby9vOWhPdTZiVlgxcnlLeWNlUEdqYTM2YW44cURNUmJtVFp0MnVDVlYxN0JuRGx6Y01BQkI5VDRCZm5OTjk5ZzgrYk5PT1NRLzFVTHV2RENDOUcvZi85Nnh3dUZRbmp5eVNkeHlTV1g0UExMTHdjQWpCdzVFc3VYTDBlUEhqM3cvZmZmWSs3Y3VWQlZuSHZ1dVpnN2R5NCsvdmhqbEplWG8wZVBIbmpsbFZjQUFQMzY5VU9IRGgyYWRBNUxsaXpCc21YTDBLVkxsOFMyU0NTQ0cyNjRBVGs1T2JqMzNuc1JmNWlqdExRVWwxOStPVmF1WEluT25UdWpmZnYyaVdBN2xYamJ6VGZmakgzMjJhZkJlWXdiTnc1TGx5N0ZOZGRjZ3lGRGhnQUExcTlmanlGRGh1Qzk5OTdEd0lFREVWOHg3S2VmZnNLNGNlUFFwVXNYVEo0OEdidnNVdjNjVFR3NEh6dDJiT0lPUTNQSDNobkVGckxJTXNZY3FhcEhpTWltOVBUMEZaWmx6WGRkOThVMWE5YTgwOER0MEZibHd3OC94SnR2dnBsNHZtSGN1SEhJemMzRnVlZWVpOGNlcSsrQzFQOU1tellOMDZaTlE3OSsvWERtbVdkaTlPalJBS3J2TEgzMjJXZjQ0b3N2Y01RUlIrQ0JCeDdBdWVlZWkrZWVldzZEQmcxQ3o1NDlhNHh6Ly8zM1k4dVdMYmo5OXR0M3lGMmxQbjM2NE54emQ3cjBTUHFOaWYwc2FRZmdqNnA2dkloc1ZOVVZQcDl2YnV5cThNY0FJci9tR0NJeVVFUk9iMEsvZWdOeEFDOENlRDgyNTE5RVpHSXdHTHlvZGlmTHN1WWFZeHBkMFRGMnZGV3Erbk5sWldYL2VmUG1yZWpSbzhjUnVibTVWd0U0QjhEeEFOcW5XbGNpdmltcFNRSHM0N3J1U3lLeUo0Q3p3dUZ3c3g0V2N4em40NEtDZ3NNOUhzL0RWVlZWSTN3KzM2a0FqbFRWMjJOMXU3ZUpXTkE4T3Y3YUdMTVBnRlMzL1A0U2pVYS9UdXAzcklqY0F3QzJiUjhBNEF0Vk5TTHlvT000dHlMRi81RlFLQlN5YlhzVWdLdVRqMkdNaWFqcWYxVjE1S0pGaXlxMjFibnRLQXpFV3hsakRMcDE2NGJiYnJzTnMyZlB4aE5QUEFGakRDb3JLM0hUVFRjaEVvbmd0Tk5PYTlKWW16WnR3azAzM1lSZXZYcmgwa3N2QlFDODg4NDcrT3FycnpCcDBpU2twYVhoKysrL1R3VGI4WDFXcjE2TnJsMjc0dTIzLzFjN3YwK2ZQdWpRb1FOZWZmVlZyRjI3dHM2eDl0aGpqMFNsQ0ZYRmxDbFRjT1dWVnlaZTMzbm5uWmd6WjA2ZEhOVzFhOWVpc3JJU0kwYU13T0RCZ3pGMDZOQW1CZUtOZlNnb0t5dkQxS2xUc2Z2dXUyUHc0TUdKN2UzYXRjUEZGMStNdSs2NkMrKzk5MTRpV0g3OTlkY1JpVVF3WXNTSVJCQU9BSU1HRGNLTEw3NklyNzc2Q2l0WHJrU25UcDJhUGZiT0l1bE9oZ0RJVWRVY0Vkblg0L0VNNk5peDQ2cU9IVHUrb2FyLzNyeDU4K0xObXpkdmFxMkIrUTAzM0lBYmJyZ0JIMy84TVc2NjZTWk1tellOdWJtNWVQYlpaOUd1WFR2ODV6Ly9hWFNNK0Iyb1BuMzZZUGJzMlFDQUk0NDRBdWVlZXk1R2poeVo2RGRzMkRBc1dMQUF0YXNFcUNvNmR1eUlvVU9Ib2xldmVpL2NiUmQvL2V0ZkUzTnVpbnZ2dlpmUGROQTJsZlN6eEtocU93RHRqREg3QTdqQXNxeGxBQ2FyNnN2bDVlVkxJcEZJV1hPREo4ZHhoamJlcTFuajFmdWdoK000ZlpPK3ZnRkF2YmVxQW9IQXdnTVBQTER2L1BuemZ3R0EySG1OamYySjgzYnQyalV0TXpNenpldjFwclZwMDBZMmJkcWtIbzlIQWNBWW8rbnA2VzdzYXZBUHFMN0N2bFY1OTdFcjZQRXlUMHR0Mi82cjR6aGpHOXFuT1lMQjRLRXBOdjhmZ0dkcnpTSFZBMjZmSVdsVlU5dTJiMVRWMlk3ak5MZzhmVEFZdkEvQWZWczM0OWFwMVFiaVBwK3ZibjdHNzRUWDY4WGYvdlkzREI0OEdJRkFBSDM3OXNXVFR6NkoxYXRYWStMRWljak1iTnBEMzIzYXRFRmhZU0ZtenB5Slk0NDVCZ0JRVVZIOTgyNzQ4T29IcXQ5NDR3MU1tVElsc2MvVXFWTngrKzIzNDVsbm5rbVo5L3J1dSsvaSsrOXIxdEd2cUtoQTM3NTlhNVJzZStPTk56QjgrSENrcDZmajNudnZ4UWNmZklEKy9mdmp6anZ2ckpFL25aK2ZqdzgvL0xESk9kWHIxcTJETWFaT1drcHRjK2ZPUlNRU3dWRkhIVlhuSWRmRER6OGNBQks1OGdBd1owNzErZ2RISDMxMGpiNGlnc01PT3d4VHBreEJLQlJDdjM3OW1qMTJhLzIvSEkxRzI4U3YxQ2FmUjNKcVVmeHJFZWtJNE04QUxtclRwczAzMmRuWnhSMDdkdnhLVmVlRVFxRUdmM0MyRnUzYXRjTmVlKzNWcEw1ZHVuUkJibTV1dmUyUlNBUmZmZlVWQUdESWtDRllzV0lGVnF4WUFWWEZzbVhMTUdmT0hCeDExRkZRVlh6KytlZG8zNzQ5OHZQenQ4bDVOT2IwMDAvSHdRY2ZES0Q2NGUza0Q1WkE5WWZ0RjE1NEFXdldyRUhuenAyYi9KN3NDT29xMGozdVBqdmJoOWpmTzJQTVFmR3ZtL0N6cEF1QW0wUmtaRlpXVmdtQWtNL25DMFlpa2MvbXpac1gzbUdUM2s3aVFYZ0RJa3VYTG8yZ09vZThLYmJWdzY4YURBWWYzRVpqYlhQQllQQ2ZMVDJIbHRKcUEzRmp6RXN0UFllVzhNd3p6eVNDdUwzMjJndVRKazNDcEVtVDhPV1hYNkpUcDA0WU83YjZ3K3hGRjlXNWc1YlM5ZGRmajA4KytTU1J3enBxMUNnODlOQkRLQzh2eDZoUm81cGRuckQyQTExVlZWVTQ0WVFUYWxSaWFkT21EVFpzMklBWFhuZ0JDeGN1eEl3Wk0zRE9PZWZneGh0dnJIT0xQdFVEbVExWnYzNDlqREc0OTk1N2taYVdocnk4UEJ4eXlDRW9LQ2lvMGUrNzc2cFRtMU05WkptWGw0ZWNuQndzWGJvVXJ1dENWYkY0OFdMazVlV2x6SldOcDhEOCtPT1B6UjdiR05OcS95K3Jhc295UEtsK2tTYjlFczBBVUFDZ040Q3pSR1NWeitmN2I2V0x3SmFxbEZjOVdvMHp6amdENjlhdHd4RkhITkZvMzJ1dXVRYm5uSE5PdmUxYnRtekIxVmRmbmJKdDFxeFppZnp6dVBpSDZSMGhmbjdoY0JpWFhub3B6anp6VEZ4NTVaVm8wNllOM24vL2ZVeVlNQUZsWldVWU1XSUVoZzRkMnVRUDlqdUNBTWhPODU1ampEQVMzNG1vYWthcXFsNk4vQ3pKRWhHL3F0ckdtQXZTMHRKV1dKWlY0cnJ1aSt2WHIzLzk5MUxKaWFqVkJ1S3EybnArTyt4QTNidDNyeEdzcWlwYzE0WGY3Ni9STDM2VjYrNjc3OFo5OTZXK1MzUHh4UmZqbEZOT0FWRHpRY2FlUFh2V3FNeVNuQW9TMzc1aHc0YkU3ZmFHcmtCLy92bm5LQ3NycTdISVNWNWVIZzQ4OEVDTUh6OGVJb0pycjcyMlJnckhyN0Z1M1RwRUlwRWFhVE5QUHZra2pqcnFLSXdaTXlaUm5TSmVlMzNYWFhkTk9VNkhEaDJ3Wk1rU2JObXlCUlVWRlloRUlnMzJCWkNvU05PY3NkdTBhZE5xL3krbnlsVnNUQ3ovTTc2L0FaQWxJdTJNRzIyMUs1MFZGeGRqeG93WkdEeDRNS3FxcXBDZW5vNmJiNjQvZGZTT08rNUFKSkk2aGJXMHRCUVBQdmdnMnJWcmg3ZmVlcXRPKzFsbm5ZVisvZnBoeElnUk5iYnZpR0MzOWo5blFVRUJici85ZGp6MDBFT1lNV01HZHR0dE54UVhGK1BZWTQvRjlkZGZYK09CN3RaRUJkN1crajFEOVVwcjdnN0pQMHRVMWFDNmlsTmJFZUcvUGYydXRPWkF2UG5sT25aK00ycm5hbjc5OWRlNDdMTExNSFhxVk95MjIyNTFka2grS1BDUlJ4N0JYbnZ0aFQvOXFib0MwNzc3N3B2b2w3d28wSW9WSzJvc01uTFNTU2VocXFxcXhyaG5uMzEyNHV2YStlTEozbjMzWGV5KysrNTFhcE5mZHRsbG1ENTlPdnIyN2J2TmduQUErUGUvLzQzczdHeDRQQjZzV3JVS2dVQUFUenp4QkdiTm1vVXhZOFlrU2h2R3o2KytXdER4Sy9GVlZWWE42dHZjc1lIVyszOVpWZHNZWTk1THNUMWxmeEdCcWxhbzZqZXFXZ3dna1pyU3JaZnZXSWpXZndsNUIvdmhoeDhTZWRKWFgzMDFjbk56RTFlNE16SXljT0tKSndJQUprMmFoRm16WnVIcHA1OU83QnQvT0JPb2Z0Wmc5dXpaK095enoxQlJVWUdaTTJlaVk4ZU9HRGx5SlBiY2M4ODZ4eFVSNU9Ua3BHemJYdUlMRHlXWFNJdzc5ZFJUMGJkdlg0d2FOUXJCWUJEOSt2WERtREdOTGxMWFloVEFsc3JJaTIzU1BiK3BITkRmT21QTUVVaks5NDFyNkdjSmdDMnFXZ0lncEtwT3JFclRUcCthUXRSY3JUWVFENFZDLzlmU2MyZ0pydXZXV09WeXk1YnFOTEpObXpaaDQ4YnFDa0hHR0dSbFpjRjFYVmlXbFhnQTh0bG5uMFhYcmwwVFFRWlFIWFFEd0ZWWFhaWFlkc2tsbDlRNDV0aXhZeE1wS2w5Ly9UV2VmLzU1M0hQUFBZa2MyZnF1NW4zNzdiZVlNV01HcnJ2dXVqcHRYYnQyeGFCQmcvRDg4ODlqK3ZUcE5lYjBheVNuam5UdTNCbW5uSElLQ2dvS2NONTU1MkhxMUttNDdycnIwTDU5KzBUT2VlMlZEK1BpUVhKbVptWWliNzRwZlFFMGEyeWc5ZjVmOXZ2OTdXcmZMcTR0NllyVkdnRHZScVBSNXlPUnlIOHJLeXZYTFZxMGFNT09tbXR6M0hISEhUVld5N3pubm50d3dna25JRDA5dmM2RG1qLy8vSE9kRlRTVGZmamhoN2p2dnZ2UXFWTW5pQWdHRGh5SVcyKzl0VW1MYSswbzhidFlPVGs1T09LSUl4bzhuNDgrK2dnZmYveHhuZTJubm5wcWpROGdMVVg5SzgzcUFBQWdBRWxFUVZTTW9NcjFMRzZ0M3pPVW1zL25heGUvazl1RW55VXJWUFdWYURUNk9vREZBTmFHdytHNlN6c1QvVTYwMmtEODkrcW5uMzVLWE5GT2xueUZldSs5OThiRWlSTUJvTUVIeXBLOTlGSjFtdktnUVlQdzl0dHZZL1BtelJnMGFCQUExTWlaalFmN0J4OThjTDJMbE1TTkh6OGU3ZHUzeHhsbm5KR3kvWW9ycnNEczJiUHh0Ny85RFQxNjlLaHhoWDViMm5QUFBWRllXSWd2di93U2l4Y3ZobVZaaVZTYWVEcEpiZXZXclVOV1ZoWXlNek1USDBJYTZndjhMeDJvT1dQdlRKSitVYXFJbEt2cUJ0ZDFGNGpJc3l0V3JIajk1NTkvM2luV1NNL056Y1dmLy94bjVPVGs0S0dISHNKUlJ4MVY3OTJMeFlzWEl4S0pJQkFJMUVuL0FxcHp1NTk2NmluNC9YNGNlZVNSeU0zTmhZamduWGZlU1ZuZHgzVmRmUFBOTjVnOGVYS2R0b0tDZ3UxU1NhZXNyQXhBZFNCK3d3MDNwUHlBK05OUFAySHk1TWtZTUdCQWpZZEdmL3p4Ujd6d3dndXNJMDdiVk5MUEVoZkFGaEZacjZvQkFFODdqdk1CWXZXZkNiQXNheVNxNjZ3WGJhUHgvZ1ZnbXVNNGJ6UnhGN0VzSzg5eG5HYVZSNlJ0aDRGNEs5T2xTeGU4OGNiL3ZuL216WnVIMGFOSFk4S0VDWW1jNUxTMHRFUVEyRmoxa0xqa3ZQUFlBNFMvYXA0ZmZ2Z2hQdjMwVTF4OTlkVXBiNGtEMVNrQTk5eHpEeTY2NkNKY2ZmWFZtRGh4SWpwMTZ2U3JqbHVmN096c0dxL2psU0FXTDE1Y3ArKzZkZXV3ZnYxNkhIVFFRWWw5OC9MeXNHelpNcFNYbDljSm9FdExxeGZxaW4rUWFNN1lPNHY0cldJQUFRQmZSYU5SSnhLSmZERi8vdnhGTFR1ejVydnh4aHNCSU9XVjMyU2JObTNDL1BuelVWNWVqb2NmZmhqUFAvOThuVDU3N3JsbnlqU1RpUk1uNG9jZmZrZzVibEZSRVlxSzZ2NU9IVDU4K0hZSnhPUHoySHZ2dmRHM2I5K1VmWXFMaXpGNThtUWNjc2doTmU1TzNYTExMVWhMUzB0OEtDZjZ0V0lwYk9zQmZDVWljNlBSYUJHQTJVVkZSVCsxOU54YUl4SDVCNEJyQVNSK2FOaTJmWnFxTmxqSndIWGRjRkZSMGJjcHhqdktkZDF2VWgwcVB6OS90NHlNaks0QTloTVJHNEFmMVV2ZUx3TndRSXA5YUFkZ0lON0tlTDFlN0w3NzdoZytmRGhHakJpQnpwMDdBNmkrMnZYWVk0L2h5aXV2eEI1NzdJRVpNMllBcVA3bDJ4VGZmUE8vNzh1U2twSkVPc2FLRlN1d1pNbVNSRnU4SW9qak9EV0MvRDMyMkFOZHUzWUZVTDFpNEpneFk5Q2pSNDlHbDlZKzRJQURjUGZkZCtPV1cyN0JwWmRlaWllZWVBSjc3TEZIaytiY1ZCVVZGWmczYng1RUpGSGhwRStmUGdDcUsxakU2NW5ISmRlRmp1dlRwdyttVFp1R09YUG0xS2lwSEM4L2w1bVppZmlxWU0wZHU3VlQxWjhBVEhaZGQycGxaZVYzMmRuWnF4M0grVTFlc2VyU3BVdWl3czVycjcyRzh2SnlGQllXMWtqbnNHMGJlWGw1V0xCZ1FaMW5IK0tTUzM0bU8vVFFRekZ3NEVEY2ROTk4yMzd5OVZpMGFCSGF0bTNiN0ErNWl4WXR3a2NmZllSenpqbG51MzFBcHQ4WFZWMGtJczhDK0RBYWpmNFlEb2Qvd2E5Y3ZPZDM2bGtBdWFqbnpvR0l0QkdSR3dFODFOaEF0bTJmcEtwUEFOaERST3JjR2xUVk1nQnJBUmdBelN1alJ0c0VBL0ZXNk0wMzM4VENoUXV4NTU1N1lzMmE2Z1d3MnJScGc5TFNVdHh5eXkyWVBIa3lpb3VMMGIxN2QrVGs1RFJwelB2dXV3OGlnc3pNVEl3ZVBUcVJ4L2ZKSjU4azBsYVMxYTRxTVh6NGNGeDU1WlVvTHkvSERUZmNnTEt5TWp6KytPTjFGakpKcFYrL2ZsaTllalhHamgyTDRjT0g0NEVISGtCaFlXR1Q1cDFzMDZaTm1EZHZYbzJWUmN2THl6Rm16QmlzV3JVS3h4MTNYT0lXKzE1NzdRWGJ0aEVNQnZIMjIyL2o5Tk9yRjJGYnYzNDlKa3lZZ0l5TURBd2MrTDluS0FjT0hJaHAwNlpoL1BqeDZOdTNiK0o5ZmZubGw3RjA2VklNR2pRb2NhVzh1V08zVmx1MmJObVNtWmw1MHRxMWEyZitYa3FGeFplWG56dDNMcDU2NmluMDY5Y1BPVGs1V0xCZ1FhTFBFMDg4Z1RWcjFxQmZ2MzRZTjI0Y2pqenl5QmFjY2NPaTBTaSsvUEpMOU83ZHU5bjdkdTdjR1ZkZmZYV2lzaExSMXZKNFBFNGtFam1rcUtob0xyWmQzZXZmdTlHTzQ5eWZxc0cyN2RYSnIzMCszN0VpRXY5bG5HMk0yYyt5ckJOaXI3MGk0Z0w0RXNEUHFucWtpS3hRMVp1cXFxcSttVGR2M2xMdzM2eEZNUkJ2WmNyS3l2RE1NOCtnZi8vKzJHZWZmUktCZUZwYUdrYVBIbzJMTHJvSXI3NzZLcVpQbjQ3ampqdXUwZkZ5YzNOeHpUWFhZTUNBQVRYeVFLdXFxckI4K1hMazVlWGhzc3N1UzJ6LzZLT1BjTjk5OTJIS2xDazFGZ0pKVDArSDY3b1lOV29VaW91TGNkMTExelZyZ1pMenp6OGZ4aGc4OU5CRHVQVFNTL0gzdi8rOTJhdjViZG15QlZkY2NRVzZkZXVHL1B4OGJObXlCY1hGeFZpOWVuVmlOZEprTjk5OE15NjY2Q0xjZmZmZCtPaWpqOUN4WTBkOC92bm5XTDE2TlVhTkdvV09IVHNtK3ZicDB3Y0RCZ3pBTysrOGc3UFBQaHVISG5vb1ZxeFlnUysvL0JMZHUzZFByTFM0TldPM1ZpVWxKWlVBcHJmMFBMYVhWRFh5STVFSVhucnBKVHp4eEJQWVo1OTljTnR0dCtHUlJ4NnBrMWY5MDAvVmQ5SGpkNlNBbXVYV3R0YVNKVXV3YUZIOTJUN3IxMWV2cEwxMDZkTEVYYTlVMHRQVGNjUVJSK0RMTDcvRW1qVnJjTkpKSnpWNDNIZzV4dVQ1NStUa1lPalFiYnBBSWYxT0JRS0JId0g4Mk5MejJGbll0bDJBNnZVWTR1czU5TFZ0KzBKVkxYY2M1L1htamljaUx3UElpWTJYRFdBWWdBc0F3SFhkeTBLaFVHTFJDOHV5UGxiVk1zZHhHczdkb3gyR2dYZ3I4L2JiYjZPc3JDeVI4cEFjVFBUdTNSdmp4NC9IbWpWcnNIejU4aG9QY05Zbk96c2JRNFlNUVNRU3dkcTFhN0YrL1hwczJMQUI2OWV2eDdwMTY1Q1RrMU1qSUk1ZjlXM1RwazJkQjBGWHIxNk5CUXNXNE95eno4WUZGMXlROG5nclY2NnNrNjhkZDk1NTU2RkxseTU0NmFXWGNOaGhoelU2OTlweWNuSncybW1uWWU3Y3VZblZPTHQyN1lvenp6d1RGMTU0WVozajdydnZ2cGc0Y1NJZWZmUlJCSU5CUkNJUjlPclZDN2ZmZm52S3E1eTMzMzQ3dW5mdmppbFRwbURxMUtuWVpaZGRjTjU1NStIeXl5K3ZjK2VodVdQVGpqTi8vbng4OGNVWCtQVFRUeE1WaHBZdlg0N3AwNmZqMVZkZnhmTGx5M0h5eVNmajVwdHZSazVPRHZMeTh2RGRkOS9odGRkZVExNWVIbFFWYjc3NUpuSnljbUNNd2IvKzlTK3NXN2NPRlJVVmlacnlXMnZHakJrWU4yNWNvLzFTTFFxVXJGMjdkcGcrZlRvZWZ2amhPdC9EY2VQR2pVTjZlanF5c3JMdzJXZWZBUUJUVUloYWh6TUFqQVlTSDQ2SEFCZ2lJbXNBeEFQeGZKL1BWN2R5UTdVYUtTYU80eVN1R05pMnZkQjEzYWREb1ZDamFTdlVPakFRYjJYT1AvOThISGJZWVhBY0I2N3I0c01QUHdUd3Y0Y3l1M2Z2amx0dnZSVW5uWFJTbzB0VEwxdTJETU9HRFVOWldWbU51dUZBZFZEYm9VTUhISDMwMFUyK01wMlhsNGVKRXlmV3VGTCsybXV2SVJ3T0l5c3JDei8rK0NPKy9mWmJuSG5tbWZXT2Njd3h4K0NZWTQ2cHQvMjExMTZydHkwek16T3hRbWhUZGUvZUhROC8vSENUK2hwak1Ianc0Q2JYUFcvTzJMVGpmUGZkZDNqaWlTZVFsWldGWWNPR3dldjFZdEtrU1hqOTlkZHgrT0dINDk1Nzc0VmxXWW4rWjV4eEJtYlBubzBISG5nZzhjRzNRNGNPdU9XV1d5QWlpUlV4ZS9UbzBlaVY1OFlNR0RBQWh4OSsrSzhhQTZoK2xtVHo1czNZdkhrenJybm1tcFFQVEJjWEZ5ZFc2YzNJeU1DQUFRTzJLaVdNaUxhdFlEQjRiN2R1M2U0SGdGMTIyYVVNd0EyLy9QTExrMTZ2TnpsRjVGd1JTVjJTREdpVC9NTG44KzBuSXZFSHhtcWtwamlPOHgvVXpmMDJCUVVGbmJ4ZWIrZG9OTnJaR0xOYk5CcWR3aktTTFlPQmVDc2pJdWpldlRzZWZQQkJmUFhWVjhqS3lzTEZGMStjK0VXN2FkTW03TEhISGsxNkdLeGp4NDY0K09LTDBhRkRCN1J2M3g0ZE9uUkFodzRkMEs1ZHV5YmxkdGMzWnJKSUpJS3BVNmNDcUw3NmZzd3h4K0R5eXkvZnFyR0p0b1hUVGpzTkF3WU1xTEZ0NU1pUnVQamlpMU9XNU16THk4T2tTWlBxSFcvT25Ea3d4alRwZSthTEw3NW9zTDE5Ky9iYnRGVGdVMDg5VmUvRHovRkZpcUxSYUtMMlBSRzFDcEhTMHRJSWtDaUxHNm4xbk01dEFBS080M3lkYW1mTHNxNHp4bndlZjIyTUdhYXExd0IxVTFNS0N3dFA4M2c4RjZ2cWJpS3lHNEQ5QUdSNnZkNFZRR0pkalBYR21Ga0FHSWkzZ05hektnVkI2MXNKZ1hacVc3T1UvTTRtdHJMbVMyMXpjenMvOWVqRE9QVGdQaTA5SmRxSmZQSFYxeGg1L2MxWXRXYk5PaWdHbGk3a2dqNzArMkRiZGdUQXRjRmc4REVBc0N5clVGWDNhY3ErSG85blJpQVFXRjlydkJxcEtZV0ZoVWNhWTBZQVdDa2lLd0FNVjlWZlZQVmFqOGV6WXYzNjlTc1dMVnBVc1kxUGk1cUJWOFNKaUlpSVdrNmFaVm5IeEFMd1E0MHhsNmhxdlpXc1JNUUF5SXBHbzViZjcxL3N1bTd5QWdJMVVsT2kwZWdTeDNHR3hCc3R5em9SUUZrb0ZKcTd2VTZHbW9lQk9CRVJFZEdPNDdGdDJ3ZmdLRlUxQU1iRzdwek9BUkJXMWZjY3gwazhxRmxRVU5BekxTMXRTNnc2RFN6TDZpTWljd0hBZGQxOEFHL0Z1bm9CWktocUlqWEY0L0U4QmVENkhYWm0xR3dNeEZ1UjMwTUtBeEVSMGUrWlpWbFBBYmhZVlZWRVJGWGZVTlg3SGNjSldKWTF2blovcjlmN2x1dTZud0c0dEhhYjR6aHpFQ3RkYU52MlB3RmNvNnEzMWFxYVlnb0tDdkppZWVMdFZUWFB0dTIveHZQRzQzOVhWbGIrY2Q2OGVTdTIwMmxUUFJpSUV4RVJFZTA0SDdpdSs2WEg0M2xQVlplSXlQOEZnOEdVRDJZQ2dLcTJGWkVHSDZUczJiTm5ycW9PQmxCbWpOblB0dTJUZ3NIZ05NdXlTa1drSzRERUU5c2lzZ1hBQlNLeVhGV1hBd2dBV0Y1ZVhyNWxHNTBmTlFNRGNTSWlJcUlkeEhHY04rSmYyN2JkWUYrLzM1L3R1bTVuMTNXWE50UXZPenY3THlJeUIwQVBWVDBZd0RDZnozY3VnT3RWZFgwa0Vsa2hJaXU4WHU5THFyb3hPZldGV2hZRGNTSWlJcUpXS0JxTkRqVEdHQUNWOWZYeCtYemRST1FtVlQxWlJDYW82Z3ZHR0JHUjExUjFVUElxbXBabHBhek9abG5XNXdEdWR4em5uVzEvRnRRUTA5SVRJQ0lpSWlKQVJENFRrWThBd08vMzcyV01lUkJBbFlpTXMyMzdUYi9mdjY4eFppV0F4MVYxRlFBaklzOEMrTkp4bkUvajR3U0R3UWRWOVJFUjZaejZTUC9qOS91elJlUXdFZW01dmM2TDZzY3I0a1JFUkVRN25vay9yeG5mRUF3R253Y2dQcC92YkZWOUJFQmIxM1dQTU1aMEIvQ2c2N29sQUI0MXh0eFdWRlMwM3JidDQxUzFUeVFTS2FnOXVPTTRxYXFsdUNKU1k0V3Z5c3JLZmRQUzBnQmc0VFk5TzJvU0J1SkVSRVJFTzRodDI0ZXFxazlFdXFNNkdQL0Y3L2ZuUmFQUkkwWGtTQUJuaU1nK3FycEFSRTROaFVJQkFIUDlmdis3cnV2ZWFveTV5WFhkSVpabDNTRWl6Nmpxc0hBNHZMZ3B4eGFScFFET3RDenJhbFhkQ0FER21FRUFvcXJhOE5MQXRGMHdFQ2NpSWlMYVFWelg3VzZNR1E4QXF2cjF4bzBiMzgvT3ptN3I4WGllRTVFTVZaMnRxcmNaWTE0UEJBSlY4ZjBDZ2NCbUFLTUtDZ3FtZUR5ZXlTSml4ZHJmcU85WUtUd0lvQytBZjhaeXp3Rmd0ZXU2STBPaDBLcHRkWTdVZEF6RWlZaUlpSGFRVUNqMElvQ1hZeS9kMk44Yi9INS9Yd0EvQm9QQnpRM3RIdzZIZ3oxNjlQQzNhOWZPcmQwV0RBWjdOYlJ2TUJoY0FLRDNWa3lidGhNRzRrUkVSRVE3VnAwZ09oQUlORGxIZTlHaVJSWGJkanJVVWxnMWhZaUlpSWlvQlRBUUp5SWlJaUpxQVF6RWlZaUlpSWhhQUFOeElpSWlJcUlXd0VDY2lJaUlpS2dGTUJBbklpSWlJbW9CRE1TSmlJaUlpRm9BQTNFaUlpSWlvaGJBUUp5SWlJaUlxQVV3RUNjaUlpSWlhZ0VNeEltSWlJaUlXZ0FEY1NJaUlpS2lGc0JBbklpSWlJaW9CVEFRSnlJaUlpSnFBUXpFaVlpSWlJaGFnTGVsSjBCRXZ4M1JTQlFsQzc1cDZXblFUcVprd1Rlb3FxcHE2V2tRRWUxd0RNU0phSnZaVWw2T1I4ZFBRRnBhV2t0UGhYWWlWVlZWMkxCeFkwdFBnNGhvaDJNZ1RrUy9XcVc2eTlKRmxybXFtZXMyYkdqcDZkRE9TblZGcGVxeWxwNEdFZEdPSWkwOUFTTDZUVEI3OVRpd2wvR21kV3JwaWRET0t5cnU2aVVMd2lVQTNKYWVDe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VVV1emJmdFV5N0xtSFhUUVFYdHVvL0VPQUNETjJjZnY5N2V6YmZ0UXY5K2ZYVitmSGoxNlpGaVdkWlp0MnoxK3pmejhmbjg3eTdMMmJ1NStQcCt2MjY4NUxnRDA2dFZyVjUvUGQyeVBIajB5YWpVWm44OTNkb3Bkak0vbkcrYjMrOU9hYzV6Q3dzSURmVDdmc0s1ZHUyWnQvV3gvTmJGdCs3amtEVDE2OUdqYlVwTWhJdHBSdkMwOUFTTGFxYlFYa1FQVDA5TnJCNGYxTVFEY1ZBMkZoWVY3cU9wODI3YkhCSVBCMjVvNkFWVTlETUFIMFdqVUFoQksxU2M5UGIyRGlMd0c0QzhBL3RuVXNXdUxScU1YR0dNZTkvbDhWaWdVU25tczJtemJ2Z3pBZ3djZGROQis4K2JOVzlGWS8vejgvSnlNakl4ZUFObzRqak16dmowN08vc3dBTzltWjJmdkNXQnAwdmdIQVhqUnNxeDlIY2U1UDc3ZHNxd3JSZVFSVlYwTjRMMm1ucU9Jbkd5TWViQnQyN2JUQUd4cHJIOUJRWUZ0ak5tcnFlUFg0LzlDb2RDNitBdmJ0b2NCK0xmUDV6c2xGQXBOTFN3czdPZnhlTjRxS0NqWVB4d09MMjFnbk5wek84VHI5ZmI5TlJNVGtYY0NnY0NQdjJZTUlxS21ZaUJPUk51TDE3S3NWMFRrdTJBdytOZmFqY2FZQVNJaTBXajA3UjA5TWIvZm42YXFiNlpxVTlYM0hNZDVFZ0JFNUF3QUN4c0x3cnQyN1pyVnRtMWJEd0JVVmxhK2xaNmVmbTlhV3RxbCtmbjVpUThCSlNVbG0yemJ2bEZWRHdIUURrQmJBRjFFcEd1c3k0YXVYYnQyWHJwMGFZUEJjREFZREZ1V2RZK0kzSHJnZ1FkT21EOS8vaTkrdjcrTHF0NnJxbzg2anRQa0lIeHJlRHlla1NJeTlOZU1vYXA5QVh3TlZIOFFBZkEzVlowYkNvVSs2TnExYTViSDR4bXZxaGxlcnpkazIzWjh0NitEd2VCSnRtMWZwYW9QSlEyM3puR2N6Z0JnakRrTndHMnF1cW01Y3hJUkFaQ3Rxb3NBTUJBbm9oMkNnVGdSYlM4UkFDc0EzR2haMWdiSGNlNU5ib3dGYzk4VkZSVjk5U3VQWTN3K1grMHJ0QjBCUUZWM3FaMG1VbDVldmhIQWh0aVY0OXJPRTVGU0FEam9vSU4yRTVGalZQWDJ4aWJRc1dQSE9TSlNtTHhOUk83SnpNeThKLzQ2UHorL2k2cjJFNUg5QWN3QnNGQlZsNnZxejZxNlJGVi9XTHAwYVdWOXg3QnQreWhWZlRRMnRrZFZ5OVBUMC85aldSWmMxOTFWUk5vQ09ONnlyUGlIaHZNZHh5bHBiTzV4V1ZsWktWT0VDZ29LMm9URDRVUmdHNDFHLytyMWV1OU4xUmRBTm9BaVZYMUdSTzZ2cHc4MmJ0eTRKUDUxUmtiRzN3RHNxcW9uQTlCT25UbzlxS29SRVRrZEFGUzFBNENKSWhJR2dLcXFxcGxlci9mYStQNGlVbEZyK0RXTzQrUWxiN0J0ZXdTQXZZUEI0TzJvNXc1TkxJM3B2L1hObVlob2UyQWdUa1FKbG1VOURlQzgrdHBWMVZ0OTRSQkZsbVZwZmYxRTVMcGdNRGpCY1p5ckxNdmFUVVR1OGZsOFMwT2gwRVFBNk4yN2QyOEFod0NJV3BaVjF0Q2NST1RrWURBNHk3YnRFMVcxZzZvV2lnaEU1RVRMc25xcDZuZkdtSlRCdklqY0xpSTFBdW1zckt4bkFvSEFKUUNHMWU1djIvYXA4YS9UMDlQUEIrQVZrZEdXWlkycVozcGxqdU4wTnNhY3FhcUZydXUyZFYzMzYzaWpNYVlkZ0FIR21CZEtTa3BXVzVZRlZmM1FjWnhMR2pybmVyUVRrVUpWSGFtcXEyTGJkaGVSc2FwNnZhcitITnZXTVphaVVtOE9mU3F1NjU0QTRMbmtiYkh6UHMreXJINk80L3dNQU9Gd2VLWGY3eTlUMVhPRHdlQ3p5ZjN6OC9Oek1qTXpBV0JkTUJoY2xOem04L2xPRVpHeTVQUWIyN1l2QW5BMWdGR2hVQ2dVZTMybHFnNDB4bndSNnpZS3dDK3U2ejdSbzBlUHRzWEZ4Y1VBaXB0NlhwWmxIUVBnY1ZYOXVMQ3c4UEJVZllxS2lyNUl0WjJJYUh0aklFNUVDYW82QmNEQ1ZHM0dtQTRBYm8yOTNLeXFmMjlnbkhoZzdFYWowU0ZlcjNkL1k4eS9ldmZ1SFNndUxpNU9TMHU3Q2RYNXlEY0NpS1lhUTBUK0JPREVxcXFxZGJFeDd3WlFLQ0ltMXVWdUFDb2lOd0k0cmRidTdWRWRWUDRMd0R1MXhtMXEyc0Z3VloydHFtL1YydjlhQU90VjlWa1JxUVNBUUNEd25XVloxeHRqQmxaV1Zsb2xKU1hMQWNDMjdYOERHS1NxTDZMNkRrR2pDZ29LZW5vOG5qMEJGQUtBeCtNNTByS3MxUURTQUNBU2lienY4WGlPTHlzcm05eXVYYnQ5VkhXc01XWnFWVlZWbWRmckhRU2dSc3FOeitmcmI0dzV1UFp4Vk5WMUhPZnVwRTEvUmxJZ0hydUtmSStxenErcXFxcnhieFNOUnM4M3h2ekxzcXhkSE1jWjI5ZzVGUllXN2lFaWt3RlU5ZXpaYzc5dnZ2bG1ZMkZoNFpHcStpU0FhWTdqak9uWnMyZXVxdDR0SWpER3ZLbGE4M09lTVdaeGJtN3VKd0JPYU94NGNYNi92NWZydXEraCtyMC95aGd6clZhWGJCR1JBdzg4Y05lbWprbEV0QzB4RUNlaWhGQW9OQlhBMUZSdGxtVTlMU0xsQURJQjVJaElxZU00cnpjMlpqZ2MzdVQzKy8ra3FvT0xpNHVMQ3dzTDl3ZHdudXU2ajRSQ29jZGpZNyt0cWxOQ29kQ2syRzRleTdKdUFoQ0tYUUdGNHppSEFJQnQyeWNCK0VCVkQ2a3ZkenMvUDc5ejdNcHNTVEFZYkhiT2RHRmg0UjhBSEFUZ21WQW9sSnlQRE11eWJoQ1J6eHpIcWJGOTFhcFYxM2ZzMlBINHpNek15d0RjWmR2MlNhbzZURlV2RElWQ1JVMDl0dGZydlJyQWxmSFhJdklTQUxpdWU1RXhCaUtTSmlJMzV1Ym1kZ2NRZjcvZzhYanVCR0NMeUpUa0lGWkVqbGZWeTVLUElTTHBzWnpvdTVPMkhWNVFVSEJJT0J6KzB1ZnpYYUtxNDJQcElDZk1temR2VmZMK29WRG9hZHUyVHhHUnZ4Y1dGaFlYRlJWOTJNQXBpVEhtV1JGcEI2RGZOOTk4c3pFMjN3NnErdDlJSkhKK1FVRkJ2c2ZqK1JqQUNGVjlVVVFHUnlLUnVWNnY5eEVBUlpGSTVCbXYxM3N4Z0tPYStqN2F0bjJjNjdwdmlFaUdxczZvcUtqNFUwbEpTV1ZTKzVXcStvanJ1cmZObnovL0Y5dTJkMm5xMkVSRTJ3b0RjU0pxbEczYlJ3RVlvcW9QaWNndHF2b3dnSC8yN05semVqeXdha2dnRVBnT3dKMEFZSXg1RUVCbEpCTDVPd0IwNjlZdFUwUUdBQWpFKzF1V2RiYUlkSE5kZDhSMk9hRkdHR051aUgzWk8zbTczKy9QVnRYZFhOY3RqVyt6YmZzMHhBSm5WZDBDNEREYnRxZXBxaTBpWlNJeXhMYnRJYXI2ZmxPT3ZXblRwbHM4SHMrOW1abVpKd0I0TGhxTjJsVlZWY3N5TXpQN3h1WldBZUJ5RWZsM0pCSjUxZVB4d0hYZFRpSnlWaVFTT2M0WUV6WEdKTVp6SE9kNkFOY25IOE8yN1dtb3ZtdVFvS3ByUFI3UEhiWnR6d1R3ZHdDZlZWUlVuRDUvL3Z4ZlVzM1RkZDJMUkNSb2pIaytQeisvSUg0WG9EYmJ0djhPNEkrdTY5NGFDb1grRTk4ZURBYmZMU2dvK0xLNHVIaXRiZHVQcU9wNlk4d0hydXRDVmFPUlNDVGk4WGhjQUc3UzE3QnQrd0RYZFd0VTdZbEVJc3VTSzlURVVwK21BWGk1c3JMeXhyUzB0T2taR1JsVEN3c0xoMjdhdEdsamJtN3VBd0F1RnBFYkhNZDV1T0YvRVNLaTdZZUJPQkUxeU8vMzU2bnE4NnI2cElpVUFJRHJ1aE05SHM5SjJkblpqd01ZMHNTaDR0SGhENnI2U0R4d2F0dTJiWmZZOW5ieGppSnlLWURsWldWbGt4c2FzRnUzYnBudDI3ZlBOTWFVcW1yaTUxbnNhaTlVOWUrV1pkMmJ0UDN1WURENEFBQVVGaFllTENMNXllT3BhZ2FxcnlvZkJtQ1dpUFR0MGFOSHhxSkZpeXBpNXgzUFQvODJ2azhrRXZuSjQvSDhYOUlZQU9CVjFaa0FFcGVtUmVSYlZZV0lETFVzcTc0OC9GbU80NXdNWUtOdDIvR1VuRlVsSlNYTGJkdlcyT3Y5WGRmOTJSaHpsc2ZqNlJvYnU1M3J1djBCVktycS9nMjlaNzE2OWRvVndQR3FlblB5ZGhFWkMrQmVBUDBCdkxKaHc0YWg4Zk5PSlJRS3JiTXM2eUlBTXpJeU1pWURPTEYybjFncHh4c0J2QkFLaGNiVWJnK0h3eXNMQ2dvT1V0WHpWZlcwUUNCUVpWa1dST1R0MkIwTkFEZ3pNelB6N3RpNWZ3TGdYV1BNdnNuanBLV2wzUjZiT3dBZ2R1Zmx4S0tpb2hrQTRQZjdqMUhWRnp3ZXovemMzTnhOQUZ4VlBkcHhuRGtOdlZkRVJOc2JBM0VpYW9qSGRkMlhSU1N5Y2VQR1VXM2J0aDBBQUxHcmsxZUl5Q3pidG9QQllMREJXdDBGQlFXZHZGN3ZKNm82d25HY2tjbHRYcTgzSGpnZUhkKzJjdVhLVTNmZGRkZnU5UVNDYVFBZ0lnOTM2TkNoait1NkY3dXVlNzR4WnFTcStrUWs4U0JrTEI2SDY3cUhHbU51VTlWRWZyakg0emtmd0RYSnBlNUVwRTJzZk4yYVNDUXkydXYxQm5KemM0OEM4SEdzeStFQVlJejVQTDVQT0J3T0FnZ21UOUMyYlJXUndjRmc4UG5rN1pabDNRaGdGb0FKc1UxRFVKMExmbjNzK0N0VHZvRkpqREh2SWhiZ3g0TCtDZ0N2aVFnOEhnL1F5QUpKV1ZsWkY2aXFCMENOdEtKSUpETEo0L0VNQmJCck5CcTl1S0VnUE01eG5KbVdaVDB1SXQwS0NncXlJNUdhYWZDcTJnM0F6SXFLaXVIMWplSDFlaDlTMVo5amFWSHgvWTUxSEdlMlpWbVRBQVFjeDNuRXNxeVJBUHBISXBFL2VUeWVUQUNUUmVRelZaMWdqUG1wOXJoRlJVVXpldlRvMFRZbkorYzRWVDBkd0pHcXVsWkUxcWlxRFdDOFpWbWZpSWdUaVVSS3FxcXFxdExTbXJVV0VoSFJyOFpBbklqcVpkdjJPQUJIUjZQUkl4Y3RXclFocWFZemdzSGdGNVpsM1NVaUQvcDh2bStUQTZuYVBCN1BYd0FjcEtvSG9icDBYNEtxSGhJTG1QMldaZTN0T000UFM1Y3UzYkowNmRMNVNkMk1aVmwvQlhBeVlzR3dpT3lxcWc5NnZkNVpnVUJnbVczYkdTSXlKUktKbEliRDRYbTF6bU9JcXE2c3FLaVlVbXRxTlVyZFdaYjFzWWdVQjRQQmh3QVkyN1pYeHg0YWpRZmlKd0w0TGhBSUxFc2VKQmJ3R2RTVTdmUDVFdWtmb1ZCb1BhcXZsQzl3SE9mbDJMd09CZEE5R0F5K1hOOTdGMWRaV1RuWDYvVU85SGc4SHdZQ2djMzE5ZlA3L2RuUmFMUWZnRVcxMjdwMTY1WUo0Q1lBN3pxTzgwTnlXeVFTaVhpOTN1c0J2T1B4ZU1haSt1SE5SbFZVVkZ4ZlVsSlNCVUJqTmNFVEhNZTV4ZS8zcDhYYTY3QnQrMEpVdjZjMTVpSWlQVzNicmdDd0s0QTliZHZ1QTJCUC9mLzI3ajdJcnJxOEEvanpPL2R1Tm9BRVNSV3RZbVdHcUhHVDdONXoxbHJmWVd6citGSWRsVlk2U3RFWnhEY1VyQlZRNjdRVlJxcUk3eThZWDJzVmJUdk9LRGoxWmRScWZYZmt2dXdtYkl3aWJxdVZZV1FDRWdsSk5udCsvU04zbWMwbW00Q1NuSWwrUHYvQTNuUE8vVDMzN3Y3eHZTZlBmWDQ1eDhMdnRxcXFIUkh4aTM2L2YrM1M1KzEwT3M4dml1TDgyUHNoNTlhSXVLYXU2NzhhREFaZmpZaTZMTXV4aURnanBmUzBuUE1yMisxMkVSSFB2aXV2RitDZUpJZ0RCMVNXNVp0aTd5aTU4NWViOWQzdjl5OHJ5L0swbE5Kbk9wM09jd2FEd1g2Yjg2eGJ0MjUxU3VsbE9lZnJCb1BCUjVZZVR5azljOWh5c0RZaXpwMDBnWlVBQUE2K1NVUkJWSW1JZnpqQVVuVks2WFU1NXg5R3hMOUZ4RmwxWForOStNdWFPM2Z1L00rVksxZmUyR3ExWGgyTFJoTk9URXlVT2Vjekl1TEN4Vi9XVytiMUxKN0lNWjl6dmpvaW5uZnl5U2RmdUdyVnFoTlNTazljc3BsTVJFUWNmL3p4TXltbEJ5NTVlR05SRkJzWGZoZ2JHL3ZEbE5LSk9lZGJEbGJEY2padjNuelQrdlhydXhIeHlFNm5zK3g1OC9QenNXZlBudTdtelp0dlhYcHM5ZXJWTDQySUIrelpzK2V5QTEzYjYvVStWMVhWUjFOS0x5N0w4dHY5Zm4rZmNZWlZWVjJVYzk3djkxT1c1VDQvcDVUT0w4dnlKUkVSZFYzdmR6d2lZbTV1N2pFUjhaNmM4MnpzZnhmL2ZZdisvODhpNGhVNTV4UVJYenRRM1VzVlJkSFBPWCsrcnVzTHBxYW12bHVXNVRWRlVmeGRWVlZQRy80TnpSUkZjV1czMjcyMDArbmNPK2ZjS1lyaUx1L2dDWEJQRWNTQi9aUmxlVWxLNmVLSXVLTGY3Ny83SUtmVzI3ZHZQMlBWcWxWZlR5bDl1dFBwbkxzd0szekJpaFVyTG95SVZUbm5pMlBKcU1MaEhlRXk1L3lpbE5LcEVmSHlEUnMydkgzVHBrMzdoZFdkTzNjK2ROZ3IvZVNJT0d2cDhabVptZDFsV2I0MXBmVG1zaXpmMCsvM3J4MGJHMXZSYXJVK21ITytZZnYyN2UvOURkNks5NmVVempucHBKTmVrWE0rS2ZhMjZ1ejNZYUlvaXROaTJESVRFWkZ6M2hJUkY2V1VQcmVvdmw5V1ZYVmlTdWszQ3VJUkVlMTIrOHlVMHVVcHBRTitnWEs0OXVwMnUzMVJST3p6Z1dGeWN2TFV1cTR2aVlndlRrOVBmMys1NjIrLy9mWUxqanZ1dU5OU1NoOHV5L0lYL1g3L3E0dWUrL3M1NTRPMUlZMmtsQzZLaU83d3c5WEJYc3ZqaHJQUFB4UVJpOXVWTnM3TnpiMTMwNlpOTnd4N3pIL2M2L1grYTN4OHZGcmFHNzZjWHE4M0hSSFR3eDlUU3VrckViRjIyTHAwVnV6ZFFHalA1T1RrZmJyZDdxMFI4ZlhoaGo0QVI1UWdEaXpXTHN2eXltR2Y5VlVIMnBwK3FldXZ2LzYyOGZIeEo3ZGFyVzhXUmZIUnNpeFBuNStmUDI5NmV2cjI0ZnpvODNQTzN4Z01Ca3VuaHFTSXVEd2licTdyK3BNUmNWSzczYjZnM1c1ZkhoSG5MbDFudWFrY2krM2F0ZXZkSzFldVBEZWw5SWwxNjlZOVpuUjA5SXFJbUJpMjFoeXk1emtpMHZqNCtFT25wNmUzUmtUMCsvMXJ5N0w4UWtycDd5TmlOQ0t1bXBxYSt0SFNpN3JkN2srcXF2cEV6bmxydjkrL3RLcXFHTzZhK2NLSW1PcjMreC9mc0dIRGlUbm5rMU5LQjV6VGZsZWxsTGIxZXIzN0xIZThxcXFibDg3Z2pvaWlydXVQcFpTS3VibTU4dzUwM1lLdFc3ZHVIeDhmZjJxNzNmNTJTdW1hcXFyTzZQVjZYNHpZMnhNZUVmKzkzTFhERFgwdXlqbC9lekFZTExjSlVrUkVURTVPbnJCbno1N3Z0bHF0eHk3VU96RXhzUzZsOUxXUmtaR3hxcXJHY3M2dmpiMGgrZGlJaUp6elFUZC9XcXJUNlR5dEtJcjVsTkkxM1c3M1hUSDhJRGcrUG41eVVSUVBIcllMQVRSR0VBZnVWSmJscDRkYmkzKzAxK3VkVzFYVmQzTE9EMW80bm5NK2R0alAvYzJ5TEJmZjNYNWJVUlNQcmV2NnN5bWw1N2ZiN1I5SHhCdUxvbmhqUkJ3N0RGUkwxN280SWg2ZmMzN1pjQXYxbjFaVjllYVUwajkyT3AydkRRYURUOTdkK21kbVpuYVBqNDgvdDkxdWYydkZpaFZiSXVLa25QTTVCN3NEdktEVDZaeGVGTVVWdzlhUlAxOTR2SzdyeTFxdDFqZFRTakUvUDMvSmdhN2RzR0hEaHB6emMxTktkL1pWcDVSeTNyczkrL3VxcXZwdVJLeUppSlJ6dmx1N09MWmFyUmVVWmZtRWlQajNZV0FkNlhRNnB4L2trdjIrY1ZoVjFkc2k0ckVSOGJlYk5tMjY0VkJyVGs5UGJ5M0w4dWtwcGE5R3hEVlZWYjI4MSt0OTRGRFgzUjNkYnZkWEVkR3ZxdXF4QzQ4VlJmRTNFZkhDaUlpY2N5dWxkTytJZUdaRUxPeDR1ak1pVHI2cmE2U1UzaEVSYTNMT1VWWFZYTTc1cHhHeEplZTh1U2lLVFJNVEUrdmE3ZmFQdXQzdUFYdllBUTQzUVJ5NFUxM1g3MnkxV2ovcTlYb1hSMFRPT1g4d3BiUnEwU21Uc2JjLys4TkZVZHk4NlBIdmRidmRtOWVzV2ZPbnExYXRla0d2MS92QXhNVEU0Mkx2N1BIUER3YUQ3eXhlcHl6THN5UGlzb2o0VXIvZmYvL0M0OXUyYlh2VDZ0V3JuNTFTK2tpbjAvblZBZTZpSDlJd0FQOHNwZlRRblBOTnNXZysrV0k1NTVSU2l2SHg4VDlwdDl1WFJNU1RJdUtHaUhqVHdqbWRUdWVQVTBxZnlqbnZUaW0xV3EzV3B5WW5KNS9WN1hiMzJaMnozVzYvS2FWMFEwcHBueTNmaTZKNFZWM1hUNDZJdDBURXJ5T2kzKy8zOTlrY1o2bE9wL09Rb2lpZUZSRm5EbC9QcFRubm1aVFN6M1BPSithYzc1VlMrc1J5MStlYzkvbkNaS2ZUdVNBaUxvaUl6L1o2dlhjZGJPM0YrdjMrZHljbUpwNVVGTVhWS2FXTlpWaytiRGlUL0xEcDkvdXZpWWpYeE40Tm5UWkd4RGs1NTIra2xGNC9iRGU1dTgvM2tQWHIxOTl2WkdSa2JVcHBiVXBwYmM2NUxJcmk1UkZ4UXF2VmlwenpNeUxpYzRkNkxvRERRUkFIN2pTY3Uzem5GK0w2L2Y0Ky9kRERLUmRuRlVYeEw3MWViNytwSE1QMmo0MFJFYTFXNjdTY2MrU2MvMm5SS1VWVlZhL05PVithVXRxVVVqb3pGczNhbnAyZDNibHExYXFudGxxdDd4VkY4Wm15TEYvZDcvZVhoc2VGOFlYNzlGK01qNCtmMUdxMTNoQVJMNHFJbjBURWk0ZDk3ajhZaHJwLzd2Zjd2MWc0UDZXMFlkaFAvYjJjOHk4ajRvS2lLSzdzOVhwelkyTmo5eG9kSFgxZFN1bkNpTGc5SXA2U2MxNmRVdnA0em5sVFdaYXYzN1ZyMThhWm1abmRWVlZONXB5ZkVoRi9PYnl6MmxwWW85dnQvcXFxcW1mTXpjM3RicmZiMTBiRXl3N3hLNGlpS002THZXTVZmNUJ6dnJEVmFuMm0xK3Y5SkNLaTArbHNTQ25kMHV2MWxyMHJ2S1ExSlJWRjhaU2M4N1ZGVVR3dkl1b0RySGR5Uk1UOC9QenRTNDlOVFUxOWEySmk0dEd0VnV0ZjY3cmV1UFQ0NFZCVjFlTnp6bStPaUxWMVhUOHBwZlRFaVBqZWNCT2lpeGI5M1JXeDZHOW5PY041OVRmRmtwYWFZYzk4ZVlCdDd3R09HRUVjT0N4NnZkNGJOMnpZY00zQ0Z2WERrWEh2allqVEkrSTd1M2J0ZXZwMTExMjNYNC91OVBUMHo0Yzk1MTlLS2IyekxNdW43OWl4NDluSEhYZmNPVG5uKzhld2JhU3U2NXNqSXBWbCtjU1Uwcms1NTJlbGxJcWM4K1czM0hMTEcyWm5aM2VPalkxOWNuUjA5TzBSY1Y1SzZTVmxXVjZkVXJvcUlqWkZ4Qk5TU2p0enptL2RzV1BINVZ1M2J0MCtOaloycitIVzU2OUpLZDB2NS95TmlEaDdZZFJmcDlPNVBxVjBWVXJwWGFPam94ZFZWZldoUFh2MlhKRlMycEJTdW05WmxtZW5sTllQNjlzMmZCLzZWVlY5T1NKK3RtM2J0cXNPOWI3Tno4Ky9KYVgwanNGZ01Mdk1LU05WVmYzRk1zY2k5bTFOeWR1MmJYdm1pU2VlZVB6Q3lNUGhMcW5uNVp4dmpiMmJLSjBSRVQ5Y2JvZlVZVS84b3c1VjkyOXJjbkp5cEs3cnI4ZmU4WlJYRjBYeDE4Ti9lZmh5V1pidmo0aUxjODRQTGN1eWsxSmFIUkhySStMREIzaXFQeWpMOHBDOTVIVmQzL25mNFZTWGc4NWZCemdjQkhIZ3NGa0k0UkVSS2FYTGM4Nm5SY1E3ZHUzYWRmSEJSZ2xPVDA5dm5weWNmRVRPK1RNUmNmM1dyVnUzRHdQWTh5TmlSMFM4YzJwcTZ2OG1KaVllR0JIL0VSSEhwSlErV05mMUZZc0Q3TXpNeks4ajR0eXlMTitUYzM1OVJKeFIxL1dYQm9QQjlaMU81NFVSTVZnOEFuRjBkUFJqRWZIc2xOTFBjczVuOS92OVQ4U2l1NjZEd1dBd05qWldqbzZPdmlyMkJzTlRoLzN0MTVWbCtmcUl1Q1RuUEJjUlg5aTllL2RYSWlJbUp5ZFgxblZkcDVUT21wMmQzWG1vOTJ4cWFtcS96V2tXRzdhZXZQOGdwK3pUbWpJN083dHo4Ym81NTlzaTRqbHBidy9QcnB6elZFUzg5RkIxSFc3ZGJuZXVxcXAvcnV2NnBzRmc4SVBGeDRZZmhGNVdWZFVySStMdHNYZTA1UGZ2dU9PTy9lYXZEemRvZXZYZFhUL25mTitVMGdHL0F3QUFjRlNibkp5OFQxbVdqNzQ3MTZ4WnMyWjBiR3hzeGFLSDlydHJPVDQrWHBWbGVkKzc4bnpyMTY5LzBNR09kenFkZTVkbGVjNlNOWmM5ZDNKeTh0aTdzaTdMbTV5Y1BLRXN5d2ZmalV2Y3VRWUFBQUFBQUFBQUFBQUFBQUFBQUFBQUFBQUFBQUFBQUFBQUFBQUFBQUFBQUFBQUFBQUFBQUFBQUFBQUFBQUFBQUFBQUFBQUFBQUFBQUFBQUFBQUFBQUFBQUFBQUFBQUFBQUFBQUFBQUFBQUFBQUFBQUFBQUFBQUFBQUFBQUFBQUFBQUFBQUFBQUFBQUFBQUFBQUFBQUFBQUFBQUFBQUFBQUFBQUFBQUFBQUFBQUFBQUlCN1RHcTZBT0Izd3dOT1hmK2dGU1B0VTV1dWc2UFhybDI3Zm5yalQ3ZjhUOU4xQUJ3cGdqandXenZsbE00cHNUSi9ORktzYmJvV2ptci9HM2VrTTJkbkI3Tk5Gd0p3SkxTYkxnRDRIYkF5VG9rVWExT2sreDk3ekRIUmFyZWFyb2lqeVB5ZStiaGo1ODZvYzE0WksrT1VpQkRFZ2Q4TGdqaHdqem4ybUdQaVZlZWZGMk1QZjFqVHBYQVVtZG15TmQ1OTVRZmkxdHR1YTdvVWdDTktFQWZ1TWExMks4WWUvckI0MUNNZjBYUXBIR1ZHUmthYUxnSGdpQ3VhTGdBQUFINGZDZUlBQU5BQVFSd0FBQm9naUFNQVFBTUVjUUFBYUlBZ0RnQUFEUkRFQVFDZ0FZSTRBQUEwUUJBSEFJQUdDT0lBQU5BQVFSd0FBQm9naUFNQVFBTUVjUUFBYUlBZ0RnQUFEUkRFQVFDZ0FZSTRBQUEwUUJBSEFJQUdDT0lBQU5BQVFSd0FBQm9naUFNQVFBTUVjUUFBYUlBZ0RnQUFEUkRFQVFDZ0FZSTRBQUEwUUJBSEFJQUdDT0lBQU5BQVFSd0FBQm9naUFNQVFBTUVjUUFBYUlBZ0RnQUFEUkRFQVFDZ0FZSTRBQUEwUUJBSEFJQUdDT0lBQU5BQVFSd0FBQm9naUFNQVFBTUVjUUFBYUlBZ0RnQUFEUkRFQVFDZ0FZSTRBQUEwUUJBSEFJQUdDT0lBQU5BQVFSd0FBQm9naUFNQVFBTUVjUUFBYUlBZ0RnQUFEUkRFQVFDZ0FZSTRBQUEwUUJBSEFJQUdDT0lBQU5BQVFSd0FBQm9naUFNQVFBTUVjUUFBYUlBZ0RnQUFEUkRFQVFDZ0FZSTRBQUEwUUJBSEFJQUdDT0lBQU5BQVFSd0FBQm9naUFNQVFBTUVjUUFBYUlBZ0RnQUFEUkRFQVFDZ0FZSTRBQUEwUUJBSEFJQUdDT0lBQU5BQVFSd0FBQm9naUFNQVFBTUVjUUFBYUlBZ0RnQUFEUkRFQVFDZ0FZSTRBQUEwUUJBSEFJQUdDT0lBQU5BQVFSd0FBQm9naUFNQVFBUGFUUmNBL082WTN6TWZNMXUyTmwwR1I1bVpMVnRqYm02dTZUSUFqamhCSExqSDNMRnpaN3o3eWcvRXlNaEkwNlZ3RkptYm00dmJ0bTl2dWd5QUkwNFFCMzVydTNOOTQ0cVVicXh6WG5ucmJiYzFYUTVIcTV4djJwM3pqVTJYQVhDa3BLWUxBSDRuRkgrMFp0M2FvajF5VXRPRmNQU2FUL1hOUDlzeVBSTVJkZE8xQUFBQUFBQUFBQUFBQUFBQUFBQUFBQUFBQUFBQUFBQUFBQUFBQUFBQUFBQUFBQUFBQUFBQUFBQUFBQUFBQUFBQUFBQUFBQUFBQUFBQUFBQUFBQUFBQUFBQUFBQUFBQUFBQUFBQUFBQUFBQUFBQUFBQUFBQUFBQUFBQUFBQUFBQUFBQUFBQUFEOG52dC9FQkFpQzU1Tkp3QUFBQUFBU1VWT1JLNUNZSUk9IiwKCSJUaGVtZSIgOiAiIiwKCSJUeXBlIiA6ICJmbG93IiwKCSJVc2VySWQiIDogIjQxNTE5NTkzOCIsCgkiVmVyc2lvbiIgOiAiMz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117</Words>
  <Characters>140</Characters>
  <Lines>207</Lines>
  <Paragraphs>58</Paragraphs>
  <TotalTime>4</TotalTime>
  <ScaleCrop>false</ScaleCrop>
  <LinksUpToDate>false</LinksUpToDate>
  <CharactersWithSpaces>151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2022-08-30T01:27:00Z</dcterms:created>
  <dc:creator>lhj</dc:creator>
  <cp:lastModifiedBy>WPS_1216607420</cp:lastModifiedBy>
  <cp:lastPrinted>2020-12-29T02:43:00Z</cp:lastPrinted>
  <dcterms:modified xsi:type="dcterms:W3CDTF">2026-02-24T07:18:04Z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13D6BFDEAC8447BA9506096311256141_13</vt:lpwstr>
  </property>
  <property fmtid="{D5CDD505-2E9C-101B-9397-08002B2CF9AE}" pid="4" name="KSOTemplateDocerSaveRecord">
    <vt:lpwstr>eyJoZGlkIjoiNTA5YmQ0YTQ4NDhjOWFiZDY5ZmY2M2U3YWI3NTU5OTQiLCJ1c2VySWQiOiIxMjE2NjA3NDIwIn0=</vt:lpwstr>
  </property>
</Properties>
</file>