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7" w:line="233" w:lineRule="auto"/>
        <w:ind w:left="3729" w:right="28" w:hanging="3687"/>
        <w:outlineLvl w:val="0"/>
        <w:rPr>
          <w:rFonts w:ascii="STZhongsong" w:hAnsi="STZhongsong" w:eastAsia="STZhongsong" w:cs="STZhongsong"/>
          <w:sz w:val="36"/>
          <w:szCs w:val="36"/>
        </w:rPr>
      </w:pPr>
      <w:r>
        <w:rPr>
          <w:rFonts w:ascii="STZhongsong" w:hAnsi="STZhongsong" w:eastAsia="STZhongsong" w:cs="STZhongsong"/>
          <w:b/>
          <w:bCs/>
          <w:spacing w:val="-5"/>
          <w:sz w:val="36"/>
          <w:szCs w:val="36"/>
        </w:rPr>
        <w:t>濉溪县</w:t>
      </w:r>
      <w:r>
        <w:rPr>
          <w:rFonts w:hint="eastAsia" w:ascii="STZhongsong" w:hAnsi="STZhongsong" w:eastAsia="宋体" w:cs="STZhongsong"/>
          <w:b/>
          <w:bCs/>
          <w:spacing w:val="-5"/>
          <w:sz w:val="36"/>
          <w:szCs w:val="36"/>
          <w:lang w:eastAsia="zh-CN"/>
        </w:rPr>
        <w:t>四铺</w:t>
      </w:r>
      <w:r>
        <w:rPr>
          <w:rFonts w:ascii="STZhongsong" w:hAnsi="STZhongsong" w:eastAsia="STZhongsong" w:cs="STZhongsong"/>
          <w:b/>
          <w:bCs/>
          <w:spacing w:val="-5"/>
          <w:sz w:val="36"/>
          <w:szCs w:val="36"/>
        </w:rPr>
        <w:t>镇卫生院2026年一般公共预算“三公”经</w:t>
      </w:r>
      <w:r>
        <w:rPr>
          <w:rFonts w:ascii="STZhongsong" w:hAnsi="STZhongsong" w:eastAsia="STZhongsong" w:cs="STZhongsong"/>
          <w:spacing w:val="15"/>
          <w:sz w:val="36"/>
          <w:szCs w:val="36"/>
        </w:rPr>
        <w:t xml:space="preserve"> </w:t>
      </w:r>
      <w:r>
        <w:rPr>
          <w:rFonts w:ascii="STZhongsong" w:hAnsi="STZhongsong" w:eastAsia="STZhongsong" w:cs="STZhongsong"/>
          <w:b/>
          <w:bCs/>
          <w:spacing w:val="-8"/>
          <w:sz w:val="36"/>
          <w:szCs w:val="36"/>
        </w:rPr>
        <w:t>费预算</w:t>
      </w:r>
    </w:p>
    <w:p>
      <w:pPr>
        <w:spacing w:line="475" w:lineRule="auto"/>
        <w:rPr>
          <w:rFonts w:ascii="Arial"/>
          <w:sz w:val="21"/>
        </w:rPr>
      </w:pPr>
    </w:p>
    <w:p>
      <w:pPr>
        <w:spacing w:before="104" w:line="221" w:lineRule="auto"/>
        <w:ind w:left="622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一、2026年一般公共预算“三公”经费支出预算表</w:t>
      </w:r>
    </w:p>
    <w:p>
      <w:pPr>
        <w:spacing w:line="339" w:lineRule="auto"/>
        <w:rPr>
          <w:rFonts w:ascii="Arial"/>
          <w:sz w:val="21"/>
        </w:rPr>
      </w:pPr>
    </w:p>
    <w:p>
      <w:pPr>
        <w:pStyle w:val="2"/>
        <w:spacing w:before="65" w:line="214" w:lineRule="auto"/>
        <w:ind w:left="7477"/>
        <w:rPr>
          <w:sz w:val="20"/>
          <w:szCs w:val="20"/>
        </w:rPr>
      </w:pPr>
      <w:r>
        <w:rPr>
          <w:spacing w:val="-3"/>
          <w:sz w:val="20"/>
          <w:szCs w:val="20"/>
        </w:rPr>
        <w:t>单位：万元</w:t>
      </w:r>
    </w:p>
    <w:p>
      <w:pPr>
        <w:spacing w:line="48" w:lineRule="exact"/>
      </w:pPr>
    </w:p>
    <w:tbl>
      <w:tblPr>
        <w:tblStyle w:val="5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698"/>
        <w:gridCol w:w="934"/>
        <w:gridCol w:w="1443"/>
        <w:gridCol w:w="1443"/>
        <w:gridCol w:w="12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70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1" w:line="214" w:lineRule="auto"/>
              <w:ind w:left="173"/>
            </w:pPr>
            <w:r>
              <w:rPr>
                <w:spacing w:val="-4"/>
              </w:rPr>
              <w:t>"三公"经费合计</w:t>
            </w:r>
          </w:p>
        </w:tc>
        <w:tc>
          <w:tcPr>
            <w:tcW w:w="169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0" w:line="213" w:lineRule="auto"/>
              <w:ind w:left="74"/>
            </w:pPr>
            <w:r>
              <w:rPr>
                <w:spacing w:val="-4"/>
              </w:rPr>
              <w:t>因公出国（境）费</w:t>
            </w:r>
          </w:p>
        </w:tc>
        <w:tc>
          <w:tcPr>
            <w:tcW w:w="3820" w:type="dxa"/>
            <w:gridSpan w:val="3"/>
            <w:vAlign w:val="top"/>
          </w:tcPr>
          <w:p>
            <w:pPr>
              <w:pStyle w:val="6"/>
              <w:spacing w:before="35" w:line="183" w:lineRule="auto"/>
              <w:ind w:left="913"/>
            </w:pPr>
            <w:r>
              <w:rPr>
                <w:spacing w:val="-1"/>
              </w:rPr>
              <w:t>公务用车购置及运行费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1" w:line="214" w:lineRule="auto"/>
              <w:ind w:left="143"/>
            </w:pPr>
            <w:r>
              <w:rPr>
                <w:spacing w:val="-2"/>
              </w:rPr>
              <w:t>公务接待费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7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>
            <w:pPr>
              <w:pStyle w:val="6"/>
              <w:spacing w:before="133" w:line="216" w:lineRule="auto"/>
              <w:ind w:left="270"/>
            </w:pPr>
            <w:r>
              <w:rPr>
                <w:spacing w:val="-3"/>
              </w:rPr>
              <w:t>小计</w:t>
            </w:r>
          </w:p>
        </w:tc>
        <w:tc>
          <w:tcPr>
            <w:tcW w:w="1443" w:type="dxa"/>
            <w:vAlign w:val="top"/>
          </w:tcPr>
          <w:p>
            <w:pPr>
              <w:pStyle w:val="6"/>
              <w:spacing w:before="34" w:line="181" w:lineRule="auto"/>
              <w:ind w:left="637" w:right="115" w:hanging="513"/>
            </w:pPr>
            <w:r>
              <w:rPr>
                <w:spacing w:val="-2"/>
              </w:rPr>
              <w:t>公务用车购置</w:t>
            </w:r>
            <w:r>
              <w:rPr>
                <w:spacing w:val="3"/>
              </w:rPr>
              <w:t xml:space="preserve"> </w:t>
            </w:r>
            <w:r>
              <w:t>费</w:t>
            </w:r>
          </w:p>
        </w:tc>
        <w:tc>
          <w:tcPr>
            <w:tcW w:w="1443" w:type="dxa"/>
            <w:vAlign w:val="top"/>
          </w:tcPr>
          <w:p>
            <w:pPr>
              <w:pStyle w:val="6"/>
              <w:spacing w:before="34" w:line="181" w:lineRule="auto"/>
              <w:ind w:left="639" w:right="113" w:hanging="513"/>
            </w:pPr>
            <w:r>
              <w:rPr>
                <w:spacing w:val="-2"/>
              </w:rPr>
              <w:t>公务用车运行</w:t>
            </w:r>
            <w:r>
              <w:rPr>
                <w:spacing w:val="3"/>
              </w:rPr>
              <w:t xml:space="preserve"> </w:t>
            </w:r>
            <w:r>
              <w:t>费</w:t>
            </w: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703" w:type="dxa"/>
            <w:vAlign w:val="top"/>
          </w:tcPr>
          <w:p>
            <w:pPr>
              <w:pStyle w:val="6"/>
              <w:spacing w:before="63" w:line="157" w:lineRule="auto"/>
              <w:ind w:left="816"/>
            </w:pPr>
            <w:r>
              <w:t>0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63" w:line="157" w:lineRule="auto"/>
              <w:ind w:left="813"/>
            </w:pPr>
            <w:r>
              <w:t>0</w:t>
            </w:r>
          </w:p>
        </w:tc>
        <w:tc>
          <w:tcPr>
            <w:tcW w:w="934" w:type="dxa"/>
            <w:vAlign w:val="top"/>
          </w:tcPr>
          <w:p>
            <w:pPr>
              <w:pStyle w:val="6"/>
              <w:spacing w:before="63" w:line="157" w:lineRule="auto"/>
              <w:ind w:left="433"/>
            </w:pPr>
            <w:r>
              <w:t>0</w:t>
            </w:r>
          </w:p>
        </w:tc>
        <w:tc>
          <w:tcPr>
            <w:tcW w:w="1443" w:type="dxa"/>
            <w:vAlign w:val="top"/>
          </w:tcPr>
          <w:p>
            <w:pPr>
              <w:pStyle w:val="6"/>
              <w:spacing w:before="63" w:line="157" w:lineRule="auto"/>
              <w:ind w:left="689"/>
            </w:pPr>
            <w:r>
              <w:t>0</w:t>
            </w:r>
          </w:p>
        </w:tc>
        <w:tc>
          <w:tcPr>
            <w:tcW w:w="1443" w:type="dxa"/>
            <w:vAlign w:val="top"/>
          </w:tcPr>
          <w:p>
            <w:pPr>
              <w:pStyle w:val="6"/>
              <w:spacing w:before="63" w:line="157" w:lineRule="auto"/>
              <w:ind w:left="691"/>
            </w:pPr>
            <w:r>
              <w:t>0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63" w:line="157" w:lineRule="auto"/>
              <w:ind w:left="608"/>
            </w:pPr>
            <w:r>
              <w:t>0</w:t>
            </w:r>
          </w:p>
        </w:tc>
      </w:tr>
    </w:tbl>
    <w:p>
      <w:pPr>
        <w:spacing w:before="319" w:line="332" w:lineRule="auto"/>
        <w:ind w:left="32" w:right="4" w:firstLine="59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二、2026年一般公共预算“三公”经费</w:t>
      </w:r>
      <w:r>
        <w:rPr>
          <w:rFonts w:ascii="黑体" w:hAnsi="黑体" w:eastAsia="黑体" w:cs="黑体"/>
          <w:spacing w:val="7"/>
          <w:sz w:val="32"/>
          <w:szCs w:val="32"/>
        </w:rPr>
        <w:t>支出预算情况说</w:t>
      </w:r>
      <w:r>
        <w:rPr>
          <w:rFonts w:ascii="黑体" w:hAnsi="黑体" w:eastAsia="黑体" w:cs="黑体"/>
          <w:sz w:val="32"/>
          <w:szCs w:val="32"/>
        </w:rPr>
        <w:t xml:space="preserve"> 明</w:t>
      </w:r>
    </w:p>
    <w:p>
      <w:pPr>
        <w:pStyle w:val="2"/>
        <w:spacing w:before="12" w:line="317" w:lineRule="auto"/>
        <w:ind w:left="12" w:right="4" w:firstLine="413"/>
        <w:jc w:val="both"/>
      </w:pPr>
      <w:r>
        <w:rPr>
          <w:spacing w:val="3"/>
        </w:rPr>
        <w:t>濉溪县</w:t>
      </w:r>
      <w:r>
        <w:rPr>
          <w:rFonts w:hint="eastAsia"/>
          <w:spacing w:val="3"/>
          <w:lang w:eastAsia="zh-CN"/>
        </w:rPr>
        <w:t>四铺</w:t>
      </w:r>
      <w:bookmarkStart w:id="0" w:name="_GoBack"/>
      <w:bookmarkEnd w:id="0"/>
      <w:r>
        <w:rPr>
          <w:spacing w:val="3"/>
        </w:rPr>
        <w:t>镇卫生院2026年一般公共预算“三公</w:t>
      </w:r>
      <w:r>
        <w:rPr>
          <w:spacing w:val="2"/>
        </w:rPr>
        <w:t>”经费支</w:t>
      </w:r>
      <w:r>
        <w:t xml:space="preserve"> </w:t>
      </w:r>
      <w:r>
        <w:rPr>
          <w:spacing w:val="6"/>
        </w:rPr>
        <w:t>出预算为0万元，比2025年预算0万元，请选择上年是</w:t>
      </w:r>
      <w:r>
        <w:rPr>
          <w:spacing w:val="5"/>
        </w:rPr>
        <w:t>增加还</w:t>
      </w:r>
      <w:r>
        <w:t xml:space="preserve"> 是减少。其中，因公出国（境）费支出预算为0万元，公务接</w:t>
      </w:r>
      <w:r>
        <w:rPr>
          <w:spacing w:val="11"/>
        </w:rPr>
        <w:t xml:space="preserve"> </w:t>
      </w:r>
      <w:r>
        <w:rPr>
          <w:spacing w:val="13"/>
        </w:rPr>
        <w:t>待费支出预算为0万元，公务用车购置及运</w:t>
      </w:r>
      <w:r>
        <w:rPr>
          <w:spacing w:val="12"/>
        </w:rPr>
        <w:t>行费支出预算为</w:t>
      </w:r>
      <w:r>
        <w:t xml:space="preserve"> </w:t>
      </w:r>
      <w:r>
        <w:rPr>
          <w:spacing w:val="-8"/>
        </w:rPr>
        <w:t>0万元。具体情况如下：</w:t>
      </w:r>
    </w:p>
    <w:p>
      <w:pPr>
        <w:pStyle w:val="2"/>
        <w:spacing w:before="45" w:line="302" w:lineRule="auto"/>
        <w:ind w:left="5" w:right="4" w:firstLine="400"/>
      </w:pPr>
      <w:r>
        <w:rPr>
          <w:b/>
          <w:bCs/>
          <w:spacing w:val="4"/>
        </w:rPr>
        <w:t>（一</w:t>
      </w:r>
      <w:r>
        <w:rPr>
          <w:spacing w:val="-46"/>
        </w:rPr>
        <w:t xml:space="preserve"> </w:t>
      </w:r>
      <w:r>
        <w:rPr>
          <w:b/>
          <w:bCs/>
          <w:spacing w:val="4"/>
        </w:rPr>
        <w:t>）因公出国（境）费</w:t>
      </w:r>
      <w:r>
        <w:rPr>
          <w:spacing w:val="4"/>
        </w:rPr>
        <w:t>支出预算0万元，与2025年预算</w:t>
      </w:r>
      <w:r>
        <w:t xml:space="preserve"> </w:t>
      </w:r>
      <w:r>
        <w:rPr>
          <w:spacing w:val="17"/>
        </w:rPr>
        <w:t>持平，持平原因主要是2026年和2025年均未安排因公出国</w:t>
      </w:r>
      <w:r>
        <w:rPr>
          <w:spacing w:val="6"/>
        </w:rPr>
        <w:t xml:space="preserve"> </w:t>
      </w:r>
      <w:r>
        <w:rPr>
          <w:spacing w:val="-3"/>
        </w:rPr>
        <w:t>（境）费。经费使用严格按照《淮北市财政局</w:t>
      </w:r>
      <w:r>
        <w:rPr>
          <w:spacing w:val="97"/>
        </w:rPr>
        <w:t xml:space="preserve"> </w:t>
      </w:r>
      <w:r>
        <w:rPr>
          <w:spacing w:val="-3"/>
        </w:rPr>
        <w:t>淮北市外事办</w:t>
      </w:r>
      <w:r>
        <w:t xml:space="preserve"> </w:t>
      </w:r>
      <w:r>
        <w:rPr>
          <w:spacing w:val="1"/>
        </w:rPr>
        <w:t>公室关于转发&lt;安徽省省直党政机关因公临</w:t>
      </w:r>
      <w:r>
        <w:t xml:space="preserve">时出国经费管理办 </w:t>
      </w:r>
      <w:r>
        <w:rPr>
          <w:spacing w:val="-2"/>
        </w:rPr>
        <w:t>法&gt;》的通知（财行〔2014〕327号）文件相</w:t>
      </w:r>
      <w:r>
        <w:rPr>
          <w:spacing w:val="-3"/>
        </w:rPr>
        <w:t>关规定执行。</w:t>
      </w:r>
    </w:p>
    <w:p>
      <w:pPr>
        <w:pStyle w:val="2"/>
        <w:spacing w:before="183" w:line="302" w:lineRule="auto"/>
        <w:ind w:left="22" w:right="4" w:firstLine="382"/>
      </w:pPr>
      <w:r>
        <w:rPr>
          <w:b/>
          <w:bCs/>
          <w:spacing w:val="8"/>
        </w:rPr>
        <w:t>（二）公务用车购置及运行费</w:t>
      </w:r>
      <w:r>
        <w:rPr>
          <w:spacing w:val="8"/>
        </w:rPr>
        <w:t>支出预算0万元，与2025年</w:t>
      </w:r>
      <w:r>
        <w:t xml:space="preserve"> </w:t>
      </w:r>
      <w:r>
        <w:rPr>
          <w:spacing w:val="11"/>
        </w:rPr>
        <w:t>预算持平。其中：公务用车运行费0万元，与2025年预算持</w:t>
      </w:r>
      <w:r>
        <w:rPr>
          <w:spacing w:val="13"/>
        </w:rPr>
        <w:t xml:space="preserve"> </w:t>
      </w:r>
      <w:r>
        <w:rPr>
          <w:spacing w:val="5"/>
        </w:rPr>
        <w:t>平，持平原因主要是2026年和2025年均未安排公务用车运行</w:t>
      </w:r>
      <w:r>
        <w:rPr>
          <w:spacing w:val="11"/>
        </w:rPr>
        <w:t xml:space="preserve"> </w:t>
      </w:r>
      <w:r>
        <w:t>费。公务用车购置费0万元，与2025年预算持平，持平原因主</w:t>
      </w:r>
      <w:r>
        <w:rPr>
          <w:spacing w:val="1"/>
        </w:rPr>
        <w:t xml:space="preserve"> </w:t>
      </w:r>
      <w:r>
        <w:rPr>
          <w:spacing w:val="-3"/>
        </w:rPr>
        <w:t>要是2026年和2025年均未安排公务用</w:t>
      </w:r>
      <w:r>
        <w:rPr>
          <w:spacing w:val="-4"/>
        </w:rPr>
        <w:t>车购置费。</w:t>
      </w:r>
    </w:p>
    <w:p>
      <w:pPr>
        <w:spacing w:line="302" w:lineRule="auto"/>
        <w:sectPr>
          <w:pgSz w:w="11900" w:h="16840"/>
          <w:pgMar w:top="1431" w:right="1695" w:bottom="0" w:left="1695" w:header="0" w:footer="0" w:gutter="0"/>
          <w:cols w:space="720" w:num="1"/>
        </w:sectPr>
      </w:pPr>
    </w:p>
    <w:p>
      <w:pPr>
        <w:pStyle w:val="2"/>
        <w:spacing w:before="252" w:line="318" w:lineRule="auto"/>
        <w:ind w:firstLine="400"/>
        <w:jc w:val="both"/>
      </w:pPr>
      <w:r>
        <w:rPr>
          <w:b/>
          <w:bCs/>
          <w:spacing w:val="6"/>
        </w:rPr>
        <w:t>（三）公务接待费</w:t>
      </w:r>
      <w:r>
        <w:rPr>
          <w:spacing w:val="6"/>
        </w:rPr>
        <w:t>支出预算0万元，与2025年预算</w:t>
      </w:r>
      <w:r>
        <w:rPr>
          <w:spacing w:val="5"/>
        </w:rPr>
        <w:t>持平，</w:t>
      </w:r>
      <w:r>
        <w:t xml:space="preserve"> </w:t>
      </w:r>
      <w:r>
        <w:rPr>
          <w:spacing w:val="6"/>
        </w:rPr>
        <w:t>持平原因主要是2026年和2025年均未安排公务接待费。</w:t>
      </w:r>
      <w:r>
        <w:rPr>
          <w:spacing w:val="5"/>
        </w:rPr>
        <w:t>经费</w:t>
      </w:r>
      <w:r>
        <w:t xml:space="preserve"> </w:t>
      </w:r>
      <w:r>
        <w:rPr>
          <w:spacing w:val="6"/>
        </w:rPr>
        <w:t>使用严格按照省委省政府30条、市委市政府20条要求，以及</w:t>
      </w:r>
      <w:r>
        <w:rPr>
          <w:spacing w:val="10"/>
        </w:rPr>
        <w:t xml:space="preserve"> </w:t>
      </w:r>
      <w:r>
        <w:rPr>
          <w:spacing w:val="6"/>
        </w:rPr>
        <w:t>《党政机关厉行节约反对浪费条例》（中发〔2013〕13号）</w:t>
      </w:r>
      <w:r>
        <w:rPr>
          <w:spacing w:val="5"/>
        </w:rPr>
        <w:t xml:space="preserve"> </w:t>
      </w:r>
      <w:r>
        <w:rPr>
          <w:spacing w:val="49"/>
        </w:rPr>
        <w:t>和《淮北市市直单位接待经费管理暂行办法》（财行</w:t>
      </w:r>
      <w:r>
        <w:rPr>
          <w:spacing w:val="11"/>
        </w:rPr>
        <w:t xml:space="preserve"> </w:t>
      </w:r>
      <w:r>
        <w:rPr>
          <w:spacing w:val="-4"/>
        </w:rPr>
        <w:t>〔2013〕133号）等文件规定执行。</w:t>
      </w:r>
    </w:p>
    <w:sectPr>
      <w:pgSz w:w="11900" w:h="16840"/>
      <w:pgMar w:top="1431" w:right="1699" w:bottom="0" w:left="17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Zhong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E1YTU1OTNkOGY1ODQ3OWUxMWFkYzA2N2E1MjEzMzQifQ=="/>
  </w:docVars>
  <w:rsids>
    <w:rsidRoot w:val="00000000"/>
    <w:rsid w:val="0B7C66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620</Words>
  <Characters>690</Characters>
  <TotalTime>0</TotalTime>
  <ScaleCrop>false</ScaleCrop>
  <LinksUpToDate>false</LinksUpToDate>
  <CharactersWithSpaces>713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2026-03-10T15:48:00Z</dcterms:created>
  <dc:creator>Administrator</dc:creator>
  <cp:lastModifiedBy>靓</cp:lastModifiedBy>
  <dcterms:modified xsi:type="dcterms:W3CDTF">2026-03-13T02:25:55Z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2026-03-13T10:11:34Z</vt:filetime>
  </property>
  <property fmtid="{D5CDD505-2E9C-101B-9397-08002B2CF9AE}" pid="4" name="KSOProductBuildVer">
    <vt:lpwstr>2052-11.1.0.14309</vt:lpwstr>
  </property>
  <property fmtid="{D5CDD505-2E9C-101B-9397-08002B2CF9AE}" pid="5" name="ICV">
    <vt:lpwstr>D352DA12D67A4EDA9CC6C4615CA11A11_12</vt:lpwstr>
  </property>
</Properties>
</file>