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黑体" w:hAnsi="黑体" w:eastAsia="黑体" w:cs="黑体"/>
          <w:b w:val="0"/>
          <w:bCs w:val="0"/>
          <w:sz w:val="32"/>
          <w:szCs w:val="32"/>
          <w:vertAlign w:val="baseline"/>
          <w:lang w:val="en-US" w:eastAsia="zh-CN"/>
        </w:rPr>
      </w:pPr>
      <w:r>
        <w:rPr>
          <w:rFonts w:hint="eastAsia" w:ascii="黑体" w:hAnsi="黑体" w:eastAsia="黑体" w:cs="黑体"/>
          <w:b w:val="0"/>
          <w:bCs w:val="0"/>
          <w:sz w:val="32"/>
          <w:szCs w:val="32"/>
          <w:vertAlign w:val="baseline"/>
          <w:lang w:val="en-US" w:eastAsia="zh-CN"/>
        </w:rPr>
        <w:t>附件1</w:t>
      </w:r>
    </w:p>
    <w:p>
      <w:pPr>
        <w:jc w:val="center"/>
        <w:rPr>
          <w:rFonts w:hint="eastAsia" w:ascii="方正小标宋_GBK" w:hAnsi="方正小标宋_GBK" w:eastAsia="方正小标宋_GBK" w:cs="方正小标宋_GBK"/>
          <w:b w:val="0"/>
          <w:bCs w:val="0"/>
          <w:sz w:val="44"/>
          <w:szCs w:val="44"/>
          <w:vertAlign w:val="baseline"/>
          <w:lang w:val="en-US" w:eastAsia="zh-CN"/>
        </w:rPr>
      </w:pPr>
      <w:r>
        <w:rPr>
          <w:rFonts w:hint="eastAsia" w:ascii="方正小标宋_GBK" w:hAnsi="方正小标宋_GBK" w:eastAsia="方正小标宋_GBK" w:cs="方正小标宋_GBK"/>
          <w:b w:val="0"/>
          <w:bCs w:val="0"/>
          <w:sz w:val="44"/>
          <w:szCs w:val="44"/>
          <w:vertAlign w:val="baseline"/>
          <w:lang w:val="en-US" w:eastAsia="zh-CN"/>
        </w:rPr>
        <w:t>财政金融协同促内需贷款贴息政策一览表</w:t>
      </w:r>
    </w:p>
    <w:tbl>
      <w:tblPr>
        <w:tblStyle w:val="3"/>
        <w:tblW w:w="13875" w:type="dxa"/>
        <w:tblInd w:w="6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1"/>
        <w:gridCol w:w="3446"/>
        <w:gridCol w:w="3424"/>
        <w:gridCol w:w="2925"/>
        <w:gridCol w:w="30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11"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黑体" w:cs="Times New Roman"/>
                <w:b w:val="0"/>
                <w:bCs w:val="0"/>
                <w:sz w:val="24"/>
                <w:szCs w:val="24"/>
                <w:vertAlign w:val="baseline"/>
                <w:lang w:val="en-US" w:eastAsia="zh-CN"/>
              </w:rPr>
            </w:pPr>
            <w:r>
              <w:rPr>
                <w:rFonts w:hint="default" w:ascii="Times New Roman" w:hAnsi="Times New Roman" w:eastAsia="黑体" w:cs="Times New Roman"/>
                <w:b w:val="0"/>
                <w:bCs w:val="0"/>
                <w:sz w:val="24"/>
                <w:szCs w:val="24"/>
                <w:vertAlign w:val="baseline"/>
                <w:lang w:val="en-US" w:eastAsia="zh-CN"/>
              </w:rPr>
              <w:t>政策</w:t>
            </w:r>
          </w:p>
        </w:tc>
        <w:tc>
          <w:tcPr>
            <w:tcW w:w="3446" w:type="dxa"/>
            <w:vAlign w:val="center"/>
          </w:tcPr>
          <w:p>
            <w:pPr>
              <w:jc w:val="center"/>
              <w:rPr>
                <w:rFonts w:hint="default" w:ascii="Times New Roman" w:hAnsi="Times New Roman" w:eastAsia="黑体" w:cs="Times New Roman"/>
                <w:b w:val="0"/>
                <w:bCs w:val="0"/>
                <w:sz w:val="24"/>
                <w:szCs w:val="24"/>
                <w:vertAlign w:val="baseline"/>
                <w:lang w:val="en-US" w:eastAsia="zh-CN"/>
              </w:rPr>
            </w:pPr>
            <w:r>
              <w:rPr>
                <w:rFonts w:hint="default" w:ascii="Times New Roman" w:hAnsi="Times New Roman" w:eastAsia="黑体" w:cs="Times New Roman"/>
                <w:b w:val="0"/>
                <w:bCs w:val="0"/>
                <w:sz w:val="24"/>
                <w:szCs w:val="24"/>
                <w:vertAlign w:val="baseline"/>
                <w:lang w:val="en-US" w:eastAsia="zh-CN"/>
              </w:rPr>
              <w:t>中小微企业贷款贴息政策</w:t>
            </w:r>
          </w:p>
        </w:tc>
        <w:tc>
          <w:tcPr>
            <w:tcW w:w="3424" w:type="dxa"/>
            <w:vAlign w:val="center"/>
          </w:tcPr>
          <w:p>
            <w:pPr>
              <w:jc w:val="center"/>
              <w:rPr>
                <w:rFonts w:hint="default" w:ascii="Times New Roman" w:hAnsi="Times New Roman" w:eastAsia="黑体" w:cs="Times New Roman"/>
                <w:b w:val="0"/>
                <w:bCs w:val="0"/>
                <w:sz w:val="24"/>
                <w:szCs w:val="24"/>
                <w:vertAlign w:val="baseline"/>
                <w:lang w:val="en-US" w:eastAsia="zh-CN"/>
              </w:rPr>
            </w:pPr>
            <w:r>
              <w:rPr>
                <w:rFonts w:hint="default" w:ascii="Times New Roman" w:hAnsi="Times New Roman" w:eastAsia="黑体" w:cs="Times New Roman"/>
                <w:b w:val="0"/>
                <w:bCs w:val="0"/>
                <w:sz w:val="24"/>
                <w:szCs w:val="24"/>
                <w:vertAlign w:val="baseline"/>
                <w:lang w:val="en-US" w:eastAsia="zh-CN"/>
              </w:rPr>
              <w:t>设备更新贷款贴息政策</w:t>
            </w:r>
          </w:p>
        </w:tc>
        <w:tc>
          <w:tcPr>
            <w:tcW w:w="292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b w:val="0"/>
                <w:bCs w:val="0"/>
                <w:sz w:val="24"/>
                <w:szCs w:val="24"/>
                <w:vertAlign w:val="baseline"/>
                <w:lang w:val="en-US" w:eastAsia="zh-CN"/>
              </w:rPr>
            </w:pPr>
            <w:r>
              <w:rPr>
                <w:rFonts w:hint="default" w:ascii="Times New Roman" w:hAnsi="Times New Roman" w:eastAsia="黑体" w:cs="Times New Roman"/>
                <w:b w:val="0"/>
                <w:bCs w:val="0"/>
                <w:sz w:val="24"/>
                <w:szCs w:val="24"/>
                <w:vertAlign w:val="baseline"/>
                <w:lang w:val="en-US" w:eastAsia="zh-CN"/>
              </w:rPr>
              <w:t>服务业经营主体</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b w:val="0"/>
                <w:bCs w:val="0"/>
                <w:sz w:val="24"/>
                <w:szCs w:val="24"/>
                <w:vertAlign w:val="baseline"/>
                <w:lang w:val="en-US" w:eastAsia="zh-CN"/>
              </w:rPr>
            </w:pPr>
            <w:r>
              <w:rPr>
                <w:rFonts w:hint="default" w:ascii="Times New Roman" w:hAnsi="Times New Roman" w:eastAsia="黑体" w:cs="Times New Roman"/>
                <w:b w:val="0"/>
                <w:bCs w:val="0"/>
                <w:sz w:val="24"/>
                <w:szCs w:val="24"/>
                <w:vertAlign w:val="baseline"/>
                <w:lang w:val="en-US" w:eastAsia="zh-CN"/>
              </w:rPr>
              <w:t>贷款贴息政策</w:t>
            </w:r>
          </w:p>
        </w:tc>
        <w:tc>
          <w:tcPr>
            <w:tcW w:w="3069" w:type="dxa"/>
            <w:vAlign w:val="center"/>
          </w:tcPr>
          <w:p>
            <w:pPr>
              <w:jc w:val="center"/>
              <w:rPr>
                <w:rFonts w:hint="default" w:ascii="Times New Roman" w:hAnsi="Times New Roman" w:eastAsia="黑体" w:cs="Times New Roman"/>
                <w:b w:val="0"/>
                <w:bCs w:val="0"/>
                <w:sz w:val="24"/>
                <w:szCs w:val="24"/>
                <w:vertAlign w:val="baseline"/>
                <w:lang w:val="en-US" w:eastAsia="zh-CN"/>
              </w:rPr>
            </w:pPr>
            <w:r>
              <w:rPr>
                <w:rFonts w:hint="default" w:ascii="Times New Roman" w:hAnsi="Times New Roman" w:eastAsia="黑体" w:cs="Times New Roman"/>
                <w:b w:val="0"/>
                <w:bCs w:val="0"/>
                <w:sz w:val="24"/>
                <w:szCs w:val="24"/>
                <w:vertAlign w:val="baseline"/>
                <w:lang w:val="en-US" w:eastAsia="zh-CN"/>
              </w:rPr>
              <w:t>个人消费贷款贴息政策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trPr>
        <w:tc>
          <w:tcPr>
            <w:tcW w:w="1011"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黑体" w:cs="Times New Roman"/>
                <w:b w:val="0"/>
                <w:bCs w:val="0"/>
                <w:sz w:val="24"/>
                <w:szCs w:val="24"/>
                <w:vertAlign w:val="baseline"/>
                <w:lang w:val="en-US" w:eastAsia="zh-CN"/>
              </w:rPr>
            </w:pPr>
            <w:r>
              <w:rPr>
                <w:rFonts w:hint="default" w:ascii="Times New Roman" w:hAnsi="Times New Roman" w:eastAsia="黑体" w:cs="Times New Roman"/>
                <w:b w:val="0"/>
                <w:bCs w:val="0"/>
                <w:sz w:val="24"/>
                <w:szCs w:val="24"/>
                <w:vertAlign w:val="baseline"/>
                <w:lang w:val="en-US" w:eastAsia="zh-CN"/>
              </w:rPr>
              <w:t>执行</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黑体" w:cs="Times New Roman"/>
                <w:b w:val="0"/>
                <w:bCs w:val="0"/>
                <w:sz w:val="24"/>
                <w:szCs w:val="24"/>
                <w:vertAlign w:val="baseline"/>
                <w:lang w:val="en-US" w:eastAsia="zh-CN"/>
              </w:rPr>
            </w:pPr>
            <w:r>
              <w:rPr>
                <w:rFonts w:hint="default" w:ascii="Times New Roman" w:hAnsi="Times New Roman" w:eastAsia="黑体" w:cs="Times New Roman"/>
                <w:b w:val="0"/>
                <w:bCs w:val="0"/>
                <w:sz w:val="24"/>
                <w:szCs w:val="24"/>
                <w:vertAlign w:val="baseline"/>
                <w:lang w:val="en-US" w:eastAsia="zh-CN"/>
              </w:rPr>
              <w:t>期限</w:t>
            </w:r>
          </w:p>
        </w:tc>
        <w:tc>
          <w:tcPr>
            <w:tcW w:w="3446" w:type="dxa"/>
            <w:vAlign w:val="center"/>
          </w:tcPr>
          <w:p>
            <w:pPr>
              <w:jc w:val="center"/>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2026年1月1日—</w:t>
            </w:r>
          </w:p>
          <w:p>
            <w:pPr>
              <w:jc w:val="center"/>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2026年12月31日</w:t>
            </w:r>
          </w:p>
        </w:tc>
        <w:tc>
          <w:tcPr>
            <w:tcW w:w="3424" w:type="dxa"/>
            <w:vAlign w:val="center"/>
          </w:tcPr>
          <w:p>
            <w:pPr>
              <w:jc w:val="center"/>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2024年3月7日—</w:t>
            </w:r>
          </w:p>
          <w:p>
            <w:pPr>
              <w:jc w:val="center"/>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2026年12月31日</w:t>
            </w:r>
          </w:p>
        </w:tc>
        <w:tc>
          <w:tcPr>
            <w:tcW w:w="2925" w:type="dxa"/>
            <w:vAlign w:val="center"/>
          </w:tcPr>
          <w:p>
            <w:pPr>
              <w:jc w:val="center"/>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2025年3月16日—</w:t>
            </w:r>
          </w:p>
          <w:p>
            <w:pPr>
              <w:jc w:val="center"/>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2026年12月31日</w:t>
            </w:r>
          </w:p>
        </w:tc>
        <w:tc>
          <w:tcPr>
            <w:tcW w:w="3069" w:type="dxa"/>
            <w:vAlign w:val="center"/>
          </w:tcPr>
          <w:p>
            <w:pPr>
              <w:jc w:val="center"/>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2025年9月1日—</w:t>
            </w:r>
          </w:p>
          <w:p>
            <w:pPr>
              <w:jc w:val="center"/>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2026年12月31日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trPr>
        <w:tc>
          <w:tcPr>
            <w:tcW w:w="1011"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黑体" w:cs="Times New Roman"/>
                <w:b w:val="0"/>
                <w:bCs w:val="0"/>
                <w:sz w:val="24"/>
                <w:szCs w:val="24"/>
                <w:vertAlign w:val="baseline"/>
                <w:lang w:val="en-US" w:eastAsia="zh-CN"/>
              </w:rPr>
            </w:pPr>
            <w:r>
              <w:rPr>
                <w:rFonts w:hint="default" w:ascii="Times New Roman" w:hAnsi="Times New Roman" w:eastAsia="黑体" w:cs="Times New Roman"/>
                <w:b w:val="0"/>
                <w:bCs w:val="0"/>
                <w:sz w:val="24"/>
                <w:szCs w:val="24"/>
                <w:vertAlign w:val="baseline"/>
                <w:lang w:val="en-US" w:eastAsia="zh-CN"/>
              </w:rPr>
              <w:t>支持</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黑体" w:cs="Times New Roman"/>
                <w:b w:val="0"/>
                <w:bCs w:val="0"/>
                <w:sz w:val="24"/>
                <w:szCs w:val="24"/>
                <w:vertAlign w:val="baseline"/>
                <w:lang w:val="en-US" w:eastAsia="zh-CN"/>
              </w:rPr>
            </w:pPr>
            <w:r>
              <w:rPr>
                <w:rFonts w:hint="default" w:ascii="Times New Roman" w:hAnsi="Times New Roman" w:eastAsia="黑体" w:cs="Times New Roman"/>
                <w:b w:val="0"/>
                <w:bCs w:val="0"/>
                <w:sz w:val="24"/>
                <w:szCs w:val="24"/>
                <w:vertAlign w:val="baseline"/>
                <w:lang w:val="en-US" w:eastAsia="zh-CN"/>
              </w:rPr>
              <w:t>对象</w:t>
            </w:r>
          </w:p>
        </w:tc>
        <w:tc>
          <w:tcPr>
            <w:tcW w:w="3446" w:type="dxa"/>
            <w:vAlign w:val="center"/>
          </w:tcPr>
          <w:p>
            <w:pPr>
              <w:jc w:val="center"/>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中小微民营企业</w:t>
            </w:r>
          </w:p>
        </w:tc>
        <w:tc>
          <w:tcPr>
            <w:tcW w:w="3424" w:type="dxa"/>
            <w:vAlign w:val="center"/>
          </w:tcPr>
          <w:p>
            <w:pPr>
              <w:jc w:val="center"/>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经营主体</w:t>
            </w:r>
          </w:p>
        </w:tc>
        <w:tc>
          <w:tcPr>
            <w:tcW w:w="2925" w:type="dxa"/>
            <w:vAlign w:val="center"/>
          </w:tcPr>
          <w:p>
            <w:pPr>
              <w:jc w:val="center"/>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服务业经营主体</w:t>
            </w:r>
          </w:p>
        </w:tc>
        <w:tc>
          <w:tcPr>
            <w:tcW w:w="3069" w:type="dxa"/>
            <w:vAlign w:val="center"/>
          </w:tcPr>
          <w:p>
            <w:pPr>
              <w:jc w:val="center"/>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居民个人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2" w:hRule="atLeast"/>
        </w:trPr>
        <w:tc>
          <w:tcPr>
            <w:tcW w:w="1011"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黑体" w:cs="Times New Roman"/>
                <w:b w:val="0"/>
                <w:bCs w:val="0"/>
                <w:sz w:val="24"/>
                <w:szCs w:val="24"/>
                <w:vertAlign w:val="baseline"/>
                <w:lang w:val="en-US" w:eastAsia="zh-CN"/>
              </w:rPr>
            </w:pPr>
            <w:r>
              <w:rPr>
                <w:rFonts w:hint="default" w:ascii="Times New Roman" w:hAnsi="Times New Roman" w:eastAsia="黑体" w:cs="Times New Roman"/>
                <w:b w:val="0"/>
                <w:bCs w:val="0"/>
                <w:sz w:val="24"/>
                <w:szCs w:val="24"/>
                <w:vertAlign w:val="baseline"/>
                <w:lang w:val="en-US" w:eastAsia="zh-CN"/>
              </w:rPr>
              <w:t>支持</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黑体" w:cs="Times New Roman"/>
                <w:b w:val="0"/>
                <w:bCs w:val="0"/>
                <w:sz w:val="24"/>
                <w:szCs w:val="24"/>
                <w:vertAlign w:val="baseline"/>
                <w:lang w:val="en-US" w:eastAsia="zh-CN"/>
              </w:rPr>
            </w:pPr>
            <w:r>
              <w:rPr>
                <w:rFonts w:hint="default" w:ascii="Times New Roman" w:hAnsi="Times New Roman" w:eastAsia="黑体" w:cs="Times New Roman"/>
                <w:b w:val="0"/>
                <w:bCs w:val="0"/>
                <w:sz w:val="24"/>
                <w:szCs w:val="24"/>
                <w:vertAlign w:val="baseline"/>
                <w:lang w:val="en-US" w:eastAsia="zh-CN"/>
              </w:rPr>
              <w:t>贷款</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黑体" w:cs="Times New Roman"/>
                <w:b w:val="0"/>
                <w:bCs w:val="0"/>
                <w:sz w:val="24"/>
                <w:szCs w:val="24"/>
                <w:vertAlign w:val="baseline"/>
                <w:lang w:val="en-US" w:eastAsia="zh-CN"/>
              </w:rPr>
            </w:pPr>
            <w:r>
              <w:rPr>
                <w:rFonts w:hint="default" w:ascii="Times New Roman" w:hAnsi="Times New Roman" w:eastAsia="黑体" w:cs="Times New Roman"/>
                <w:b w:val="0"/>
                <w:bCs w:val="0"/>
                <w:sz w:val="24"/>
                <w:szCs w:val="24"/>
                <w:vertAlign w:val="baseline"/>
                <w:lang w:val="en-US" w:eastAsia="zh-CN"/>
              </w:rPr>
              <w:t>类型</w:t>
            </w:r>
          </w:p>
        </w:tc>
        <w:tc>
          <w:tcPr>
            <w:tcW w:w="3446" w:type="dxa"/>
            <w:vAlign w:val="center"/>
          </w:tcPr>
          <w:p>
            <w:pPr>
              <w:jc w:val="both"/>
              <w:rPr>
                <w:rFonts w:hint="default" w:ascii="Times New Roman" w:hAnsi="Times New Roman" w:eastAsia="仿宋_GB2312" w:cs="Times New Roman"/>
                <w:i w:val="0"/>
                <w:iCs w:val="0"/>
                <w:caps w:val="0"/>
                <w:color w:val="auto"/>
                <w:spacing w:val="0"/>
                <w:sz w:val="24"/>
                <w:szCs w:val="24"/>
                <w:shd w:val="clear" w:fill="FFFFFF"/>
                <w:lang w:eastAsia="zh-CN"/>
              </w:rPr>
            </w:pPr>
            <w:r>
              <w:rPr>
                <w:rFonts w:hint="default" w:ascii="Times New Roman" w:hAnsi="Times New Roman" w:eastAsia="仿宋_GB2312" w:cs="Times New Roman"/>
                <w:i w:val="0"/>
                <w:iCs w:val="0"/>
                <w:caps w:val="0"/>
                <w:color w:val="auto"/>
                <w:spacing w:val="0"/>
                <w:sz w:val="24"/>
                <w:szCs w:val="24"/>
                <w:shd w:val="clear" w:fill="FFFFFF"/>
              </w:rPr>
              <w:t>投向相关重点领域产业链及其上下游产业的全部中小微民营企业固定资产贷款，中小微民营企业参与项目使用的新型政策性金融工具资金</w:t>
            </w:r>
          </w:p>
        </w:tc>
        <w:tc>
          <w:tcPr>
            <w:tcW w:w="3424" w:type="dxa"/>
            <w:vAlign w:val="center"/>
          </w:tcPr>
          <w:p>
            <w:pPr>
              <w:jc w:val="both"/>
              <w:rPr>
                <w:rFonts w:hint="default" w:ascii="Times New Roman" w:hAnsi="Times New Roman" w:eastAsia="仿宋_GB2312" w:cs="Times New Roman"/>
                <w:i w:val="0"/>
                <w:iCs w:val="0"/>
                <w:caps w:val="0"/>
                <w:color w:val="auto"/>
                <w:spacing w:val="0"/>
                <w:sz w:val="24"/>
                <w:szCs w:val="24"/>
                <w:shd w:val="clear" w:fill="FFFFFF"/>
                <w:lang w:eastAsia="zh-CN"/>
              </w:rPr>
            </w:pPr>
            <w:r>
              <w:rPr>
                <w:rFonts w:hint="default" w:ascii="Times New Roman" w:hAnsi="Times New Roman" w:eastAsia="仿宋_GB2312" w:cs="Times New Roman"/>
                <w:i w:val="0"/>
                <w:iCs w:val="0"/>
                <w:caps w:val="0"/>
                <w:color w:val="auto"/>
                <w:spacing w:val="0"/>
                <w:sz w:val="24"/>
                <w:szCs w:val="24"/>
                <w:shd w:val="clear" w:fill="FFFFFF"/>
              </w:rPr>
              <w:t>经营主体实施设备更新行动</w:t>
            </w:r>
            <w:r>
              <w:rPr>
                <w:rFonts w:hint="default" w:ascii="Times New Roman" w:hAnsi="Times New Roman" w:eastAsia="仿宋_GB2312" w:cs="Times New Roman"/>
                <w:i w:val="0"/>
                <w:iCs w:val="0"/>
                <w:caps w:val="0"/>
                <w:color w:val="auto"/>
                <w:spacing w:val="0"/>
                <w:sz w:val="24"/>
                <w:szCs w:val="24"/>
                <w:shd w:val="clear" w:fill="FFFFFF"/>
                <w:lang w:eastAsia="zh-CN"/>
              </w:rPr>
              <w:t>，</w:t>
            </w:r>
            <w:r>
              <w:rPr>
                <w:rFonts w:hint="default" w:ascii="Times New Roman" w:hAnsi="Times New Roman" w:eastAsia="仿宋_GB2312" w:cs="Times New Roman"/>
                <w:i w:val="0"/>
                <w:iCs w:val="0"/>
                <w:caps w:val="0"/>
                <w:color w:val="auto"/>
                <w:spacing w:val="0"/>
                <w:sz w:val="24"/>
                <w:szCs w:val="24"/>
                <w:shd w:val="clear" w:fill="FFFFFF"/>
              </w:rPr>
              <w:t>银行向其发放的设备更新项目相关固定资产贷款</w:t>
            </w:r>
            <w:r>
              <w:rPr>
                <w:rFonts w:hint="default" w:ascii="Times New Roman" w:hAnsi="Times New Roman" w:eastAsia="仿宋_GB2312" w:cs="Times New Roman"/>
                <w:i w:val="0"/>
                <w:iCs w:val="0"/>
                <w:caps w:val="0"/>
                <w:color w:val="auto"/>
                <w:spacing w:val="0"/>
                <w:sz w:val="24"/>
                <w:szCs w:val="24"/>
                <w:shd w:val="clear" w:fill="FFFFFF"/>
                <w:lang w:eastAsia="zh-CN"/>
              </w:rPr>
              <w:t>；</w:t>
            </w:r>
            <w:r>
              <w:rPr>
                <w:rFonts w:hint="default" w:ascii="Times New Roman" w:hAnsi="Times New Roman" w:eastAsia="仿宋_GB2312" w:cs="Times New Roman"/>
                <w:i w:val="0"/>
                <w:iCs w:val="0"/>
                <w:caps w:val="0"/>
                <w:color w:val="auto"/>
                <w:spacing w:val="0"/>
                <w:sz w:val="24"/>
                <w:szCs w:val="24"/>
                <w:shd w:val="clear" w:fill="FFFFFF"/>
              </w:rPr>
              <w:t>科技创新和技术改造再贷款政策支持的、银行2026年起新发放的科技创新类贷款</w:t>
            </w:r>
          </w:p>
        </w:tc>
        <w:tc>
          <w:tcPr>
            <w:tcW w:w="2925" w:type="dxa"/>
            <w:vAlign w:val="center"/>
          </w:tcPr>
          <w:p>
            <w:pPr>
              <w:jc w:val="both"/>
              <w:rPr>
                <w:rFonts w:hint="default" w:ascii="Times New Roman" w:hAnsi="Times New Roman" w:eastAsia="仿宋_GB2312" w:cs="Times New Roman"/>
                <w:i w:val="0"/>
                <w:iCs w:val="0"/>
                <w:caps w:val="0"/>
                <w:color w:val="auto"/>
                <w:spacing w:val="0"/>
                <w:sz w:val="24"/>
                <w:szCs w:val="24"/>
                <w:shd w:val="clear" w:fill="FFFFFF"/>
                <w:lang w:eastAsia="zh-CN"/>
              </w:rPr>
            </w:pPr>
            <w:r>
              <w:rPr>
                <w:rFonts w:hint="default" w:ascii="Times New Roman" w:hAnsi="Times New Roman" w:eastAsia="仿宋_GB2312" w:cs="Times New Roman"/>
                <w:i w:val="0"/>
                <w:iCs w:val="0"/>
                <w:caps w:val="0"/>
                <w:color w:val="auto"/>
                <w:spacing w:val="0"/>
                <w:sz w:val="24"/>
                <w:szCs w:val="24"/>
                <w:shd w:val="clear" w:fill="FFFFFF"/>
              </w:rPr>
              <w:t>包括用于改善消费基础设施的固定资产贷款以及用于提升服务供给能力的流动资金贷款</w:t>
            </w:r>
          </w:p>
        </w:tc>
        <w:tc>
          <w:tcPr>
            <w:tcW w:w="3069" w:type="dxa"/>
            <w:vAlign w:val="center"/>
          </w:tcPr>
          <w:p>
            <w:pPr>
              <w:jc w:val="both"/>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个人消费贷款（含2026年1月1日起新发生的信用卡分期业务）实际用于消费的部分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8" w:hRule="atLeast"/>
        </w:trPr>
        <w:tc>
          <w:tcPr>
            <w:tcW w:w="1011"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黑体" w:cs="Times New Roman"/>
                <w:b w:val="0"/>
                <w:bCs w:val="0"/>
                <w:sz w:val="24"/>
                <w:szCs w:val="24"/>
                <w:vertAlign w:val="baseline"/>
                <w:lang w:val="en-US" w:eastAsia="zh-CN"/>
              </w:rPr>
            </w:pPr>
            <w:r>
              <w:rPr>
                <w:rFonts w:hint="default" w:ascii="Times New Roman" w:hAnsi="Times New Roman" w:eastAsia="黑体" w:cs="Times New Roman"/>
                <w:b w:val="0"/>
                <w:bCs w:val="0"/>
                <w:sz w:val="24"/>
                <w:szCs w:val="24"/>
                <w:vertAlign w:val="baseline"/>
                <w:lang w:val="en-US" w:eastAsia="zh-CN"/>
              </w:rPr>
              <w:t>资金分担比例</w:t>
            </w:r>
          </w:p>
        </w:tc>
        <w:tc>
          <w:tcPr>
            <w:tcW w:w="3446" w:type="dxa"/>
            <w:vAlign w:val="center"/>
          </w:tcPr>
          <w:p>
            <w:pPr>
              <w:jc w:val="center"/>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中央财政承担</w:t>
            </w:r>
          </w:p>
        </w:tc>
        <w:tc>
          <w:tcPr>
            <w:tcW w:w="3424" w:type="dxa"/>
            <w:vAlign w:val="center"/>
          </w:tcPr>
          <w:p>
            <w:pPr>
              <w:jc w:val="center"/>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中央财政承担</w:t>
            </w:r>
          </w:p>
        </w:tc>
        <w:tc>
          <w:tcPr>
            <w:tcW w:w="2925" w:type="dxa"/>
            <w:vAlign w:val="center"/>
          </w:tcPr>
          <w:p>
            <w:pPr>
              <w:jc w:val="center"/>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中央财政和省级财政按9:1分担</w:t>
            </w:r>
          </w:p>
        </w:tc>
        <w:tc>
          <w:tcPr>
            <w:tcW w:w="3069" w:type="dxa"/>
            <w:vAlign w:val="center"/>
          </w:tcPr>
          <w:p>
            <w:pPr>
              <w:jc w:val="center"/>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中央财政和省级财政按9:1分担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trPr>
        <w:tc>
          <w:tcPr>
            <w:tcW w:w="1011"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黑体" w:cs="Times New Roman"/>
                <w:b w:val="0"/>
                <w:bCs w:val="0"/>
                <w:sz w:val="24"/>
                <w:szCs w:val="24"/>
                <w:vertAlign w:val="baseline"/>
                <w:lang w:val="en-US" w:eastAsia="zh-CN"/>
              </w:rPr>
            </w:pPr>
            <w:r>
              <w:rPr>
                <w:rFonts w:hint="default" w:ascii="Times New Roman" w:hAnsi="Times New Roman" w:eastAsia="黑体" w:cs="Times New Roman"/>
                <w:b w:val="0"/>
                <w:bCs w:val="0"/>
                <w:sz w:val="24"/>
                <w:szCs w:val="24"/>
                <w:vertAlign w:val="baseline"/>
                <w:lang w:val="en-US" w:eastAsia="zh-CN"/>
              </w:rPr>
              <w:t>贴息</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黑体" w:cs="Times New Roman"/>
                <w:b w:val="0"/>
                <w:bCs w:val="0"/>
                <w:sz w:val="24"/>
                <w:szCs w:val="24"/>
                <w:vertAlign w:val="baseline"/>
                <w:lang w:val="en-US" w:eastAsia="zh-CN"/>
              </w:rPr>
            </w:pPr>
            <w:r>
              <w:rPr>
                <w:rFonts w:hint="default" w:ascii="Times New Roman" w:hAnsi="Times New Roman" w:eastAsia="黑体" w:cs="Times New Roman"/>
                <w:b w:val="0"/>
                <w:bCs w:val="0"/>
                <w:sz w:val="24"/>
                <w:szCs w:val="24"/>
                <w:vertAlign w:val="baseline"/>
                <w:lang w:val="en-US" w:eastAsia="zh-CN"/>
              </w:rPr>
              <w:t>标准</w:t>
            </w:r>
          </w:p>
        </w:tc>
        <w:tc>
          <w:tcPr>
            <w:tcW w:w="3446" w:type="dxa"/>
            <w:vAlign w:val="center"/>
          </w:tcPr>
          <w:p>
            <w:pPr>
              <w:jc w:val="center"/>
              <w:rPr>
                <w:rFonts w:hint="default" w:ascii="Times New Roman" w:hAnsi="Times New Roman" w:eastAsia="仿宋_GB2312" w:cs="Times New Roman"/>
                <w:i w:val="0"/>
                <w:iCs w:val="0"/>
                <w:caps w:val="0"/>
                <w:color w:val="auto"/>
                <w:spacing w:val="0"/>
                <w:sz w:val="24"/>
                <w:szCs w:val="24"/>
                <w:shd w:val="clear" w:fill="FFFFFF"/>
              </w:rPr>
            </w:pPr>
            <w:r>
              <w:rPr>
                <w:rFonts w:hint="default" w:ascii="Times New Roman" w:hAnsi="Times New Roman" w:eastAsia="仿宋_GB2312" w:cs="Times New Roman"/>
                <w:color w:val="auto"/>
                <w:sz w:val="24"/>
                <w:szCs w:val="24"/>
                <w:vertAlign w:val="baseline"/>
                <w:lang w:val="en-US" w:eastAsia="zh-CN"/>
              </w:rPr>
              <w:t>1.5个百分点</w:t>
            </w:r>
          </w:p>
        </w:tc>
        <w:tc>
          <w:tcPr>
            <w:tcW w:w="3424" w:type="dxa"/>
            <w:vAlign w:val="center"/>
          </w:tcPr>
          <w:p>
            <w:pPr>
              <w:jc w:val="center"/>
              <w:rPr>
                <w:rFonts w:hint="default" w:ascii="Times New Roman" w:hAnsi="Times New Roman" w:eastAsia="仿宋_GB2312" w:cs="Times New Roman"/>
                <w:i w:val="0"/>
                <w:iCs w:val="0"/>
                <w:caps w:val="0"/>
                <w:color w:val="auto"/>
                <w:spacing w:val="0"/>
                <w:sz w:val="24"/>
                <w:szCs w:val="24"/>
                <w:shd w:val="clear" w:fill="FFFFFF"/>
              </w:rPr>
            </w:pPr>
            <w:r>
              <w:rPr>
                <w:rFonts w:hint="default" w:ascii="Times New Roman" w:hAnsi="Times New Roman" w:eastAsia="仿宋_GB2312" w:cs="Times New Roman"/>
                <w:color w:val="auto"/>
                <w:sz w:val="24"/>
                <w:szCs w:val="24"/>
                <w:vertAlign w:val="baseline"/>
                <w:lang w:val="en-US" w:eastAsia="zh-CN"/>
              </w:rPr>
              <w:t>1.5个百分点</w:t>
            </w:r>
          </w:p>
        </w:tc>
        <w:tc>
          <w:tcPr>
            <w:tcW w:w="2925" w:type="dxa"/>
            <w:vAlign w:val="center"/>
          </w:tcPr>
          <w:p>
            <w:pPr>
              <w:jc w:val="center"/>
              <w:rPr>
                <w:rFonts w:hint="default" w:ascii="Times New Roman" w:hAnsi="Times New Roman" w:eastAsia="仿宋_GB2312" w:cs="Times New Roman"/>
                <w:i w:val="0"/>
                <w:iCs w:val="0"/>
                <w:caps w:val="0"/>
                <w:color w:val="auto"/>
                <w:spacing w:val="0"/>
                <w:sz w:val="24"/>
                <w:szCs w:val="24"/>
                <w:shd w:val="clear" w:fill="FFFFFF"/>
              </w:rPr>
            </w:pPr>
            <w:r>
              <w:rPr>
                <w:rFonts w:hint="default" w:ascii="Times New Roman" w:hAnsi="Times New Roman" w:eastAsia="仿宋_GB2312" w:cs="Times New Roman"/>
                <w:color w:val="auto"/>
                <w:sz w:val="24"/>
                <w:szCs w:val="24"/>
                <w:vertAlign w:val="baseline"/>
                <w:lang w:val="en-US" w:eastAsia="zh-CN"/>
              </w:rPr>
              <w:t>1个百分点</w:t>
            </w:r>
          </w:p>
        </w:tc>
        <w:tc>
          <w:tcPr>
            <w:tcW w:w="3069" w:type="dxa"/>
            <w:vAlign w:val="center"/>
          </w:tcPr>
          <w:p>
            <w:pPr>
              <w:jc w:val="center"/>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1个百分点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atLeast"/>
        </w:trPr>
        <w:tc>
          <w:tcPr>
            <w:tcW w:w="1011"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黑体" w:cs="Times New Roman"/>
                <w:b w:val="0"/>
                <w:bCs w:val="0"/>
                <w:sz w:val="24"/>
                <w:szCs w:val="24"/>
                <w:vertAlign w:val="baseline"/>
                <w:lang w:val="en-US" w:eastAsia="zh-CN"/>
              </w:rPr>
            </w:pPr>
            <w:r>
              <w:rPr>
                <w:rFonts w:hint="default" w:ascii="Times New Roman" w:hAnsi="Times New Roman" w:eastAsia="黑体" w:cs="Times New Roman"/>
                <w:b w:val="0"/>
                <w:bCs w:val="0"/>
                <w:sz w:val="24"/>
                <w:szCs w:val="24"/>
                <w:vertAlign w:val="baseline"/>
                <w:lang w:val="en-US" w:eastAsia="zh-CN"/>
              </w:rPr>
              <w:t>贴息</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黑体" w:cs="Times New Roman"/>
                <w:b w:val="0"/>
                <w:bCs w:val="0"/>
                <w:sz w:val="24"/>
                <w:szCs w:val="24"/>
                <w:vertAlign w:val="baseline"/>
                <w:lang w:val="en-US" w:eastAsia="zh-CN"/>
              </w:rPr>
            </w:pPr>
            <w:r>
              <w:rPr>
                <w:rFonts w:hint="default" w:ascii="Times New Roman" w:hAnsi="Times New Roman" w:eastAsia="黑体" w:cs="Times New Roman"/>
                <w:b w:val="0"/>
                <w:bCs w:val="0"/>
                <w:sz w:val="24"/>
                <w:szCs w:val="24"/>
                <w:vertAlign w:val="baseline"/>
                <w:lang w:val="en-US" w:eastAsia="zh-CN"/>
              </w:rPr>
              <w:t>期限</w:t>
            </w:r>
          </w:p>
        </w:tc>
        <w:tc>
          <w:tcPr>
            <w:tcW w:w="3446" w:type="dxa"/>
            <w:vAlign w:val="center"/>
          </w:tcPr>
          <w:p>
            <w:pPr>
              <w:jc w:val="center"/>
              <w:rPr>
                <w:rFonts w:hint="default" w:ascii="Times New Roman" w:hAnsi="Times New Roman" w:eastAsia="仿宋_GB2312" w:cs="Times New Roman"/>
                <w:i w:val="0"/>
                <w:iCs w:val="0"/>
                <w:caps w:val="0"/>
                <w:color w:val="auto"/>
                <w:spacing w:val="0"/>
                <w:sz w:val="24"/>
                <w:szCs w:val="24"/>
                <w:shd w:val="clear" w:fill="FFFFFF"/>
              </w:rPr>
            </w:pPr>
            <w:r>
              <w:rPr>
                <w:rFonts w:hint="default" w:ascii="Times New Roman" w:hAnsi="Times New Roman" w:eastAsia="仿宋_GB2312" w:cs="Times New Roman"/>
                <w:color w:val="auto"/>
                <w:sz w:val="24"/>
                <w:szCs w:val="24"/>
                <w:vertAlign w:val="baseline"/>
                <w:lang w:val="en-US" w:eastAsia="zh-CN"/>
              </w:rPr>
              <w:t>2年</w:t>
            </w:r>
          </w:p>
        </w:tc>
        <w:tc>
          <w:tcPr>
            <w:tcW w:w="3424" w:type="dxa"/>
            <w:vAlign w:val="center"/>
          </w:tcPr>
          <w:p>
            <w:pPr>
              <w:jc w:val="center"/>
              <w:rPr>
                <w:rFonts w:hint="default" w:ascii="Times New Roman" w:hAnsi="Times New Roman" w:eastAsia="仿宋_GB2312" w:cs="Times New Roman"/>
                <w:i w:val="0"/>
                <w:iCs w:val="0"/>
                <w:caps w:val="0"/>
                <w:color w:val="auto"/>
                <w:spacing w:val="0"/>
                <w:sz w:val="24"/>
                <w:szCs w:val="24"/>
                <w:shd w:val="clear" w:fill="FFFFFF"/>
              </w:rPr>
            </w:pPr>
            <w:r>
              <w:rPr>
                <w:rFonts w:hint="default" w:ascii="Times New Roman" w:hAnsi="Times New Roman" w:eastAsia="仿宋_GB2312" w:cs="Times New Roman"/>
                <w:color w:val="auto"/>
                <w:sz w:val="24"/>
                <w:szCs w:val="24"/>
                <w:vertAlign w:val="baseline"/>
                <w:lang w:val="en-US" w:eastAsia="zh-CN"/>
              </w:rPr>
              <w:t>2年</w:t>
            </w:r>
          </w:p>
        </w:tc>
        <w:tc>
          <w:tcPr>
            <w:tcW w:w="2925" w:type="dxa"/>
            <w:vAlign w:val="center"/>
          </w:tcPr>
          <w:p>
            <w:pPr>
              <w:jc w:val="center"/>
              <w:rPr>
                <w:rFonts w:hint="default" w:ascii="Times New Roman" w:hAnsi="Times New Roman" w:eastAsia="仿宋_GB2312" w:cs="Times New Roman"/>
                <w:i w:val="0"/>
                <w:iCs w:val="0"/>
                <w:caps w:val="0"/>
                <w:color w:val="auto"/>
                <w:spacing w:val="0"/>
                <w:sz w:val="24"/>
                <w:szCs w:val="24"/>
                <w:shd w:val="clear" w:fill="FFFFFF"/>
              </w:rPr>
            </w:pPr>
            <w:r>
              <w:rPr>
                <w:rFonts w:hint="default" w:ascii="Times New Roman" w:hAnsi="Times New Roman" w:eastAsia="仿宋_GB2312" w:cs="Times New Roman"/>
                <w:color w:val="auto"/>
                <w:sz w:val="24"/>
                <w:szCs w:val="24"/>
                <w:vertAlign w:val="baseline"/>
                <w:lang w:val="en-US" w:eastAsia="zh-CN"/>
              </w:rPr>
              <w:t>1年</w:t>
            </w:r>
          </w:p>
        </w:tc>
        <w:tc>
          <w:tcPr>
            <w:tcW w:w="3069" w:type="dxa"/>
            <w:vAlign w:val="center"/>
          </w:tcPr>
          <w:p>
            <w:pPr>
              <w:jc w:val="center"/>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政策实施期内</w:t>
            </w:r>
          </w:p>
          <w:p>
            <w:pPr>
              <w:jc w:val="center"/>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可享受贴息支持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7" w:hRule="atLeast"/>
        </w:trPr>
        <w:tc>
          <w:tcPr>
            <w:tcW w:w="1011"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黑体" w:cs="Times New Roman"/>
                <w:b w:val="0"/>
                <w:bCs w:val="0"/>
                <w:sz w:val="24"/>
                <w:szCs w:val="24"/>
                <w:vertAlign w:val="baseline"/>
                <w:lang w:val="en-US" w:eastAsia="zh-CN"/>
              </w:rPr>
            </w:pPr>
            <w:r>
              <w:rPr>
                <w:rFonts w:hint="default" w:ascii="Times New Roman" w:hAnsi="Times New Roman" w:eastAsia="黑体" w:cs="Times New Roman"/>
                <w:b w:val="0"/>
                <w:bCs w:val="0"/>
                <w:sz w:val="24"/>
                <w:szCs w:val="24"/>
                <w:vertAlign w:val="baseline"/>
                <w:lang w:val="en-US" w:eastAsia="zh-CN"/>
              </w:rPr>
              <w:t>支持</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黑体" w:cs="Times New Roman"/>
                <w:b w:val="0"/>
                <w:bCs w:val="0"/>
                <w:sz w:val="24"/>
                <w:szCs w:val="24"/>
                <w:vertAlign w:val="baseline"/>
                <w:lang w:val="en-US" w:eastAsia="zh-CN"/>
              </w:rPr>
            </w:pPr>
            <w:r>
              <w:rPr>
                <w:rFonts w:hint="default" w:ascii="Times New Roman" w:hAnsi="Times New Roman" w:eastAsia="黑体" w:cs="Times New Roman"/>
                <w:b w:val="0"/>
                <w:bCs w:val="0"/>
                <w:sz w:val="24"/>
                <w:szCs w:val="24"/>
                <w:vertAlign w:val="baseline"/>
                <w:lang w:val="en-US" w:eastAsia="zh-CN"/>
              </w:rPr>
              <w:t>领域</w:t>
            </w:r>
          </w:p>
        </w:tc>
        <w:tc>
          <w:tcPr>
            <w:tcW w:w="3446" w:type="dxa"/>
            <w:vAlign w:val="center"/>
          </w:tcPr>
          <w:p>
            <w:pPr>
              <w:jc w:val="both"/>
              <w:rPr>
                <w:rFonts w:hint="default" w:ascii="Times New Roman" w:hAnsi="Times New Roman" w:eastAsia="仿宋_GB2312" w:cs="Times New Roman"/>
                <w:color w:val="auto"/>
                <w:sz w:val="24"/>
                <w:szCs w:val="24"/>
                <w:vertAlign w:val="baseline"/>
              </w:rPr>
            </w:pPr>
            <w:r>
              <w:rPr>
                <w:rFonts w:hint="default" w:ascii="Times New Roman" w:hAnsi="Times New Roman" w:eastAsia="仿宋_GB2312" w:cs="Times New Roman"/>
                <w:i w:val="0"/>
                <w:iCs w:val="0"/>
                <w:caps w:val="0"/>
                <w:color w:val="auto"/>
                <w:spacing w:val="0"/>
                <w:sz w:val="24"/>
                <w:szCs w:val="24"/>
                <w:shd w:val="clear" w:fill="FFFFFF"/>
              </w:rPr>
              <w:t>新能源汽车、工业母机、医药工业、医疗装备、基础软件和工业软件、民用大飞机、服务器、移动通信设备、新型显示、仪器仪表、工业机器人、轨道交通装备、船舶与海洋工程装备、农机装备等相关重点产业链及上下游产业，科技服务、物流服务、信息和软件服务、节能环保服务、生产性租赁服务、商务服务等生产性服务业领域，农、林、牧、渔、农副产品加工业领域，以人工智能等为代表的新兴领域</w:t>
            </w:r>
          </w:p>
        </w:tc>
        <w:tc>
          <w:tcPr>
            <w:tcW w:w="3424" w:type="dxa"/>
            <w:vAlign w:val="center"/>
          </w:tcPr>
          <w:p>
            <w:pPr>
              <w:jc w:val="both"/>
              <w:rPr>
                <w:rFonts w:hint="default" w:ascii="Times New Roman" w:hAnsi="Times New Roman" w:eastAsia="仿宋_GB2312" w:cs="Times New Roman"/>
                <w:color w:val="auto"/>
                <w:sz w:val="24"/>
                <w:szCs w:val="24"/>
                <w:vertAlign w:val="baseline"/>
              </w:rPr>
            </w:pPr>
            <w:r>
              <w:rPr>
                <w:rFonts w:hint="default" w:ascii="Times New Roman" w:hAnsi="Times New Roman" w:eastAsia="仿宋_GB2312" w:cs="Times New Roman"/>
                <w:i w:val="0"/>
                <w:iCs w:val="0"/>
                <w:caps w:val="0"/>
                <w:color w:val="auto"/>
                <w:spacing w:val="0"/>
                <w:sz w:val="24"/>
                <w:szCs w:val="24"/>
                <w:shd w:val="clear" w:fill="FFFFFF"/>
              </w:rPr>
              <w:t>工业、能源电力、交通运输、物流、文旅、老旧农机具</w:t>
            </w:r>
            <w:r>
              <w:rPr>
                <w:rFonts w:hint="default" w:ascii="Times New Roman" w:hAnsi="Times New Roman" w:eastAsia="仿宋_GB2312" w:cs="Times New Roman"/>
                <w:i w:val="0"/>
                <w:iCs w:val="0"/>
                <w:caps w:val="0"/>
                <w:color w:val="auto"/>
                <w:spacing w:val="0"/>
                <w:sz w:val="24"/>
                <w:szCs w:val="24"/>
                <w:shd w:val="clear" w:fill="FFFFFF"/>
                <w:lang w:eastAsia="zh-CN"/>
              </w:rPr>
              <w:t>、</w:t>
            </w:r>
            <w:r>
              <w:rPr>
                <w:rFonts w:hint="default" w:ascii="Times New Roman" w:hAnsi="Times New Roman" w:eastAsia="仿宋_GB2312" w:cs="Times New Roman"/>
                <w:i w:val="0"/>
                <w:iCs w:val="0"/>
                <w:caps w:val="0"/>
                <w:color w:val="auto"/>
                <w:spacing w:val="0"/>
                <w:sz w:val="24"/>
                <w:szCs w:val="24"/>
                <w:shd w:val="clear" w:fill="FFFFFF"/>
              </w:rPr>
              <w:t>建筑和市政、用能设备、航空器材、电子信息、安全生产、设施农业、渔船、冷链设施、粮油加工、废弃物循环利用、小水电、消费商业设施、人工智能、养老等领域，加大对高端化、智能化、绿色化、数字化设备更新支持</w:t>
            </w:r>
          </w:p>
        </w:tc>
        <w:tc>
          <w:tcPr>
            <w:tcW w:w="2925" w:type="dxa"/>
            <w:vAlign w:val="center"/>
          </w:tcPr>
          <w:p>
            <w:pPr>
              <w:jc w:val="both"/>
              <w:rPr>
                <w:rFonts w:hint="default" w:ascii="Times New Roman" w:hAnsi="Times New Roman" w:eastAsia="仿宋_GB2312" w:cs="Times New Roman"/>
                <w:color w:val="auto"/>
                <w:sz w:val="24"/>
                <w:szCs w:val="24"/>
                <w:vertAlign w:val="baseline"/>
                <w:lang w:eastAsia="zh-CN"/>
              </w:rPr>
            </w:pPr>
            <w:r>
              <w:rPr>
                <w:rFonts w:hint="default" w:ascii="Times New Roman" w:hAnsi="Times New Roman" w:eastAsia="仿宋_GB2312" w:cs="Times New Roman"/>
                <w:i w:val="0"/>
                <w:iCs w:val="0"/>
                <w:caps w:val="0"/>
                <w:color w:val="auto"/>
                <w:spacing w:val="0"/>
                <w:sz w:val="24"/>
                <w:szCs w:val="24"/>
                <w:shd w:val="clear" w:fill="FFFFFF"/>
              </w:rPr>
              <w:t>餐饮住宿、健康、养老、托育、家政、文化娱乐、旅游、体育</w:t>
            </w:r>
            <w:r>
              <w:rPr>
                <w:rFonts w:hint="default" w:ascii="Times New Roman" w:hAnsi="Times New Roman" w:eastAsia="仿宋_GB2312" w:cs="Times New Roman"/>
                <w:i w:val="0"/>
                <w:iCs w:val="0"/>
                <w:caps w:val="0"/>
                <w:color w:val="auto"/>
                <w:spacing w:val="0"/>
                <w:sz w:val="24"/>
                <w:szCs w:val="24"/>
                <w:shd w:val="clear" w:fill="FFFFFF"/>
                <w:lang w:eastAsia="zh-CN"/>
              </w:rPr>
              <w:t>、</w:t>
            </w:r>
            <w:r>
              <w:rPr>
                <w:rFonts w:hint="default" w:ascii="Times New Roman" w:hAnsi="Times New Roman" w:eastAsia="仿宋_GB2312" w:cs="Times New Roman"/>
                <w:i w:val="0"/>
                <w:iCs w:val="0"/>
                <w:caps w:val="0"/>
                <w:color w:val="auto"/>
                <w:spacing w:val="0"/>
                <w:sz w:val="24"/>
                <w:szCs w:val="24"/>
                <w:shd w:val="clear" w:fill="FFFFFF"/>
              </w:rPr>
              <w:t>数字、绿色、零售</w:t>
            </w:r>
            <w:r>
              <w:rPr>
                <w:rFonts w:hint="default" w:ascii="Times New Roman" w:hAnsi="Times New Roman" w:eastAsia="仿宋_GB2312" w:cs="Times New Roman"/>
                <w:i w:val="0"/>
                <w:iCs w:val="0"/>
                <w:caps w:val="0"/>
                <w:color w:val="auto"/>
                <w:spacing w:val="0"/>
                <w:sz w:val="24"/>
                <w:szCs w:val="24"/>
                <w:shd w:val="clear" w:fill="FFFFFF"/>
                <w:lang w:val="en-US" w:eastAsia="zh-CN"/>
              </w:rPr>
              <w:t>11</w:t>
            </w:r>
            <w:r>
              <w:rPr>
                <w:rFonts w:hint="default" w:ascii="Times New Roman" w:hAnsi="Times New Roman" w:eastAsia="仿宋_GB2312" w:cs="Times New Roman"/>
                <w:i w:val="0"/>
                <w:iCs w:val="0"/>
                <w:caps w:val="0"/>
                <w:color w:val="auto"/>
                <w:spacing w:val="0"/>
                <w:sz w:val="24"/>
                <w:szCs w:val="24"/>
                <w:shd w:val="clear" w:fill="FFFFFF"/>
              </w:rPr>
              <w:t>类消费领域</w:t>
            </w:r>
          </w:p>
        </w:tc>
        <w:tc>
          <w:tcPr>
            <w:tcW w:w="3069" w:type="dxa"/>
            <w:vAlign w:val="center"/>
          </w:tcPr>
          <w:p>
            <w:pPr>
              <w:jc w:val="both"/>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各领域的个人消费（包含新发生的信用卡分期）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1" w:hRule="atLeast"/>
        </w:trPr>
        <w:tc>
          <w:tcPr>
            <w:tcW w:w="1011" w:type="dxa"/>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sz w:val="24"/>
                <w:szCs w:val="24"/>
                <w:vertAlign w:val="baseline"/>
                <w:lang w:val="en-US" w:eastAsia="zh-CN"/>
              </w:rPr>
            </w:pPr>
            <w:r>
              <w:rPr>
                <w:rFonts w:hint="default" w:ascii="Times New Roman" w:hAnsi="Times New Roman" w:eastAsia="黑体" w:cs="Times New Roman"/>
                <w:b w:val="0"/>
                <w:bCs w:val="0"/>
                <w:sz w:val="24"/>
                <w:szCs w:val="24"/>
                <w:vertAlign w:val="baseline"/>
                <w:lang w:val="en-US" w:eastAsia="zh-CN"/>
              </w:rPr>
              <w:t>单户享受贴息的贷款规模</w:t>
            </w:r>
          </w:p>
        </w:tc>
        <w:tc>
          <w:tcPr>
            <w:tcW w:w="3446" w:type="dxa"/>
            <w:vAlign w:val="center"/>
          </w:tcPr>
          <w:p>
            <w:pPr>
              <w:jc w:val="center"/>
              <w:rPr>
                <w:rFonts w:hint="default" w:ascii="Times New Roman" w:hAnsi="Times New Roman" w:eastAsia="仿宋_GB2312" w:cs="Times New Roman"/>
                <w:i w:val="0"/>
                <w:iCs w:val="0"/>
                <w:caps w:val="0"/>
                <w:color w:val="auto"/>
                <w:spacing w:val="0"/>
                <w:sz w:val="24"/>
                <w:szCs w:val="24"/>
                <w:shd w:val="clear" w:fill="FFFFFF"/>
                <w:lang w:val="en-US" w:eastAsia="zh-CN"/>
              </w:rPr>
            </w:pPr>
            <w:r>
              <w:rPr>
                <w:rFonts w:hint="default" w:ascii="Times New Roman" w:hAnsi="Times New Roman" w:eastAsia="仿宋_GB2312" w:cs="Times New Roman"/>
                <w:i w:val="0"/>
                <w:iCs w:val="0"/>
                <w:caps w:val="0"/>
                <w:color w:val="auto"/>
                <w:spacing w:val="0"/>
                <w:sz w:val="24"/>
                <w:szCs w:val="24"/>
                <w:shd w:val="clear" w:fill="FFFFFF"/>
                <w:lang w:val="en-US" w:eastAsia="zh-CN"/>
              </w:rPr>
              <w:t>5000万元</w:t>
            </w:r>
          </w:p>
        </w:tc>
        <w:tc>
          <w:tcPr>
            <w:tcW w:w="3424" w:type="dxa"/>
            <w:vAlign w:val="center"/>
          </w:tcPr>
          <w:p>
            <w:pPr>
              <w:jc w:val="center"/>
              <w:rPr>
                <w:rFonts w:hint="default" w:ascii="Times New Roman" w:hAnsi="Times New Roman" w:eastAsia="仿宋_GB2312" w:cs="Times New Roman"/>
                <w:i w:val="0"/>
                <w:iCs w:val="0"/>
                <w:caps w:val="0"/>
                <w:color w:val="auto"/>
                <w:spacing w:val="0"/>
                <w:sz w:val="24"/>
                <w:szCs w:val="24"/>
                <w:shd w:val="clear" w:fill="FFFFFF"/>
                <w:lang w:val="en-US" w:eastAsia="zh-CN"/>
              </w:rPr>
            </w:pPr>
            <w:r>
              <w:rPr>
                <w:rFonts w:hint="default" w:ascii="Times New Roman" w:hAnsi="Times New Roman" w:eastAsia="仿宋_GB2312" w:cs="Times New Roman"/>
                <w:i w:val="0"/>
                <w:iCs w:val="0"/>
                <w:caps w:val="0"/>
                <w:color w:val="auto"/>
                <w:spacing w:val="0"/>
                <w:sz w:val="24"/>
                <w:szCs w:val="24"/>
                <w:shd w:val="clear" w:fill="FFFFFF"/>
                <w:lang w:val="en-US" w:eastAsia="zh-CN"/>
              </w:rPr>
              <w:t>-</w:t>
            </w:r>
          </w:p>
        </w:tc>
        <w:tc>
          <w:tcPr>
            <w:tcW w:w="2925" w:type="dxa"/>
            <w:vAlign w:val="center"/>
          </w:tcPr>
          <w:p>
            <w:pPr>
              <w:jc w:val="center"/>
              <w:rPr>
                <w:rFonts w:hint="default" w:ascii="Times New Roman" w:hAnsi="Times New Roman" w:eastAsia="仿宋_GB2312" w:cs="Times New Roman"/>
                <w:i w:val="0"/>
                <w:iCs w:val="0"/>
                <w:caps w:val="0"/>
                <w:color w:val="auto"/>
                <w:spacing w:val="0"/>
                <w:sz w:val="24"/>
                <w:szCs w:val="24"/>
                <w:shd w:val="clear" w:fill="FFFFFF"/>
                <w:lang w:val="en-US" w:eastAsia="zh-CN"/>
              </w:rPr>
            </w:pPr>
            <w:r>
              <w:rPr>
                <w:rFonts w:hint="default" w:ascii="Times New Roman" w:hAnsi="Times New Roman" w:eastAsia="仿宋_GB2312" w:cs="Times New Roman"/>
                <w:i w:val="0"/>
                <w:iCs w:val="0"/>
                <w:caps w:val="0"/>
                <w:color w:val="auto"/>
                <w:spacing w:val="0"/>
                <w:sz w:val="24"/>
                <w:szCs w:val="24"/>
                <w:shd w:val="clear" w:fill="FFFFFF"/>
                <w:lang w:val="en-US" w:eastAsia="zh-CN"/>
              </w:rPr>
              <w:t>1000万元</w:t>
            </w:r>
          </w:p>
        </w:tc>
        <w:tc>
          <w:tcPr>
            <w:tcW w:w="3069" w:type="dxa"/>
            <w:vAlign w:val="center"/>
          </w:tcPr>
          <w:p>
            <w:pPr>
              <w:jc w:val="center"/>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30万元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trPr>
        <w:tc>
          <w:tcPr>
            <w:tcW w:w="1011" w:type="dxa"/>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sz w:val="24"/>
                <w:szCs w:val="24"/>
                <w:vertAlign w:val="baseline"/>
                <w:lang w:val="en-US" w:eastAsia="zh-CN"/>
              </w:rPr>
            </w:pPr>
            <w:r>
              <w:rPr>
                <w:rFonts w:hint="default" w:ascii="Times New Roman" w:hAnsi="Times New Roman" w:eastAsia="黑体" w:cs="Times New Roman"/>
                <w:b w:val="0"/>
                <w:bCs w:val="0"/>
                <w:sz w:val="24"/>
                <w:szCs w:val="24"/>
                <w:vertAlign w:val="baseline"/>
                <w:lang w:val="en-US" w:eastAsia="zh-CN"/>
              </w:rPr>
              <w:t>单户</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sz w:val="24"/>
                <w:szCs w:val="24"/>
                <w:vertAlign w:val="baseline"/>
                <w:lang w:val="en-US" w:eastAsia="zh-CN"/>
              </w:rPr>
            </w:pPr>
            <w:r>
              <w:rPr>
                <w:rFonts w:hint="default" w:ascii="Times New Roman" w:hAnsi="Times New Roman" w:eastAsia="黑体" w:cs="Times New Roman"/>
                <w:b w:val="0"/>
                <w:bCs w:val="0"/>
                <w:sz w:val="24"/>
                <w:szCs w:val="24"/>
                <w:vertAlign w:val="baseline"/>
                <w:lang w:val="en-US" w:eastAsia="zh-CN"/>
              </w:rPr>
              <w:t>贴息</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sz w:val="24"/>
                <w:szCs w:val="24"/>
                <w:vertAlign w:val="baseline"/>
                <w:lang w:val="en-US" w:eastAsia="zh-CN"/>
              </w:rPr>
            </w:pPr>
            <w:r>
              <w:rPr>
                <w:rFonts w:hint="default" w:ascii="Times New Roman" w:hAnsi="Times New Roman" w:eastAsia="黑体" w:cs="Times New Roman"/>
                <w:b w:val="0"/>
                <w:bCs w:val="0"/>
                <w:sz w:val="24"/>
                <w:szCs w:val="24"/>
                <w:vertAlign w:val="baseline"/>
                <w:lang w:val="en-US" w:eastAsia="zh-CN"/>
              </w:rPr>
              <w:t>上限</w:t>
            </w:r>
          </w:p>
        </w:tc>
        <w:tc>
          <w:tcPr>
            <w:tcW w:w="3446" w:type="dxa"/>
            <w:vAlign w:val="center"/>
          </w:tcPr>
          <w:p>
            <w:pPr>
              <w:jc w:val="center"/>
              <w:rPr>
                <w:rFonts w:hint="default" w:ascii="Times New Roman" w:hAnsi="Times New Roman" w:eastAsia="仿宋_GB2312" w:cs="Times New Roman"/>
                <w:i w:val="0"/>
                <w:iCs w:val="0"/>
                <w:caps w:val="0"/>
                <w:color w:val="auto"/>
                <w:spacing w:val="0"/>
                <w:sz w:val="24"/>
                <w:szCs w:val="24"/>
                <w:shd w:val="clear" w:fill="FFFFFF"/>
                <w:lang w:val="en-US" w:eastAsia="zh-CN"/>
              </w:rPr>
            </w:pPr>
            <w:r>
              <w:rPr>
                <w:rFonts w:hint="default" w:ascii="Times New Roman" w:hAnsi="Times New Roman" w:eastAsia="仿宋_GB2312" w:cs="Times New Roman"/>
                <w:i w:val="0"/>
                <w:iCs w:val="0"/>
                <w:caps w:val="0"/>
                <w:color w:val="auto"/>
                <w:spacing w:val="0"/>
                <w:sz w:val="24"/>
                <w:szCs w:val="24"/>
                <w:shd w:val="clear" w:fill="FFFFFF"/>
                <w:lang w:val="en-US" w:eastAsia="zh-CN"/>
              </w:rPr>
              <w:t>150万元</w:t>
            </w:r>
          </w:p>
        </w:tc>
        <w:tc>
          <w:tcPr>
            <w:tcW w:w="3424" w:type="dxa"/>
            <w:vAlign w:val="center"/>
          </w:tcPr>
          <w:p>
            <w:pPr>
              <w:jc w:val="center"/>
              <w:rPr>
                <w:rFonts w:hint="default" w:ascii="Times New Roman" w:hAnsi="Times New Roman" w:eastAsia="仿宋_GB2312" w:cs="Times New Roman"/>
                <w:i w:val="0"/>
                <w:iCs w:val="0"/>
                <w:caps w:val="0"/>
                <w:color w:val="auto"/>
                <w:spacing w:val="0"/>
                <w:sz w:val="24"/>
                <w:szCs w:val="24"/>
                <w:shd w:val="clear" w:fill="FFFFFF"/>
                <w:lang w:val="en-US" w:eastAsia="zh-CN"/>
              </w:rPr>
            </w:pPr>
            <w:r>
              <w:rPr>
                <w:rFonts w:hint="default" w:ascii="Times New Roman" w:hAnsi="Times New Roman" w:eastAsia="仿宋_GB2312" w:cs="Times New Roman"/>
                <w:i w:val="0"/>
                <w:iCs w:val="0"/>
                <w:caps w:val="0"/>
                <w:color w:val="auto"/>
                <w:spacing w:val="0"/>
                <w:sz w:val="24"/>
                <w:szCs w:val="24"/>
                <w:shd w:val="clear" w:fill="FFFFFF"/>
                <w:lang w:val="en-US" w:eastAsia="zh-CN"/>
              </w:rPr>
              <w:t>-</w:t>
            </w:r>
          </w:p>
        </w:tc>
        <w:tc>
          <w:tcPr>
            <w:tcW w:w="2925" w:type="dxa"/>
            <w:vAlign w:val="center"/>
          </w:tcPr>
          <w:p>
            <w:pPr>
              <w:jc w:val="center"/>
              <w:rPr>
                <w:rFonts w:hint="default" w:ascii="Times New Roman" w:hAnsi="Times New Roman" w:eastAsia="仿宋_GB2312" w:cs="Times New Roman"/>
                <w:i w:val="0"/>
                <w:iCs w:val="0"/>
                <w:caps w:val="0"/>
                <w:color w:val="auto"/>
                <w:spacing w:val="0"/>
                <w:sz w:val="24"/>
                <w:szCs w:val="24"/>
                <w:shd w:val="clear" w:fill="FFFFFF"/>
                <w:lang w:val="en-US" w:eastAsia="zh-CN"/>
              </w:rPr>
            </w:pPr>
            <w:r>
              <w:rPr>
                <w:rFonts w:hint="default" w:ascii="Times New Roman" w:hAnsi="Times New Roman" w:eastAsia="仿宋_GB2312" w:cs="Times New Roman"/>
                <w:i w:val="0"/>
                <w:iCs w:val="0"/>
                <w:caps w:val="0"/>
                <w:color w:val="auto"/>
                <w:spacing w:val="0"/>
                <w:sz w:val="24"/>
                <w:szCs w:val="24"/>
                <w:shd w:val="clear" w:fill="FFFFFF"/>
                <w:lang w:val="en-US" w:eastAsia="zh-CN"/>
              </w:rPr>
              <w:t>10万元</w:t>
            </w:r>
          </w:p>
        </w:tc>
        <w:tc>
          <w:tcPr>
            <w:tcW w:w="3069" w:type="dxa"/>
            <w:vAlign w:val="center"/>
          </w:tcPr>
          <w:p>
            <w:pPr>
              <w:jc w:val="center"/>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3000元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5" w:hRule="atLeast"/>
        </w:trPr>
        <w:tc>
          <w:tcPr>
            <w:tcW w:w="1011"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黑体" w:cs="Times New Roman"/>
                <w:b w:val="0"/>
                <w:bCs w:val="0"/>
                <w:sz w:val="24"/>
                <w:szCs w:val="24"/>
                <w:vertAlign w:val="baseline"/>
                <w:lang w:val="en-US" w:eastAsia="zh-CN"/>
              </w:rPr>
            </w:pPr>
            <w:r>
              <w:rPr>
                <w:rFonts w:hint="default" w:ascii="Times New Roman" w:hAnsi="Times New Roman" w:eastAsia="黑体" w:cs="Times New Roman"/>
                <w:b w:val="0"/>
                <w:bCs w:val="0"/>
                <w:sz w:val="24"/>
                <w:szCs w:val="24"/>
                <w:vertAlign w:val="baseline"/>
                <w:lang w:val="en-US" w:eastAsia="zh-CN"/>
              </w:rPr>
              <w:t>经办</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黑体" w:cs="Times New Roman"/>
                <w:b w:val="0"/>
                <w:bCs w:val="0"/>
                <w:sz w:val="24"/>
                <w:szCs w:val="24"/>
                <w:vertAlign w:val="baseline"/>
                <w:lang w:val="en-US" w:eastAsia="zh-CN"/>
              </w:rPr>
            </w:pPr>
            <w:r>
              <w:rPr>
                <w:rFonts w:hint="default" w:ascii="Times New Roman" w:hAnsi="Times New Roman" w:eastAsia="黑体" w:cs="Times New Roman"/>
                <w:b w:val="0"/>
                <w:bCs w:val="0"/>
                <w:sz w:val="24"/>
                <w:szCs w:val="24"/>
                <w:vertAlign w:val="baseline"/>
                <w:lang w:val="en-US" w:eastAsia="zh-CN"/>
              </w:rPr>
              <w:t>机构</w:t>
            </w:r>
          </w:p>
        </w:tc>
        <w:tc>
          <w:tcPr>
            <w:tcW w:w="3446" w:type="dxa"/>
            <w:vAlign w:val="center"/>
          </w:tcPr>
          <w:p>
            <w:pPr>
              <w:jc w:val="both"/>
              <w:rPr>
                <w:rFonts w:hint="default" w:ascii="Times New Roman" w:hAnsi="Times New Roman" w:eastAsia="仿宋_GB2312" w:cs="Times New Roman"/>
                <w:color w:val="auto"/>
                <w:sz w:val="24"/>
                <w:szCs w:val="24"/>
                <w:vertAlign w:val="baseline"/>
              </w:rPr>
            </w:pPr>
            <w:r>
              <w:rPr>
                <w:rFonts w:hint="default" w:ascii="Times New Roman" w:hAnsi="Times New Roman" w:eastAsia="仿宋_GB2312" w:cs="Times New Roman"/>
                <w:i w:val="0"/>
                <w:iCs w:val="0"/>
                <w:caps w:val="0"/>
                <w:color w:val="auto"/>
                <w:spacing w:val="0"/>
                <w:sz w:val="24"/>
                <w:szCs w:val="24"/>
                <w:shd w:val="clear" w:fill="FFFFFF"/>
              </w:rPr>
              <w:t>21家全国性银行，金融监管评级3A及以上的城市商业银行、省级农村商业银行、省会城市农村商业银行、外资银行</w:t>
            </w:r>
          </w:p>
        </w:tc>
        <w:tc>
          <w:tcPr>
            <w:tcW w:w="3424" w:type="dxa"/>
            <w:vAlign w:val="center"/>
          </w:tcPr>
          <w:p>
            <w:pPr>
              <w:jc w:val="both"/>
              <w:rPr>
                <w:rFonts w:hint="default" w:ascii="Times New Roman" w:hAnsi="Times New Roman" w:eastAsia="仿宋_GB2312" w:cs="Times New Roman"/>
                <w:color w:val="auto"/>
                <w:sz w:val="24"/>
                <w:szCs w:val="24"/>
                <w:vertAlign w:val="baseline"/>
              </w:rPr>
            </w:pPr>
            <w:r>
              <w:rPr>
                <w:rFonts w:hint="default" w:ascii="Times New Roman" w:hAnsi="Times New Roman" w:eastAsia="仿宋_GB2312" w:cs="Times New Roman"/>
                <w:i w:val="0"/>
                <w:iCs w:val="0"/>
                <w:caps w:val="0"/>
                <w:color w:val="auto"/>
                <w:spacing w:val="0"/>
                <w:sz w:val="24"/>
                <w:szCs w:val="24"/>
                <w:shd w:val="clear" w:fill="FFFFFF"/>
              </w:rPr>
              <w:t>21家全国性银行</w:t>
            </w:r>
            <w:r>
              <w:rPr>
                <w:rFonts w:hint="default" w:ascii="Times New Roman" w:hAnsi="Times New Roman" w:eastAsia="仿宋_GB2312" w:cs="Times New Roman"/>
                <w:i w:val="0"/>
                <w:iCs w:val="0"/>
                <w:caps w:val="0"/>
                <w:color w:val="auto"/>
                <w:spacing w:val="0"/>
                <w:sz w:val="24"/>
                <w:szCs w:val="24"/>
                <w:shd w:val="clear" w:fill="FFFFFF"/>
                <w:lang w:eastAsia="zh-CN"/>
              </w:rPr>
              <w:t>、</w:t>
            </w:r>
            <w:r>
              <w:rPr>
                <w:rFonts w:hint="default" w:ascii="Times New Roman" w:hAnsi="Times New Roman" w:eastAsia="仿宋_GB2312" w:cs="Times New Roman"/>
                <w:i w:val="0"/>
                <w:iCs w:val="0"/>
                <w:caps w:val="0"/>
                <w:color w:val="auto"/>
                <w:spacing w:val="0"/>
                <w:sz w:val="24"/>
                <w:szCs w:val="24"/>
                <w:shd w:val="clear" w:fill="FFFFFF"/>
              </w:rPr>
              <w:t>北京银行、上海银行、江苏银行、南京银行、宁波银行</w:t>
            </w:r>
          </w:p>
        </w:tc>
        <w:tc>
          <w:tcPr>
            <w:tcW w:w="2925" w:type="dxa"/>
            <w:vAlign w:val="center"/>
          </w:tcPr>
          <w:p>
            <w:pPr>
              <w:jc w:val="both"/>
              <w:rPr>
                <w:rFonts w:hint="default" w:ascii="Times New Roman" w:hAnsi="Times New Roman" w:eastAsia="仿宋_GB2312" w:cs="Times New Roman"/>
                <w:color w:val="auto"/>
                <w:sz w:val="24"/>
                <w:szCs w:val="24"/>
                <w:vertAlign w:val="baseline"/>
              </w:rPr>
            </w:pPr>
            <w:r>
              <w:rPr>
                <w:rFonts w:hint="default" w:ascii="Times New Roman" w:hAnsi="Times New Roman" w:eastAsia="仿宋_GB2312" w:cs="Times New Roman"/>
                <w:i w:val="0"/>
                <w:iCs w:val="0"/>
                <w:caps w:val="0"/>
                <w:color w:val="auto"/>
                <w:spacing w:val="0"/>
                <w:sz w:val="24"/>
                <w:szCs w:val="24"/>
                <w:shd w:val="clear" w:fill="FFFFFF"/>
              </w:rPr>
              <w:t>21家全国性银行</w:t>
            </w:r>
            <w:r>
              <w:rPr>
                <w:rFonts w:hint="default" w:ascii="Times New Roman" w:hAnsi="Times New Roman" w:eastAsia="仿宋_GB2312" w:cs="Times New Roman"/>
                <w:i w:val="0"/>
                <w:iCs w:val="0"/>
                <w:caps w:val="0"/>
                <w:color w:val="auto"/>
                <w:spacing w:val="0"/>
                <w:sz w:val="24"/>
                <w:szCs w:val="24"/>
                <w:shd w:val="clear" w:fill="FFFFFF"/>
                <w:lang w:eastAsia="zh-CN"/>
              </w:rPr>
              <w:t>、</w:t>
            </w:r>
            <w:r>
              <w:rPr>
                <w:rFonts w:hint="default" w:ascii="Times New Roman" w:hAnsi="Times New Roman" w:eastAsia="仿宋_GB2312" w:cs="Times New Roman"/>
                <w:i w:val="0"/>
                <w:iCs w:val="0"/>
                <w:caps w:val="0"/>
                <w:color w:val="auto"/>
                <w:spacing w:val="0"/>
                <w:sz w:val="24"/>
                <w:szCs w:val="24"/>
                <w:shd w:val="clear" w:fill="FFFFFF"/>
              </w:rPr>
              <w:t>金融监管评级3A及以上的城市商业银行、省级农村商业银行、省会城市农村商业银行、外资银行</w:t>
            </w:r>
          </w:p>
        </w:tc>
        <w:tc>
          <w:tcPr>
            <w:tcW w:w="3069" w:type="dxa"/>
            <w:vAlign w:val="center"/>
          </w:tcPr>
          <w:p>
            <w:pPr>
              <w:jc w:val="both"/>
              <w:rPr>
                <w:rFonts w:hint="eastAsia" w:ascii="Times New Roman" w:hAnsi="Times New Roman" w:eastAsia="仿宋_GB2312" w:cs="Times New Roman"/>
                <w:color w:val="auto"/>
                <w:sz w:val="24"/>
                <w:szCs w:val="24"/>
                <w:vertAlign w:val="baseline"/>
                <w:lang w:eastAsia="zh-CN"/>
              </w:rPr>
            </w:pPr>
            <w:r>
              <w:rPr>
                <w:rFonts w:hint="default" w:ascii="Times New Roman" w:hAnsi="Times New Roman" w:eastAsia="仿宋_GB2312" w:cs="Times New Roman"/>
                <w:color w:val="auto"/>
                <w:sz w:val="24"/>
                <w:szCs w:val="24"/>
                <w:vertAlign w:val="baseline"/>
                <w:lang w:val="en-US" w:eastAsia="zh-CN"/>
              </w:rPr>
              <w:t>18家全国性银行、</w:t>
            </w:r>
            <w:r>
              <w:rPr>
                <w:rFonts w:hint="default" w:ascii="Times New Roman" w:hAnsi="Times New Roman" w:eastAsia="仿宋_GB2312" w:cs="Times New Roman"/>
                <w:color w:val="auto"/>
                <w:sz w:val="24"/>
                <w:szCs w:val="24"/>
                <w:vertAlign w:val="baseline"/>
              </w:rPr>
              <w:t>金融监管评级3A及以上的城市商业银行、农村</w:t>
            </w:r>
            <w:r>
              <w:rPr>
                <w:rFonts w:hint="eastAsia" w:ascii="Times New Roman" w:hAnsi="Times New Roman" w:eastAsia="仿宋_GB2312" w:cs="Times New Roman"/>
                <w:color w:val="auto"/>
                <w:sz w:val="24"/>
                <w:szCs w:val="24"/>
                <w:vertAlign w:val="baseline"/>
                <w:lang w:eastAsia="zh-CN"/>
              </w:rPr>
              <w:t>商业银行</w:t>
            </w:r>
            <w:r>
              <w:rPr>
                <w:rFonts w:hint="default" w:ascii="Times New Roman" w:hAnsi="Times New Roman" w:eastAsia="仿宋_GB2312" w:cs="Times New Roman"/>
                <w:color w:val="auto"/>
                <w:sz w:val="24"/>
                <w:szCs w:val="24"/>
                <w:vertAlign w:val="baseline"/>
              </w:rPr>
              <w:t>、外资银行、汽车金融公司</w:t>
            </w:r>
            <w:r>
              <w:rPr>
                <w:rFonts w:hint="eastAsia" w:ascii="Times New Roman" w:hAnsi="Times New Roman" w:eastAsia="仿宋_GB2312" w:cs="Times New Roman"/>
                <w:color w:val="auto"/>
                <w:sz w:val="24"/>
                <w:szCs w:val="24"/>
                <w:vertAlign w:val="baseline"/>
                <w:lang w:eastAsia="zh-CN"/>
              </w:rPr>
              <w:t>等</w:t>
            </w:r>
          </w:p>
        </w:tc>
      </w:tr>
    </w:tbl>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21家全国性银行：国家开发银行、进出口银行、农业发展银行、工商银行、中国农业银行、中国银行、建设银行、交通银行、邮政储蓄银行、</w:t>
      </w:r>
    </w:p>
    <w:p>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中信银行、光大银行、华夏银行、民生银行、招商银行、兴业银行、广发银行、平安银行、上海浦东发展银行、恒丰银行、浙商银行、渤海银行。</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18家全国性银行：工商银行、农业银行、中国银行、建设银行、交通银行、邮政储蓄银行、中信银行、光大银行、华夏银行、民生银行、招商</w:t>
      </w:r>
    </w:p>
    <w:p>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银行、兴业银行、广发银行、平安银行、上海浦东发展银行、恒丰银行、浙商银行、渤海银行。</w:t>
      </w:r>
      <w:bookmarkStart w:id="0" w:name="_GoBack"/>
      <w:bookmarkEnd w:id="0"/>
    </w:p>
    <w:sectPr>
      <w:pgSz w:w="16838" w:h="11906" w:orient="landscape"/>
      <w:pgMar w:top="1134" w:right="1440" w:bottom="1134"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F53E0A"/>
    <w:rsid w:val="14725B5C"/>
    <w:rsid w:val="1C307A4E"/>
    <w:rsid w:val="3A53F59D"/>
    <w:rsid w:val="4FF78CB5"/>
    <w:rsid w:val="552F11F2"/>
    <w:rsid w:val="56A61757"/>
    <w:rsid w:val="5AE20B01"/>
    <w:rsid w:val="69F53E0A"/>
    <w:rsid w:val="6E7DDCFB"/>
    <w:rsid w:val="6F9512FA"/>
    <w:rsid w:val="727782E2"/>
    <w:rsid w:val="73451D91"/>
    <w:rsid w:val="78D222FB"/>
    <w:rsid w:val="7AEDDFBB"/>
    <w:rsid w:val="F75D6A34"/>
    <w:rsid w:val="F77E9EBA"/>
    <w:rsid w:val="FDFF33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1282</Words>
  <Characters>1352</Characters>
  <Lines>0</Lines>
  <Paragraphs>0</Paragraphs>
  <TotalTime>34</TotalTime>
  <ScaleCrop>false</ScaleCrop>
  <LinksUpToDate>false</LinksUpToDate>
  <CharactersWithSpaces>1352</CharactersWithSpaces>
  <Application>WPS Office_11.8.2.9695_F1E327BC-269C-435d-A152-05C5408002CA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2026-01-25T09:04:00Z</dcterms:created>
  <dc:creator>????428896</dc:creator>
  <cp:lastModifiedBy>uos</cp:lastModifiedBy>
  <cp:lastPrinted>2026-01-30T17:30:42Z</cp:lastPrinted>
  <dcterms:modified xsi:type="dcterms:W3CDTF">2026-01-30T18:18:55Z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2052-11.8.2.9695</vt:lpwstr>
  </property>
  <property fmtid="{D5CDD505-2E9C-101B-9397-08002B2CF9AE}" pid="3" name="ICV">
    <vt:lpwstr>5E497610670E4C879B86DC25AAC5BD2E_13</vt:lpwstr>
  </property>
  <property fmtid="{D5CDD505-2E9C-101B-9397-08002B2CF9AE}" pid="4" name="KSOTemplateDocerSaveRecord">
    <vt:lpwstr>eyJoZGlkIjoiYmZkODRhMWYwMDEzMGFjNDQ1OGU2ZDgxNGNmMjE1YzkiLCJ1c2VySWQiOiI2ODU5NDc1NTUifQ==</vt:lpwstr>
  </property>
</Properties>
</file>