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3B854">
      <w:pPr>
        <w:keepNext w:val="0"/>
        <w:keepLines w:val="0"/>
        <w:pageBreakBefore w:val="0"/>
        <w:widowControl w:val="0"/>
        <w:kinsoku/>
        <w:wordWrap/>
        <w:overflowPunct/>
        <w:topLinePunct w:val="0"/>
        <w:autoSpaceDE/>
        <w:autoSpaceDN w:val="0"/>
        <w:bidi w:val="0"/>
        <w:adjustRightInd/>
        <w:snapToGrid/>
        <w:spacing w:line="640" w:lineRule="exact"/>
        <w:jc w:val="center"/>
        <w:textAlignment w:val="auto"/>
        <w:outlineLvl w:val="9"/>
        <w:rPr>
          <w:rFonts w:ascii="Times New Roman" w:hAnsi="Times New Roman" w:eastAsia="方正小标宋简体" w:cs="Times New Roman"/>
          <w:color w:val="000000"/>
          <w:kern w:val="36"/>
          <w:sz w:val="44"/>
          <w:szCs w:val="44"/>
        </w:rPr>
      </w:pPr>
      <w:bookmarkStart w:id="41" w:name="_GoBack"/>
      <w:r>
        <w:rPr>
          <w:rFonts w:hint="eastAsia" w:ascii="Times New Roman" w:hAnsi="Times New Roman" w:eastAsia="方正小标宋简体" w:cs="Times New Roman"/>
          <w:color w:val="000000"/>
          <w:kern w:val="36"/>
          <w:sz w:val="44"/>
          <w:szCs w:val="44"/>
        </w:rPr>
        <w:t>濉溪县</w:t>
      </w:r>
      <w:r>
        <w:rPr>
          <w:rFonts w:ascii="Times New Roman" w:hAnsi="Times New Roman" w:eastAsia="方正小标宋简体" w:cs="Times New Roman"/>
          <w:color w:val="000000"/>
          <w:kern w:val="36"/>
          <w:sz w:val="44"/>
          <w:szCs w:val="44"/>
        </w:rPr>
        <w:t>危险化学品</w:t>
      </w:r>
      <w:r>
        <w:rPr>
          <w:rFonts w:hint="eastAsia" w:ascii="Times New Roman" w:hAnsi="Times New Roman" w:eastAsia="方正小标宋简体" w:cs="Times New Roman"/>
          <w:color w:val="000000"/>
          <w:kern w:val="36"/>
          <w:sz w:val="44"/>
          <w:szCs w:val="44"/>
        </w:rPr>
        <w:t>生产安全</w:t>
      </w:r>
      <w:r>
        <w:rPr>
          <w:rFonts w:ascii="Times New Roman" w:hAnsi="Times New Roman" w:eastAsia="方正小标宋简体" w:cs="Times New Roman"/>
          <w:color w:val="000000"/>
          <w:kern w:val="36"/>
          <w:sz w:val="44"/>
          <w:szCs w:val="44"/>
        </w:rPr>
        <w:t>事故应急预案</w:t>
      </w:r>
    </w:p>
    <w:bookmarkEnd w:id="41"/>
    <w:p w14:paraId="6A0223EA">
      <w:pPr>
        <w:keepNext w:val="0"/>
        <w:keepLines w:val="0"/>
        <w:pageBreakBefore w:val="0"/>
        <w:widowControl w:val="0"/>
        <w:kinsoku/>
        <w:wordWrap/>
        <w:overflowPunct/>
        <w:topLinePunct w:val="0"/>
        <w:autoSpaceDE/>
        <w:bidi w:val="0"/>
        <w:spacing w:before="0" w:line="580" w:lineRule="exact"/>
        <w:jc w:val="center"/>
        <w:textAlignment w:val="auto"/>
        <w:rPr>
          <w:rFonts w:ascii="Times New Roman" w:hAnsi="Times New Roman" w:eastAsia="仿宋_GB2312" w:cs="Times New Roman"/>
          <w:color w:val="000000"/>
          <w:sz w:val="36"/>
          <w:szCs w:val="36"/>
        </w:rPr>
      </w:pPr>
      <w:r>
        <w:rPr>
          <w:rFonts w:ascii="Times New Roman" w:hAnsi="Times New Roman" w:eastAsia="黑体" w:cs="Times New Roman"/>
          <w:color w:val="000000"/>
          <w:sz w:val="36"/>
          <w:szCs w:val="36"/>
        </w:rPr>
        <w:t>目    录</w:t>
      </w:r>
    </w:p>
    <w:p w14:paraId="70F4852A">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eastAsia" w:ascii="Times New Roman" w:hAnsi="Times New Roman" w:eastAsia="黑体" w:cs="Times New Roman"/>
          <w:color w:val="000000"/>
          <w:sz w:val="32"/>
          <w:szCs w:val="32"/>
          <w:lang w:val="en-US" w:eastAsia="zh-CN"/>
        </w:rPr>
      </w:pPr>
    </w:p>
    <w:p w14:paraId="5FE04090">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一、总则</w:t>
      </w:r>
      <w:r>
        <w:rPr>
          <w:rFonts w:hint="eastAsia" w:ascii="Times New Roman" w:hAnsi="Times New Roman" w:eastAsia="黑体" w:cs="Times New Roman"/>
          <w:color w:val="000000"/>
          <w:sz w:val="32"/>
          <w:szCs w:val="32"/>
          <w:lang w:val="en-US" w:eastAsia="zh-CN"/>
        </w:rPr>
        <w:tab/>
      </w:r>
    </w:p>
    <w:p w14:paraId="3AD335C8">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（一）编制目的</w:t>
      </w:r>
      <w:r>
        <w:rPr>
          <w:rFonts w:hint="eastAsia" w:ascii="Times New Roman" w:hAnsi="Times New Roman" w:eastAsia="楷体_GB2312" w:cs="楷体_GB2312"/>
          <w:color w:val="000000"/>
          <w:kern w:val="2"/>
          <w:sz w:val="32"/>
          <w:szCs w:val="32"/>
          <w:lang w:val="en-US" w:eastAsia="zh-CN" w:bidi="ar-SA"/>
        </w:rPr>
        <w:tab/>
      </w:r>
    </w:p>
    <w:p w14:paraId="3035C988">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（二）编制依据</w:t>
      </w:r>
      <w:r>
        <w:rPr>
          <w:rFonts w:hint="eastAsia" w:ascii="Times New Roman" w:hAnsi="Times New Roman" w:eastAsia="楷体_GB2312" w:cs="楷体_GB2312"/>
          <w:color w:val="000000"/>
          <w:kern w:val="2"/>
          <w:sz w:val="32"/>
          <w:szCs w:val="32"/>
          <w:lang w:val="en-US" w:eastAsia="zh-CN" w:bidi="ar-SA"/>
        </w:rPr>
        <w:tab/>
      </w:r>
    </w:p>
    <w:p w14:paraId="4BDAB2CE">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（三）事故分类分级</w:t>
      </w:r>
      <w:r>
        <w:rPr>
          <w:rFonts w:hint="eastAsia" w:ascii="Times New Roman" w:hAnsi="Times New Roman" w:eastAsia="楷体_GB2312" w:cs="楷体_GB2312"/>
          <w:color w:val="000000"/>
          <w:kern w:val="2"/>
          <w:sz w:val="32"/>
          <w:szCs w:val="32"/>
          <w:lang w:val="en-US" w:eastAsia="zh-CN" w:bidi="ar-SA"/>
        </w:rPr>
        <w:tab/>
      </w:r>
    </w:p>
    <w:p w14:paraId="2A8DF090">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（四）适用范围</w:t>
      </w:r>
      <w:r>
        <w:rPr>
          <w:rFonts w:hint="eastAsia" w:ascii="Times New Roman" w:hAnsi="Times New Roman" w:eastAsia="楷体_GB2312" w:cs="楷体_GB2312"/>
          <w:color w:val="000000"/>
          <w:kern w:val="2"/>
          <w:sz w:val="32"/>
          <w:szCs w:val="32"/>
          <w:lang w:val="en-US" w:eastAsia="zh-CN" w:bidi="ar-SA"/>
        </w:rPr>
        <w:tab/>
      </w:r>
    </w:p>
    <w:p w14:paraId="5AABD16F">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（五）濉溪县危险化学品行业事故风险辨识</w:t>
      </w:r>
      <w:r>
        <w:rPr>
          <w:rFonts w:hint="eastAsia" w:ascii="Times New Roman" w:hAnsi="Times New Roman" w:eastAsia="楷体_GB2312" w:cs="楷体_GB2312"/>
          <w:color w:val="000000"/>
          <w:kern w:val="2"/>
          <w:sz w:val="32"/>
          <w:szCs w:val="32"/>
          <w:lang w:val="en-US" w:eastAsia="zh-CN" w:bidi="ar-SA"/>
        </w:rPr>
        <w:tab/>
      </w:r>
    </w:p>
    <w:p w14:paraId="24B0D32C">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二、组织机构和职责</w:t>
      </w:r>
      <w:r>
        <w:rPr>
          <w:rFonts w:hint="eastAsia" w:ascii="Times New Roman" w:hAnsi="Times New Roman" w:eastAsia="黑体" w:cs="Times New Roman"/>
          <w:color w:val="000000"/>
          <w:sz w:val="32"/>
          <w:szCs w:val="32"/>
          <w:lang w:val="en-US" w:eastAsia="zh-CN"/>
        </w:rPr>
        <w:tab/>
      </w:r>
    </w:p>
    <w:p w14:paraId="49034A1C">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（一）县危险化学品事故应急指挥部</w:t>
      </w:r>
      <w:r>
        <w:rPr>
          <w:rFonts w:hint="eastAsia" w:ascii="Times New Roman" w:hAnsi="Times New Roman" w:eastAsia="楷体_GB2312" w:cs="楷体_GB2312"/>
          <w:color w:val="000000"/>
          <w:kern w:val="2"/>
          <w:sz w:val="32"/>
          <w:szCs w:val="32"/>
          <w:lang w:val="en-US" w:eastAsia="zh-CN" w:bidi="ar-SA"/>
        </w:rPr>
        <w:tab/>
      </w:r>
    </w:p>
    <w:p w14:paraId="45316D18">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（二）县危险化学品事故应急指挥部办公室</w:t>
      </w:r>
      <w:r>
        <w:rPr>
          <w:rFonts w:hint="eastAsia" w:ascii="Times New Roman" w:hAnsi="Times New Roman" w:eastAsia="楷体_GB2312" w:cs="楷体_GB2312"/>
          <w:color w:val="000000"/>
          <w:kern w:val="2"/>
          <w:sz w:val="32"/>
          <w:szCs w:val="32"/>
          <w:lang w:val="en-US" w:eastAsia="zh-CN" w:bidi="ar-SA"/>
        </w:rPr>
        <w:tab/>
      </w:r>
    </w:p>
    <w:p w14:paraId="1E98D997">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（三）应急处置小组及其职责</w:t>
      </w:r>
      <w:r>
        <w:rPr>
          <w:rFonts w:hint="eastAsia" w:ascii="Times New Roman" w:hAnsi="Times New Roman" w:eastAsia="楷体_GB2312" w:cs="楷体_GB2312"/>
          <w:color w:val="000000"/>
          <w:kern w:val="2"/>
          <w:sz w:val="32"/>
          <w:szCs w:val="32"/>
          <w:lang w:val="en-US" w:eastAsia="zh-CN" w:bidi="ar-SA"/>
        </w:rPr>
        <w:tab/>
      </w:r>
    </w:p>
    <w:p w14:paraId="1045F8BB">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（四）指挥部其他成员单位及职责</w:t>
      </w:r>
      <w:r>
        <w:rPr>
          <w:rFonts w:hint="eastAsia" w:ascii="Times New Roman" w:hAnsi="Times New Roman" w:eastAsia="楷体_GB2312" w:cs="楷体_GB2312"/>
          <w:color w:val="000000"/>
          <w:kern w:val="2"/>
          <w:sz w:val="32"/>
          <w:szCs w:val="32"/>
          <w:lang w:val="en-US" w:eastAsia="zh-CN" w:bidi="ar-SA"/>
        </w:rPr>
        <w:tab/>
      </w:r>
    </w:p>
    <w:p w14:paraId="41093A93">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三、预防、监测与预警</w:t>
      </w:r>
      <w:r>
        <w:rPr>
          <w:rFonts w:hint="eastAsia" w:ascii="Times New Roman" w:hAnsi="Times New Roman" w:eastAsia="黑体" w:cs="Times New Roman"/>
          <w:color w:val="000000"/>
          <w:sz w:val="32"/>
          <w:szCs w:val="32"/>
          <w:lang w:val="en-US" w:eastAsia="zh-CN"/>
        </w:rPr>
        <w:tab/>
      </w:r>
    </w:p>
    <w:p w14:paraId="2AF9CCF5">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（一）预防</w:t>
      </w:r>
      <w:r>
        <w:rPr>
          <w:rFonts w:hint="eastAsia" w:ascii="Times New Roman" w:hAnsi="Times New Roman" w:eastAsia="楷体_GB2312" w:cs="楷体_GB2312"/>
          <w:color w:val="000000"/>
          <w:kern w:val="2"/>
          <w:sz w:val="32"/>
          <w:szCs w:val="32"/>
          <w:lang w:val="en-US" w:eastAsia="zh-CN" w:bidi="ar-SA"/>
        </w:rPr>
        <w:tab/>
      </w:r>
    </w:p>
    <w:p w14:paraId="3B0784D2">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（二）监测</w:t>
      </w:r>
      <w:r>
        <w:rPr>
          <w:rFonts w:hint="eastAsia" w:ascii="Times New Roman" w:hAnsi="Times New Roman" w:eastAsia="楷体_GB2312" w:cs="楷体_GB2312"/>
          <w:color w:val="000000"/>
          <w:kern w:val="2"/>
          <w:sz w:val="32"/>
          <w:szCs w:val="32"/>
          <w:lang w:val="en-US" w:eastAsia="zh-CN" w:bidi="ar-SA"/>
        </w:rPr>
        <w:tab/>
      </w:r>
    </w:p>
    <w:p w14:paraId="37528FE4">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（三）预警</w:t>
      </w:r>
      <w:r>
        <w:rPr>
          <w:rFonts w:hint="eastAsia" w:ascii="Times New Roman" w:hAnsi="Times New Roman" w:eastAsia="楷体_GB2312" w:cs="楷体_GB2312"/>
          <w:color w:val="000000"/>
          <w:kern w:val="2"/>
          <w:sz w:val="32"/>
          <w:szCs w:val="32"/>
          <w:lang w:val="en-US" w:eastAsia="zh-CN" w:bidi="ar-SA"/>
        </w:rPr>
        <w:tab/>
      </w:r>
    </w:p>
    <w:p w14:paraId="09374D49">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四、应急处置与救援</w:t>
      </w:r>
      <w:r>
        <w:rPr>
          <w:rFonts w:hint="eastAsia" w:ascii="Times New Roman" w:hAnsi="Times New Roman" w:eastAsia="黑体" w:cs="Times New Roman"/>
          <w:color w:val="000000"/>
          <w:sz w:val="32"/>
          <w:szCs w:val="32"/>
          <w:lang w:val="en-US" w:eastAsia="zh-CN"/>
        </w:rPr>
        <w:tab/>
      </w:r>
    </w:p>
    <w:p w14:paraId="3CD2230E">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（一）信息报告和共享</w:t>
      </w:r>
      <w:r>
        <w:rPr>
          <w:rFonts w:hint="eastAsia" w:ascii="Times New Roman" w:hAnsi="Times New Roman" w:eastAsia="楷体_GB2312" w:cs="楷体_GB2312"/>
          <w:color w:val="000000"/>
          <w:kern w:val="2"/>
          <w:sz w:val="32"/>
          <w:szCs w:val="32"/>
          <w:lang w:val="en-US" w:eastAsia="zh-CN" w:bidi="ar-SA"/>
        </w:rPr>
        <w:tab/>
      </w:r>
    </w:p>
    <w:p w14:paraId="6847CB28">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（二）先期处置</w:t>
      </w:r>
      <w:r>
        <w:rPr>
          <w:rFonts w:hint="eastAsia" w:ascii="Times New Roman" w:hAnsi="Times New Roman" w:eastAsia="楷体_GB2312" w:cs="楷体_GB2312"/>
          <w:color w:val="000000"/>
          <w:kern w:val="2"/>
          <w:sz w:val="32"/>
          <w:szCs w:val="32"/>
          <w:lang w:val="en-US" w:eastAsia="zh-CN" w:bidi="ar-SA"/>
        </w:rPr>
        <w:tab/>
      </w:r>
    </w:p>
    <w:p w14:paraId="2D530833">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（三）应急响应</w:t>
      </w:r>
      <w:r>
        <w:rPr>
          <w:rFonts w:hint="eastAsia" w:ascii="Times New Roman" w:hAnsi="Times New Roman" w:eastAsia="楷体_GB2312" w:cs="楷体_GB2312"/>
          <w:color w:val="000000"/>
          <w:kern w:val="2"/>
          <w:sz w:val="32"/>
          <w:szCs w:val="32"/>
          <w:lang w:val="en-US" w:eastAsia="zh-CN" w:bidi="ar-SA"/>
        </w:rPr>
        <w:tab/>
      </w:r>
    </w:p>
    <w:p w14:paraId="35A9F910">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（四）指挥协调</w:t>
      </w:r>
      <w:r>
        <w:rPr>
          <w:rFonts w:hint="eastAsia" w:ascii="Times New Roman" w:hAnsi="Times New Roman" w:eastAsia="楷体_GB2312" w:cs="楷体_GB2312"/>
          <w:color w:val="000000"/>
          <w:kern w:val="2"/>
          <w:sz w:val="32"/>
          <w:szCs w:val="32"/>
          <w:lang w:val="en-US" w:eastAsia="zh-CN" w:bidi="ar-SA"/>
        </w:rPr>
        <w:tab/>
      </w:r>
    </w:p>
    <w:p w14:paraId="08AB036B">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（五）现场指挥部与现场指挥长</w:t>
      </w:r>
      <w:r>
        <w:rPr>
          <w:rFonts w:hint="eastAsia" w:ascii="Times New Roman" w:hAnsi="Times New Roman" w:eastAsia="楷体_GB2312" w:cs="楷体_GB2312"/>
          <w:color w:val="000000"/>
          <w:kern w:val="2"/>
          <w:sz w:val="32"/>
          <w:szCs w:val="32"/>
          <w:lang w:val="en-US" w:eastAsia="zh-CN" w:bidi="ar-SA"/>
        </w:rPr>
        <w:tab/>
      </w:r>
    </w:p>
    <w:p w14:paraId="7BAC87A7">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（六）处置措施</w:t>
      </w:r>
      <w:r>
        <w:rPr>
          <w:rFonts w:hint="eastAsia" w:ascii="Times New Roman" w:hAnsi="Times New Roman" w:eastAsia="楷体_GB2312" w:cs="楷体_GB2312"/>
          <w:color w:val="000000"/>
          <w:kern w:val="2"/>
          <w:sz w:val="32"/>
          <w:szCs w:val="32"/>
          <w:lang w:val="en-US" w:eastAsia="zh-CN" w:bidi="ar-SA"/>
        </w:rPr>
        <w:tab/>
      </w:r>
    </w:p>
    <w:p w14:paraId="0D7E4003">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（七）响应升级</w:t>
      </w:r>
      <w:r>
        <w:rPr>
          <w:rFonts w:hint="eastAsia" w:ascii="Times New Roman" w:hAnsi="Times New Roman" w:eastAsia="楷体_GB2312" w:cs="楷体_GB2312"/>
          <w:color w:val="000000"/>
          <w:kern w:val="2"/>
          <w:sz w:val="32"/>
          <w:szCs w:val="32"/>
          <w:lang w:val="en-US" w:eastAsia="zh-CN" w:bidi="ar-SA"/>
        </w:rPr>
        <w:tab/>
      </w:r>
    </w:p>
    <w:p w14:paraId="1F6574B0">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（八）社会动员</w:t>
      </w:r>
      <w:r>
        <w:rPr>
          <w:rFonts w:hint="eastAsia" w:ascii="Times New Roman" w:hAnsi="Times New Roman" w:eastAsia="楷体_GB2312" w:cs="楷体_GB2312"/>
          <w:color w:val="000000"/>
          <w:kern w:val="2"/>
          <w:sz w:val="32"/>
          <w:szCs w:val="32"/>
          <w:lang w:val="en-US" w:eastAsia="zh-CN" w:bidi="ar-SA"/>
        </w:rPr>
        <w:tab/>
      </w:r>
    </w:p>
    <w:p w14:paraId="12548274">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（九）信息发布</w:t>
      </w:r>
      <w:r>
        <w:rPr>
          <w:rFonts w:hint="eastAsia" w:ascii="Times New Roman" w:hAnsi="Times New Roman" w:eastAsia="楷体_GB2312" w:cs="楷体_GB2312"/>
          <w:color w:val="000000"/>
          <w:kern w:val="2"/>
          <w:sz w:val="32"/>
          <w:szCs w:val="32"/>
          <w:lang w:val="en-US" w:eastAsia="zh-CN" w:bidi="ar-SA"/>
        </w:rPr>
        <w:tab/>
      </w:r>
    </w:p>
    <w:p w14:paraId="1F715368">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（十）应急结束</w:t>
      </w:r>
      <w:r>
        <w:rPr>
          <w:rFonts w:hint="eastAsia" w:ascii="Times New Roman" w:hAnsi="Times New Roman" w:eastAsia="楷体_GB2312" w:cs="楷体_GB2312"/>
          <w:color w:val="000000"/>
          <w:kern w:val="2"/>
          <w:sz w:val="32"/>
          <w:szCs w:val="32"/>
          <w:lang w:val="en-US" w:eastAsia="zh-CN" w:bidi="ar-SA"/>
        </w:rPr>
        <w:tab/>
      </w:r>
    </w:p>
    <w:p w14:paraId="4BE6EE06">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五、后期处置</w:t>
      </w:r>
      <w:r>
        <w:rPr>
          <w:rFonts w:hint="eastAsia" w:ascii="Times New Roman" w:hAnsi="Times New Roman" w:eastAsia="黑体" w:cs="Times New Roman"/>
          <w:color w:val="000000"/>
          <w:sz w:val="32"/>
          <w:szCs w:val="32"/>
          <w:lang w:val="en-US" w:eastAsia="zh-CN"/>
        </w:rPr>
        <w:tab/>
      </w:r>
    </w:p>
    <w:p w14:paraId="0FFF3157">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（一）善后处置</w:t>
      </w:r>
      <w:r>
        <w:rPr>
          <w:rFonts w:hint="eastAsia" w:ascii="Times New Roman" w:hAnsi="Times New Roman" w:eastAsia="楷体_GB2312" w:cs="楷体_GB2312"/>
          <w:color w:val="000000"/>
          <w:kern w:val="2"/>
          <w:sz w:val="32"/>
          <w:szCs w:val="32"/>
          <w:lang w:val="en-US" w:eastAsia="zh-CN" w:bidi="ar-SA"/>
        </w:rPr>
        <w:tab/>
      </w:r>
    </w:p>
    <w:p w14:paraId="00754C34">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（二）社会救助</w:t>
      </w:r>
      <w:r>
        <w:rPr>
          <w:rFonts w:hint="eastAsia" w:ascii="Times New Roman" w:hAnsi="Times New Roman" w:eastAsia="楷体_GB2312" w:cs="楷体_GB2312"/>
          <w:color w:val="000000"/>
          <w:kern w:val="2"/>
          <w:sz w:val="32"/>
          <w:szCs w:val="32"/>
          <w:lang w:val="en-US" w:eastAsia="zh-CN" w:bidi="ar-SA"/>
        </w:rPr>
        <w:tab/>
      </w:r>
    </w:p>
    <w:p w14:paraId="40FEDF28">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（三）保险</w:t>
      </w:r>
      <w:r>
        <w:rPr>
          <w:rFonts w:hint="eastAsia" w:ascii="Times New Roman" w:hAnsi="Times New Roman" w:eastAsia="楷体_GB2312" w:cs="楷体_GB2312"/>
          <w:color w:val="000000"/>
          <w:kern w:val="2"/>
          <w:sz w:val="32"/>
          <w:szCs w:val="32"/>
          <w:lang w:val="en-US" w:eastAsia="zh-CN" w:bidi="ar-SA"/>
        </w:rPr>
        <w:tab/>
      </w:r>
    </w:p>
    <w:p w14:paraId="2ED0F3E1">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（四）调查评估</w:t>
      </w:r>
      <w:r>
        <w:rPr>
          <w:rFonts w:hint="eastAsia" w:ascii="Times New Roman" w:hAnsi="Times New Roman" w:eastAsia="楷体_GB2312" w:cs="楷体_GB2312"/>
          <w:color w:val="000000"/>
          <w:kern w:val="2"/>
          <w:sz w:val="32"/>
          <w:szCs w:val="32"/>
          <w:lang w:val="en-US" w:eastAsia="zh-CN" w:bidi="ar-SA"/>
        </w:rPr>
        <w:tab/>
      </w:r>
    </w:p>
    <w:p w14:paraId="77629762">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（五）恢复与重建</w:t>
      </w:r>
      <w:r>
        <w:rPr>
          <w:rFonts w:hint="eastAsia" w:ascii="Times New Roman" w:hAnsi="Times New Roman" w:eastAsia="楷体_GB2312" w:cs="楷体_GB2312"/>
          <w:color w:val="000000"/>
          <w:kern w:val="2"/>
          <w:sz w:val="32"/>
          <w:szCs w:val="32"/>
          <w:lang w:val="en-US" w:eastAsia="zh-CN" w:bidi="ar-SA"/>
        </w:rPr>
        <w:tab/>
      </w:r>
    </w:p>
    <w:p w14:paraId="398DC37C">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六、应急保障</w:t>
      </w:r>
      <w:r>
        <w:rPr>
          <w:rFonts w:hint="eastAsia" w:ascii="Times New Roman" w:hAnsi="Times New Roman" w:eastAsia="黑体" w:cs="Times New Roman"/>
          <w:color w:val="000000"/>
          <w:sz w:val="32"/>
          <w:szCs w:val="32"/>
          <w:lang w:val="en-US" w:eastAsia="zh-CN"/>
        </w:rPr>
        <w:tab/>
      </w:r>
    </w:p>
    <w:p w14:paraId="7CF3C01F">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（一）指挥系统保障</w:t>
      </w:r>
      <w:r>
        <w:rPr>
          <w:rFonts w:hint="eastAsia" w:ascii="Times New Roman" w:hAnsi="Times New Roman" w:eastAsia="楷体_GB2312" w:cs="楷体_GB2312"/>
          <w:color w:val="000000"/>
          <w:kern w:val="2"/>
          <w:sz w:val="32"/>
          <w:szCs w:val="32"/>
          <w:lang w:val="en-US" w:eastAsia="zh-CN" w:bidi="ar-SA"/>
        </w:rPr>
        <w:tab/>
      </w:r>
    </w:p>
    <w:p w14:paraId="0EDBDF30">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（二）人力资源保障</w:t>
      </w:r>
      <w:r>
        <w:rPr>
          <w:rFonts w:hint="eastAsia" w:ascii="Times New Roman" w:hAnsi="Times New Roman" w:eastAsia="楷体_GB2312" w:cs="楷体_GB2312"/>
          <w:color w:val="000000"/>
          <w:kern w:val="2"/>
          <w:sz w:val="32"/>
          <w:szCs w:val="32"/>
          <w:lang w:val="en-US" w:eastAsia="zh-CN" w:bidi="ar-SA"/>
        </w:rPr>
        <w:tab/>
      </w:r>
    </w:p>
    <w:p w14:paraId="6D41651B">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（三）经费保障</w:t>
      </w:r>
      <w:r>
        <w:rPr>
          <w:rFonts w:hint="eastAsia" w:ascii="Times New Roman" w:hAnsi="Times New Roman" w:eastAsia="楷体_GB2312" w:cs="楷体_GB2312"/>
          <w:color w:val="000000"/>
          <w:kern w:val="2"/>
          <w:sz w:val="32"/>
          <w:szCs w:val="32"/>
          <w:lang w:val="en-US" w:eastAsia="zh-CN" w:bidi="ar-SA"/>
        </w:rPr>
        <w:tab/>
      </w:r>
    </w:p>
    <w:p w14:paraId="583CCF35">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（四）物资保障</w:t>
      </w:r>
      <w:r>
        <w:rPr>
          <w:rFonts w:hint="eastAsia" w:ascii="Times New Roman" w:hAnsi="Times New Roman" w:eastAsia="楷体_GB2312" w:cs="楷体_GB2312"/>
          <w:color w:val="000000"/>
          <w:kern w:val="2"/>
          <w:sz w:val="32"/>
          <w:szCs w:val="32"/>
          <w:lang w:val="en-US" w:eastAsia="zh-CN" w:bidi="ar-SA"/>
        </w:rPr>
        <w:tab/>
      </w:r>
    </w:p>
    <w:p w14:paraId="62D963F0">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（五）医疗卫生保障</w:t>
      </w:r>
      <w:r>
        <w:rPr>
          <w:rFonts w:hint="eastAsia" w:ascii="Times New Roman" w:hAnsi="Times New Roman" w:eastAsia="楷体_GB2312" w:cs="楷体_GB2312"/>
          <w:color w:val="000000"/>
          <w:kern w:val="2"/>
          <w:sz w:val="32"/>
          <w:szCs w:val="32"/>
          <w:lang w:val="en-US" w:eastAsia="zh-CN" w:bidi="ar-SA"/>
        </w:rPr>
        <w:tab/>
      </w:r>
    </w:p>
    <w:p w14:paraId="3D180DB4">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（六）交通运输保障</w:t>
      </w:r>
      <w:r>
        <w:rPr>
          <w:rFonts w:hint="eastAsia" w:ascii="Times New Roman" w:hAnsi="Times New Roman" w:eastAsia="楷体_GB2312" w:cs="楷体_GB2312"/>
          <w:color w:val="000000"/>
          <w:kern w:val="2"/>
          <w:sz w:val="32"/>
          <w:szCs w:val="32"/>
          <w:lang w:val="en-US" w:eastAsia="zh-CN" w:bidi="ar-SA"/>
        </w:rPr>
        <w:tab/>
      </w:r>
    </w:p>
    <w:p w14:paraId="1CD99492">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eastAsia="楷体_GB2312" w:cs="楷体_GB2312"/>
          <w:color w:val="000000"/>
          <w:kern w:val="2"/>
          <w:sz w:val="32"/>
          <w:szCs w:val="32"/>
          <w:lang w:val="en-US" w:eastAsia="zh-CN" w:bidi="ar-SA"/>
        </w:rPr>
      </w:pPr>
      <w:r>
        <w:rPr>
          <w:rFonts w:hint="eastAsia" w:ascii="Times New Roman" w:hAnsi="Times New Roman" w:eastAsia="楷体_GB2312" w:cs="楷体_GB2312"/>
          <w:color w:val="000000"/>
          <w:kern w:val="2"/>
          <w:sz w:val="32"/>
          <w:szCs w:val="32"/>
          <w:lang w:val="en-US" w:eastAsia="zh-CN" w:bidi="ar-SA"/>
        </w:rPr>
        <w:t>（七）其他应急保障</w:t>
      </w:r>
      <w:r>
        <w:rPr>
          <w:rFonts w:hint="eastAsia" w:ascii="Times New Roman" w:hAnsi="Times New Roman" w:eastAsia="楷体_GB2312" w:cs="楷体_GB2312"/>
          <w:color w:val="000000"/>
          <w:kern w:val="2"/>
          <w:sz w:val="32"/>
          <w:szCs w:val="32"/>
          <w:lang w:val="en-US" w:eastAsia="zh-CN" w:bidi="ar-SA"/>
        </w:rPr>
        <w:tab/>
      </w:r>
    </w:p>
    <w:p w14:paraId="1413FF0F">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eastAsia" w:ascii="Times New Roman" w:hAnsi="Times New Roman" w:eastAsia="黑体" w:cs="Times New Roman"/>
          <w:color w:val="000000"/>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871" w:left="1588" w:header="851" w:footer="1588" w:gutter="0"/>
          <w:pgNumType w:fmt="decimal"/>
          <w:cols w:space="720" w:num="1"/>
          <w:titlePg/>
          <w:docGrid w:type="linesAndChars" w:linePitch="590" w:charSpace="-849"/>
        </w:sectPr>
      </w:pPr>
      <w:r>
        <w:rPr>
          <w:rFonts w:hint="eastAsia" w:ascii="Times New Roman" w:hAnsi="Times New Roman" w:eastAsia="黑体" w:cs="Times New Roman"/>
          <w:color w:val="000000"/>
          <w:sz w:val="32"/>
          <w:szCs w:val="32"/>
          <w:lang w:val="en-US" w:eastAsia="zh-CN"/>
        </w:rPr>
        <w:t>七、附则</w:t>
      </w:r>
    </w:p>
    <w:p w14:paraId="5CC6D8BC">
      <w:pPr>
        <w:keepNext w:val="0"/>
        <w:keepLines w:val="0"/>
        <w:pageBreakBefore w:val="0"/>
        <w:widowControl w:val="0"/>
        <w:kinsoku/>
        <w:wordWrap/>
        <w:overflowPunct/>
        <w:topLinePunct w:val="0"/>
        <w:autoSpaceDE/>
        <w:autoSpaceDN w:val="0"/>
        <w:bidi w:val="0"/>
        <w:adjustRightInd/>
        <w:snapToGrid/>
        <w:spacing w:line="640" w:lineRule="exact"/>
        <w:jc w:val="center"/>
        <w:textAlignment w:val="auto"/>
        <w:outlineLvl w:val="9"/>
        <w:rPr>
          <w:rFonts w:ascii="Times New Roman" w:hAnsi="Times New Roman" w:eastAsia="方正小标宋简体" w:cs="Times New Roman"/>
          <w:color w:val="000000"/>
          <w:kern w:val="36"/>
          <w:sz w:val="44"/>
          <w:szCs w:val="44"/>
        </w:rPr>
      </w:pPr>
      <w:r>
        <w:rPr>
          <w:rFonts w:hint="eastAsia" w:ascii="Times New Roman" w:hAnsi="Times New Roman" w:eastAsia="方正小标宋简体" w:cs="Times New Roman"/>
          <w:color w:val="000000"/>
          <w:kern w:val="36"/>
          <w:sz w:val="44"/>
          <w:szCs w:val="44"/>
        </w:rPr>
        <w:t>濉溪县</w:t>
      </w:r>
      <w:r>
        <w:rPr>
          <w:rFonts w:ascii="Times New Roman" w:hAnsi="Times New Roman" w:eastAsia="方正小标宋简体" w:cs="Times New Roman"/>
          <w:color w:val="000000"/>
          <w:kern w:val="36"/>
          <w:sz w:val="44"/>
          <w:szCs w:val="44"/>
        </w:rPr>
        <w:t>危险化学品</w:t>
      </w:r>
      <w:r>
        <w:rPr>
          <w:rFonts w:hint="eastAsia" w:ascii="Times New Roman" w:hAnsi="Times New Roman" w:eastAsia="方正小标宋简体" w:cs="Times New Roman"/>
          <w:color w:val="000000"/>
          <w:kern w:val="36"/>
          <w:sz w:val="44"/>
          <w:szCs w:val="44"/>
        </w:rPr>
        <w:t>生产安全</w:t>
      </w:r>
      <w:r>
        <w:rPr>
          <w:rFonts w:ascii="Times New Roman" w:hAnsi="Times New Roman" w:eastAsia="方正小标宋简体" w:cs="Times New Roman"/>
          <w:color w:val="000000"/>
          <w:kern w:val="36"/>
          <w:sz w:val="44"/>
          <w:szCs w:val="44"/>
        </w:rPr>
        <w:t>事故应急预案</w:t>
      </w:r>
    </w:p>
    <w:p w14:paraId="41E706EC">
      <w:pPr>
        <w:keepNext w:val="0"/>
        <w:keepLines w:val="0"/>
        <w:pageBreakBefore w:val="0"/>
        <w:widowControl w:val="0"/>
        <w:kinsoku/>
        <w:wordWrap/>
        <w:overflowPunct/>
        <w:topLinePunct w:val="0"/>
        <w:autoSpaceDE/>
        <w:autoSpaceDN/>
        <w:bidi w:val="0"/>
        <w:adjustRightInd/>
        <w:snapToGrid/>
        <w:spacing w:line="560" w:lineRule="exact"/>
        <w:ind w:firstLine="412" w:firstLineChars="200"/>
        <w:jc w:val="left"/>
        <w:textAlignment w:val="auto"/>
        <w:rPr>
          <w:rFonts w:hint="eastAsia" w:ascii="Times New Roman" w:hAnsi="Times New Roman" w:eastAsia="黑体" w:cs="Times New Roman"/>
          <w:color w:val="000000"/>
          <w:kern w:val="0"/>
          <w:szCs w:val="32"/>
        </w:rPr>
      </w:pPr>
    </w:p>
    <w:p w14:paraId="75D3774E">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outlineLvl w:val="0"/>
        <w:rPr>
          <w:rFonts w:ascii="Times New Roman" w:hAnsi="Times New Roman" w:eastAsia="黑体" w:cs="Times New Roman"/>
          <w:color w:val="000000"/>
          <w:kern w:val="0"/>
          <w:sz w:val="32"/>
          <w:szCs w:val="32"/>
        </w:rPr>
      </w:pPr>
      <w:bookmarkStart w:id="0" w:name="_Toc15174"/>
      <w:r>
        <w:rPr>
          <w:rFonts w:hint="eastAsia" w:ascii="Times New Roman" w:hAnsi="Times New Roman" w:eastAsia="黑体" w:cs="Times New Roman"/>
          <w:color w:val="000000"/>
          <w:kern w:val="0"/>
          <w:sz w:val="32"/>
          <w:szCs w:val="32"/>
        </w:rPr>
        <w:t>一、</w:t>
      </w:r>
      <w:r>
        <w:rPr>
          <w:rFonts w:ascii="Times New Roman" w:hAnsi="Times New Roman" w:eastAsia="黑体" w:cs="Times New Roman"/>
          <w:color w:val="000000"/>
          <w:kern w:val="0"/>
          <w:sz w:val="32"/>
          <w:szCs w:val="32"/>
        </w:rPr>
        <w:t>总则</w:t>
      </w:r>
      <w:bookmarkEnd w:id="0"/>
    </w:p>
    <w:p w14:paraId="0842459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 w:name="_Toc4421"/>
      <w:r>
        <w:rPr>
          <w:rFonts w:hint="eastAsia" w:ascii="Times New Roman" w:hAnsi="Times New Roman" w:eastAsia="楷体_GB2312" w:cs="Times New Roman"/>
          <w:b/>
          <w:color w:val="000000"/>
          <w:kern w:val="0"/>
          <w:sz w:val="32"/>
          <w:szCs w:val="32"/>
        </w:rPr>
        <w:t>（一）编制目的</w:t>
      </w:r>
      <w:bookmarkEnd w:id="1"/>
    </w:p>
    <w:p w14:paraId="0E2D89B3">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为建立健全</w:t>
      </w:r>
      <w:r>
        <w:rPr>
          <w:rFonts w:hint="eastAsia" w:ascii="Times New Roman" w:hAnsi="Times New Roman" w:eastAsia="仿宋_GB2312" w:cs="Times New Roman"/>
          <w:color w:val="000000"/>
          <w:kern w:val="0"/>
          <w:sz w:val="32"/>
          <w:szCs w:val="32"/>
        </w:rPr>
        <w:t>本县</w:t>
      </w:r>
      <w:r>
        <w:rPr>
          <w:rFonts w:ascii="Times New Roman" w:hAnsi="Times New Roman" w:eastAsia="仿宋_GB2312" w:cs="Times New Roman"/>
          <w:color w:val="000000"/>
          <w:kern w:val="0"/>
          <w:sz w:val="32"/>
          <w:szCs w:val="32"/>
        </w:rPr>
        <w:t>危险化学品</w:t>
      </w:r>
      <w:r>
        <w:rPr>
          <w:rFonts w:hint="eastAsia" w:ascii="Times New Roman" w:hAnsi="Times New Roman" w:eastAsia="仿宋_GB2312" w:cs="Times New Roman"/>
          <w:color w:val="000000"/>
          <w:kern w:val="0"/>
          <w:sz w:val="32"/>
          <w:szCs w:val="32"/>
        </w:rPr>
        <w:t>生产安全</w:t>
      </w:r>
      <w:r>
        <w:rPr>
          <w:rFonts w:ascii="Times New Roman" w:hAnsi="Times New Roman" w:eastAsia="仿宋_GB2312" w:cs="Times New Roman"/>
          <w:color w:val="000000"/>
          <w:kern w:val="0"/>
          <w:sz w:val="32"/>
          <w:szCs w:val="32"/>
        </w:rPr>
        <w:t>事故应急机制，规范应急响应程序，迅速、有序、高效地实施应急处置，最大限度地减少危险化学品</w:t>
      </w:r>
      <w:r>
        <w:rPr>
          <w:rFonts w:hint="eastAsia" w:ascii="Times New Roman" w:hAnsi="Times New Roman" w:eastAsia="仿宋_GB2312" w:cs="Times New Roman"/>
          <w:color w:val="000000"/>
          <w:kern w:val="0"/>
          <w:sz w:val="32"/>
          <w:szCs w:val="32"/>
        </w:rPr>
        <w:t>生产安全</w:t>
      </w:r>
      <w:r>
        <w:rPr>
          <w:rFonts w:ascii="Times New Roman" w:hAnsi="Times New Roman" w:eastAsia="仿宋_GB2312" w:cs="Times New Roman"/>
          <w:color w:val="000000"/>
          <w:kern w:val="0"/>
          <w:sz w:val="32"/>
          <w:szCs w:val="32"/>
        </w:rPr>
        <w:t>事故及其可能造成的人员伤亡和财产损失，保障社会持续稳定发展和城市安全运行，编制本预案。</w:t>
      </w:r>
    </w:p>
    <w:p w14:paraId="1737B41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 w:name="_Toc18450"/>
      <w:r>
        <w:rPr>
          <w:rFonts w:hint="eastAsia" w:ascii="Times New Roman" w:hAnsi="Times New Roman" w:eastAsia="楷体_GB2312" w:cs="Times New Roman"/>
          <w:b/>
          <w:color w:val="000000"/>
          <w:kern w:val="0"/>
          <w:sz w:val="32"/>
          <w:szCs w:val="32"/>
        </w:rPr>
        <w:t>（二）</w:t>
      </w:r>
      <w:r>
        <w:rPr>
          <w:rFonts w:ascii="Times New Roman" w:hAnsi="Times New Roman" w:eastAsia="楷体_GB2312" w:cs="Times New Roman"/>
          <w:b/>
          <w:color w:val="000000"/>
          <w:kern w:val="0"/>
          <w:sz w:val="32"/>
          <w:szCs w:val="32"/>
        </w:rPr>
        <w:t>编制依据</w:t>
      </w:r>
      <w:bookmarkEnd w:id="2"/>
    </w:p>
    <w:p w14:paraId="31F579E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本预案编制主要依据：</w:t>
      </w:r>
    </w:p>
    <w:p w14:paraId="683FE316">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1.《中华人民共和国安全生产法》（中华人民共和国主席令〔2021〕第八十八号）</w:t>
      </w:r>
    </w:p>
    <w:p w14:paraId="25646B9F">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ascii="Times New Roman" w:hAnsi="Times New Roman" w:eastAsia="仿宋_GB2312" w:cs="Times New Roman"/>
          <w:color w:val="000000"/>
          <w:sz w:val="32"/>
          <w:szCs w:val="32"/>
        </w:rPr>
        <w:t>《中华人民共和国突发事件应对法》（2024年6月28日第十四届全国人民代表大会常务委员会第十次会议修订）</w:t>
      </w:r>
    </w:p>
    <w:p w14:paraId="2D4DCF54">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3.《生产安全事故报告和调查处理条例》（国务院令第493号）</w:t>
      </w:r>
    </w:p>
    <w:p w14:paraId="6B8DE7BD">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4.《生产安全事故应急条例》（国务院令第708号）</w:t>
      </w:r>
    </w:p>
    <w:p w14:paraId="3E4FDE33">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5.《危险化学品安全管理条例》（国务院令第645号）</w:t>
      </w:r>
    </w:p>
    <w:p w14:paraId="13F2198F">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6.《突发事件应急预案管理办法》（国办发〔2024〕5号）</w:t>
      </w:r>
    </w:p>
    <w:p w14:paraId="4E8956D6">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7.《生产安全事故应急预案管理办法》（原国家安全生产监督管理总局令第88号公布，根据2019年7月11日应急管理部令第2号修正）</w:t>
      </w:r>
    </w:p>
    <w:p w14:paraId="1FA45C0B">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8.《安徽省安全生产条例》（2024年5月31日安徽省第十四届人民代表大会常务委员会第九次会议修订）</w:t>
      </w:r>
    </w:p>
    <w:p w14:paraId="294FE06E">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9.《安徽省突发事件应对条例》</w:t>
      </w:r>
    </w:p>
    <w:p w14:paraId="6098F5DE">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10.《安徽省突发事件总体应急预案》</w:t>
      </w:r>
    </w:p>
    <w:p w14:paraId="34BF2E58">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11.《安徽省生产安全事故应急预案》</w:t>
      </w:r>
    </w:p>
    <w:p w14:paraId="3F53664B">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12.《危险化学品名录》（2015版）</w:t>
      </w:r>
    </w:p>
    <w:p w14:paraId="6FFEDF46">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13.《安徽省应急管理厅关于印发安徽省危险化学品生产安全事故应急预案的通知》（皖应急〔2021〕80号）</w:t>
      </w:r>
    </w:p>
    <w:p w14:paraId="10A63804">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w:t>
      </w:r>
      <w:r>
        <w:rPr>
          <w:rFonts w:hint="eastAsia" w:ascii="Times New Roman" w:hAnsi="Times New Roman" w:eastAsia="仿宋_GB2312" w:cs="Times New Roman"/>
          <w:color w:val="000000"/>
          <w:kern w:val="0"/>
          <w:sz w:val="32"/>
          <w:szCs w:val="32"/>
        </w:rPr>
        <w:t>濉溪县生产安全事故</w:t>
      </w:r>
      <w:r>
        <w:rPr>
          <w:rFonts w:ascii="Times New Roman" w:hAnsi="Times New Roman" w:eastAsia="仿宋_GB2312" w:cs="Times New Roman"/>
          <w:color w:val="000000"/>
          <w:kern w:val="0"/>
          <w:sz w:val="32"/>
          <w:szCs w:val="32"/>
        </w:rPr>
        <w:t>应急预案》</w:t>
      </w:r>
    </w:p>
    <w:p w14:paraId="0AB1F292">
      <w:pPr>
        <w:keepNext w:val="0"/>
        <w:keepLines w:val="0"/>
        <w:pageBreakBefore w:val="0"/>
        <w:widowControl w:val="0"/>
        <w:suppressAutoHyphens/>
        <w:kinsoku/>
        <w:wordWrap/>
        <w:overflowPunct/>
        <w:topLinePunct w:val="0"/>
        <w:autoSpaceDE/>
        <w:autoSpaceDN w:val="0"/>
        <w:bidi w:val="0"/>
        <w:adjustRightInd/>
        <w:snapToGrid/>
        <w:spacing w:line="580" w:lineRule="exact"/>
        <w:ind w:firstLine="631"/>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16.《烟花爆竹安全管理条例》（国务院令第455号）</w:t>
      </w:r>
    </w:p>
    <w:p w14:paraId="3B9713E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仿宋_GB2312" w:cs="Times New Roman"/>
          <w:color w:val="000000"/>
          <w:kern w:val="0"/>
          <w:sz w:val="32"/>
          <w:szCs w:val="32"/>
        </w:rPr>
        <w:t>　　</w:t>
      </w:r>
      <w:bookmarkStart w:id="3" w:name="_Toc19200"/>
      <w:r>
        <w:rPr>
          <w:rFonts w:hint="eastAsia" w:ascii="Times New Roman" w:hAnsi="Times New Roman" w:eastAsia="楷体_GB2312" w:cs="Times New Roman"/>
          <w:b/>
          <w:color w:val="000000"/>
          <w:kern w:val="0"/>
          <w:sz w:val="32"/>
          <w:szCs w:val="32"/>
        </w:rPr>
        <w:t>（三）事故分类分级</w:t>
      </w:r>
      <w:bookmarkEnd w:id="3"/>
    </w:p>
    <w:p w14:paraId="0645A42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本预案所称的危险化学品事故，指危险化学品</w:t>
      </w:r>
      <w:r>
        <w:rPr>
          <w:rFonts w:hint="eastAsia" w:ascii="Times New Roman" w:hAnsi="Times New Roman" w:eastAsia="仿宋_GB2312" w:cs="Times New Roman"/>
          <w:color w:val="000000"/>
          <w:kern w:val="0"/>
          <w:sz w:val="32"/>
          <w:szCs w:val="32"/>
        </w:rPr>
        <w:t>（包含烟花爆竹）</w:t>
      </w:r>
      <w:r>
        <w:rPr>
          <w:rFonts w:ascii="Times New Roman" w:hAnsi="Times New Roman" w:eastAsia="仿宋_GB2312" w:cs="Times New Roman"/>
          <w:color w:val="000000"/>
          <w:kern w:val="0"/>
          <w:sz w:val="32"/>
          <w:szCs w:val="32"/>
        </w:rPr>
        <w:t>在生产、经营、储存、使用、运输等过程中，发生的火灾、爆炸、泄漏、中毒等造成危害人民生命财产和社会安全的生产安全事故。</w:t>
      </w:r>
    </w:p>
    <w:p w14:paraId="13D60F2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常见危险化学品事故类别：</w:t>
      </w:r>
    </w:p>
    <w:p w14:paraId="06F5BF5E">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（1）危险化学品火灾事故：指燃烧物质主要是危险化学品的火灾事故。具体包括：易燃液体、易燃固体、自燃物品、遇湿易燃物品以及其他危险化学品火灾。</w:t>
      </w:r>
    </w:p>
    <w:p w14:paraId="3966634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危险化学品爆炸事故：指危险化学品发生化学反应的爆炸事故或液化气体和压缩气体的物理爆炸事故。具体包括：易燃固体、自燃物品、遇湿易燃物品、易燃液体、易燃气体的火灾爆炸，危险化学品产生的粉尘、气体、挥发物的爆炸，液化气体和压缩气体的物理爆炸以及其他化学反应爆炸。</w:t>
      </w:r>
    </w:p>
    <w:p w14:paraId="330948E8">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危险化学品中毒和窒息事故：主要指人体吸入、食入或接触有毒有害化学品或者化学品反应的产物，而导致的中毒和窒息事故。具体包括：吸入中毒事故（中毒途径为呼吸道）、接触中毒事故（中毒途径为皮肤、眼睛等）、误食中毒事故（中毒途径为消化道）以及其他中毒和窒息事故。</w:t>
      </w:r>
    </w:p>
    <w:p w14:paraId="37D3E09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）危险化学品灼</w:t>
      </w:r>
      <w:r>
        <w:rPr>
          <w:rFonts w:hint="eastAsia" w:ascii="Times New Roman" w:hAnsi="Times New Roman" w:eastAsia="仿宋_GB2312" w:cs="Times New Roman"/>
          <w:color w:val="000000"/>
          <w:kern w:val="0"/>
          <w:sz w:val="32"/>
          <w:szCs w:val="32"/>
        </w:rPr>
        <w:t>烫</w:t>
      </w:r>
      <w:r>
        <w:rPr>
          <w:rFonts w:ascii="Times New Roman" w:hAnsi="Times New Roman" w:eastAsia="仿宋_GB2312" w:cs="Times New Roman"/>
          <w:color w:val="000000"/>
          <w:kern w:val="0"/>
          <w:sz w:val="32"/>
          <w:szCs w:val="32"/>
        </w:rPr>
        <w:t>事故：主要指腐蚀性危险化学品意外</w:t>
      </w:r>
      <w:r>
        <w:rPr>
          <w:rFonts w:hint="eastAsia" w:ascii="Times New Roman" w:hAnsi="Times New Roman" w:eastAsia="仿宋_GB2312" w:cs="Times New Roman"/>
          <w:color w:val="000000"/>
          <w:kern w:val="0"/>
          <w:sz w:val="32"/>
          <w:szCs w:val="32"/>
          <w:lang w:eastAsia="zh-CN"/>
        </w:rPr>
        <w:t>地</w:t>
      </w:r>
      <w:r>
        <w:rPr>
          <w:rFonts w:ascii="Times New Roman" w:hAnsi="Times New Roman" w:eastAsia="仿宋_GB2312" w:cs="Times New Roman"/>
          <w:color w:val="000000"/>
          <w:kern w:val="0"/>
          <w:sz w:val="32"/>
          <w:szCs w:val="32"/>
        </w:rPr>
        <w:t>与人体接触，在短时间内</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即在人体被接触表面发生化学反应，造成明显破坏的事故。腐蚀品包括酸性腐蚀品、碱性腐蚀品和其他不显酸碱性的腐蚀品。灼</w:t>
      </w:r>
      <w:r>
        <w:rPr>
          <w:rFonts w:hint="eastAsia" w:ascii="Times New Roman" w:hAnsi="Times New Roman" w:eastAsia="仿宋_GB2312" w:cs="Times New Roman"/>
          <w:color w:val="000000"/>
          <w:kern w:val="0"/>
          <w:sz w:val="32"/>
          <w:szCs w:val="32"/>
        </w:rPr>
        <w:t>烫</w:t>
      </w:r>
      <w:r>
        <w:rPr>
          <w:rFonts w:ascii="Times New Roman" w:hAnsi="Times New Roman" w:eastAsia="仿宋_GB2312" w:cs="Times New Roman"/>
          <w:color w:val="000000"/>
          <w:kern w:val="0"/>
          <w:sz w:val="32"/>
          <w:szCs w:val="32"/>
        </w:rPr>
        <w:t>类型包括：化学品灼</w:t>
      </w:r>
      <w:r>
        <w:rPr>
          <w:rFonts w:hint="eastAsia" w:ascii="Times New Roman" w:hAnsi="Times New Roman" w:eastAsia="仿宋_GB2312" w:cs="Times New Roman"/>
          <w:color w:val="000000"/>
          <w:kern w:val="0"/>
          <w:sz w:val="32"/>
          <w:szCs w:val="32"/>
        </w:rPr>
        <w:t>烫</w:t>
      </w:r>
      <w:r>
        <w:rPr>
          <w:rFonts w:ascii="Times New Roman" w:hAnsi="Times New Roman" w:eastAsia="仿宋_GB2312" w:cs="Times New Roman"/>
          <w:color w:val="000000"/>
          <w:kern w:val="0"/>
          <w:sz w:val="32"/>
          <w:szCs w:val="32"/>
        </w:rPr>
        <w:t>与物理灼</w:t>
      </w:r>
      <w:r>
        <w:rPr>
          <w:rFonts w:hint="eastAsia" w:ascii="Times New Roman" w:hAnsi="Times New Roman" w:eastAsia="仿宋_GB2312" w:cs="Times New Roman"/>
          <w:color w:val="000000"/>
          <w:kern w:val="0"/>
          <w:sz w:val="32"/>
          <w:szCs w:val="32"/>
        </w:rPr>
        <w:t>烫</w:t>
      </w:r>
      <w:r>
        <w:rPr>
          <w:rFonts w:ascii="Times New Roman" w:hAnsi="Times New Roman" w:eastAsia="仿宋_GB2312" w:cs="Times New Roman"/>
          <w:color w:val="000000"/>
          <w:kern w:val="0"/>
          <w:sz w:val="32"/>
          <w:szCs w:val="32"/>
        </w:rPr>
        <w:t>。</w:t>
      </w:r>
    </w:p>
    <w:p w14:paraId="67B20D48">
      <w:pPr>
        <w:keepNext w:val="0"/>
        <w:keepLines w:val="0"/>
        <w:pageBreakBefore w:val="0"/>
        <w:widowControl w:val="0"/>
        <w:kinsoku/>
        <w:wordWrap/>
        <w:overflowPunct/>
        <w:topLinePunct w:val="0"/>
        <w:autoSpaceDE/>
        <w:autoSpaceDN w:val="0"/>
        <w:bidi w:val="0"/>
        <w:adjustRightInd/>
        <w:snapToGrid/>
        <w:spacing w:line="580" w:lineRule="exact"/>
        <w:ind w:firstLine="645"/>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危险化学品泄漏事故：主要指气体或液体危险化学品发生了一定规模的泄漏，虽然没有发展成为火灾、爆炸或中毒事故，但造成了严重的财产损失或环境污染等后果的危险化学品事故。危险化学品泄漏事故一旦失控，往往造成重大火灾、爆炸或中毒事故。</w:t>
      </w:r>
      <w:r>
        <w:rPr>
          <w:rFonts w:hint="eastAsia" w:ascii="Times New Roman" w:hAnsi="Times New Roman" w:eastAsia="仿宋_GB2312" w:cs="Times New Roman"/>
          <w:color w:val="000000"/>
          <w:kern w:val="0"/>
          <w:sz w:val="32"/>
          <w:szCs w:val="32"/>
        </w:rPr>
        <w:t xml:space="preserve">   </w:t>
      </w:r>
    </w:p>
    <w:p w14:paraId="47C9085D">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2. </w:t>
      </w:r>
      <w:r>
        <w:rPr>
          <w:rFonts w:ascii="Times New Roman" w:hAnsi="Times New Roman" w:eastAsia="仿宋_GB2312" w:cs="Times New Roman"/>
          <w:color w:val="000000"/>
          <w:kern w:val="0"/>
          <w:sz w:val="32"/>
          <w:szCs w:val="32"/>
        </w:rPr>
        <w:t>按照危险化学品事故的可控性、严重程度和影响范围，本</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危险化学品事故分为四级：I级（特别重大）、Ⅱ级（重大）、Ⅲ级（较大）和Ⅳ级（一般）。</w:t>
      </w:r>
    </w:p>
    <w:p w14:paraId="796156B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（1）I级（特别重大）危险化学品事故</w:t>
      </w:r>
    </w:p>
    <w:p w14:paraId="2AE1BF2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有下列情况之一的，为I级（特别重大）危险化学品事故：</w:t>
      </w:r>
    </w:p>
    <w:p w14:paraId="27EF549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①造成死亡（含失踪，下同）30人以上，或危及30人以上生命安全，或中毒（重伤）100人以上，或直接经济损失1亿元以上；</w:t>
      </w:r>
    </w:p>
    <w:p w14:paraId="4BAA107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②需要紧急转移安置10万人以上。</w:t>
      </w:r>
    </w:p>
    <w:p w14:paraId="2F53A1A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（2）Ⅱ级（重大）危险化学品事故</w:t>
      </w:r>
    </w:p>
    <w:p w14:paraId="071F3F0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有下列情况之一的，为Ⅱ级（重大）危险化学品事故：</w:t>
      </w:r>
    </w:p>
    <w:p w14:paraId="4E53DC7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①造成死亡10人以上、30人以下，或危及10人以上、30人以下生命安全，或中毒（重伤）50人以上、100人以下，或直接经济损失5000万元以上、1亿元以下；</w:t>
      </w:r>
    </w:p>
    <w:p w14:paraId="5B6F0B8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②需要紧急转移安置5万人以上、10万人以下；</w:t>
      </w:r>
    </w:p>
    <w:p w14:paraId="2D4AAAA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（3）Ⅲ级（较大）危险化学品事故</w:t>
      </w:r>
    </w:p>
    <w:p w14:paraId="4CF095E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有下列情况之一的，为Ⅲ级（较大）危险化学品事故：</w:t>
      </w:r>
    </w:p>
    <w:p w14:paraId="1D0517B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①造成死亡3人以上、10人以下，或危及3人以上、10人以下生命安全，或中毒（重伤）10人以上、50人以下，或直接经济损失1000万元以上、5000万元以下；</w:t>
      </w:r>
    </w:p>
    <w:p w14:paraId="7D52543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②需要紧急转移安置1千人以上、5万人以下；</w:t>
      </w:r>
    </w:p>
    <w:p w14:paraId="1681F62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③超出事发地政府处置能力，或形成跨区危险化学品事故。</w:t>
      </w:r>
    </w:p>
    <w:p w14:paraId="0E2CC05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（4）Ⅳ级（一般）危险化学品事故</w:t>
      </w:r>
    </w:p>
    <w:p w14:paraId="2809D25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有下列情况之一的，为Ⅳ级（一般）危险化学品事故：</w:t>
      </w:r>
    </w:p>
    <w:p w14:paraId="3192CEA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造成3人以下死亡，或危及3人以下生命安全，或10人以下中毒（重伤），或直接经济损失1000万元以下。</w:t>
      </w:r>
    </w:p>
    <w:p w14:paraId="04865D47">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“以上”含本数，“以下”不含本数。</w:t>
      </w:r>
    </w:p>
    <w:p w14:paraId="148ED65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4" w:name="_Toc5925"/>
      <w:r>
        <w:rPr>
          <w:rFonts w:hint="eastAsia" w:ascii="Times New Roman" w:hAnsi="Times New Roman" w:eastAsia="楷体_GB2312" w:cs="Times New Roman"/>
          <w:b/>
          <w:color w:val="000000"/>
          <w:kern w:val="0"/>
          <w:sz w:val="32"/>
          <w:szCs w:val="32"/>
        </w:rPr>
        <w:t>（四）</w:t>
      </w:r>
      <w:r>
        <w:rPr>
          <w:rFonts w:ascii="Times New Roman" w:hAnsi="Times New Roman" w:eastAsia="楷体_GB2312" w:cs="Times New Roman"/>
          <w:b/>
          <w:color w:val="000000"/>
          <w:kern w:val="0"/>
          <w:sz w:val="32"/>
          <w:szCs w:val="32"/>
        </w:rPr>
        <w:t>适用范围</w:t>
      </w:r>
      <w:bookmarkEnd w:id="4"/>
    </w:p>
    <w:p w14:paraId="6B04196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本预案适用于</w:t>
      </w:r>
      <w:r>
        <w:rPr>
          <w:rFonts w:hint="eastAsia" w:ascii="Times New Roman" w:hAnsi="Times New Roman" w:eastAsia="仿宋_GB2312" w:cs="Times New Roman"/>
          <w:color w:val="000000"/>
          <w:kern w:val="0"/>
          <w:sz w:val="32"/>
          <w:szCs w:val="32"/>
        </w:rPr>
        <w:t>濉溪县</w:t>
      </w:r>
      <w:r>
        <w:rPr>
          <w:rFonts w:ascii="Times New Roman" w:hAnsi="Times New Roman" w:eastAsia="仿宋_GB2312" w:cs="Times New Roman"/>
          <w:color w:val="000000"/>
          <w:kern w:val="0"/>
          <w:sz w:val="32"/>
          <w:szCs w:val="32"/>
        </w:rPr>
        <w:t>区域内危险化学品生产、经营、储存、使用</w:t>
      </w:r>
      <w:r>
        <w:rPr>
          <w:rFonts w:hint="eastAsia" w:ascii="Times New Roman" w:hAnsi="Times New Roman" w:eastAsia="仿宋_GB2312" w:cs="Times New Roman"/>
          <w:color w:val="000000"/>
          <w:kern w:val="0"/>
          <w:sz w:val="32"/>
          <w:szCs w:val="32"/>
        </w:rPr>
        <w:t>、运输</w:t>
      </w:r>
      <w:r>
        <w:rPr>
          <w:rFonts w:ascii="Times New Roman" w:hAnsi="Times New Roman" w:eastAsia="仿宋_GB2312" w:cs="Times New Roman"/>
          <w:color w:val="000000"/>
          <w:kern w:val="0"/>
          <w:sz w:val="32"/>
          <w:szCs w:val="32"/>
        </w:rPr>
        <w:t>等过程中发生的下列生产安全事故应急响应：</w:t>
      </w:r>
    </w:p>
    <w:p w14:paraId="1DA3C4C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1.一般、</w:t>
      </w:r>
      <w:r>
        <w:rPr>
          <w:rFonts w:ascii="Times New Roman" w:hAnsi="Times New Roman" w:eastAsia="仿宋_GB2312" w:cs="Times New Roman"/>
          <w:color w:val="000000"/>
          <w:kern w:val="0"/>
          <w:sz w:val="32"/>
          <w:szCs w:val="32"/>
        </w:rPr>
        <w:t>较大、重大和特别重大危险化学品事故。</w:t>
      </w:r>
    </w:p>
    <w:p w14:paraId="5DA58EC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达不到Ⅳ级标准，但超出</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政府</w:t>
      </w:r>
      <w:r>
        <w:rPr>
          <w:rFonts w:ascii="Times New Roman" w:hAnsi="Times New Roman" w:eastAsia="仿宋_GB2312" w:cs="Times New Roman"/>
          <w:color w:val="000000"/>
          <w:kern w:val="0"/>
          <w:sz w:val="32"/>
          <w:szCs w:val="32"/>
        </w:rPr>
        <w:t>应急处置能力的危险化学品事故。</w:t>
      </w:r>
    </w:p>
    <w:p w14:paraId="25A3428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涉及跨</w:t>
      </w:r>
      <w:r>
        <w:rPr>
          <w:rFonts w:hint="eastAsia" w:ascii="Times New Roman" w:hAnsi="Times New Roman" w:eastAsia="仿宋_GB2312" w:cs="Times New Roman"/>
          <w:color w:val="000000"/>
          <w:kern w:val="0"/>
          <w:sz w:val="32"/>
          <w:szCs w:val="32"/>
        </w:rPr>
        <w:t>镇（园区）</w:t>
      </w:r>
      <w:r>
        <w:rPr>
          <w:rFonts w:ascii="Times New Roman" w:hAnsi="Times New Roman" w:eastAsia="仿宋_GB2312" w:cs="Times New Roman"/>
          <w:color w:val="000000"/>
          <w:kern w:val="0"/>
          <w:sz w:val="32"/>
          <w:szCs w:val="32"/>
        </w:rPr>
        <w:t>的</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级危险化学品生产安全事故。</w:t>
      </w:r>
    </w:p>
    <w:p w14:paraId="749B846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4.县</w:t>
      </w:r>
      <w:r>
        <w:rPr>
          <w:rFonts w:ascii="Times New Roman" w:hAnsi="Times New Roman" w:eastAsia="仿宋_GB2312" w:cs="Times New Roman"/>
          <w:color w:val="000000"/>
          <w:kern w:val="0"/>
          <w:sz w:val="32"/>
          <w:szCs w:val="32"/>
        </w:rPr>
        <w:t>政府认为</w:t>
      </w:r>
      <w:r>
        <w:rPr>
          <w:rFonts w:hint="eastAsia" w:ascii="Times New Roman" w:hAnsi="Times New Roman" w:eastAsia="仿宋_GB2312" w:cs="Times New Roman"/>
          <w:color w:val="000000"/>
          <w:kern w:val="0"/>
          <w:sz w:val="32"/>
          <w:szCs w:val="32"/>
        </w:rPr>
        <w:t>有必要县</w:t>
      </w:r>
      <w:r>
        <w:rPr>
          <w:rFonts w:ascii="Times New Roman" w:hAnsi="Times New Roman" w:eastAsia="仿宋_GB2312" w:cs="Times New Roman"/>
          <w:color w:val="000000"/>
          <w:kern w:val="0"/>
          <w:sz w:val="32"/>
          <w:szCs w:val="32"/>
        </w:rPr>
        <w:t>级应急响应的危险化学品事故。</w:t>
      </w:r>
    </w:p>
    <w:p w14:paraId="0CA270A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本预案适用于以上危险化学品事故应急处置。构成I级、</w:t>
      </w:r>
      <w:r>
        <w:rPr>
          <w:rFonts w:ascii="Times New Roman" w:hAnsi="Times New Roman" w:eastAsia="宋体" w:cs="Times New Roman"/>
          <w:color w:val="000000"/>
          <w:kern w:val="0"/>
          <w:sz w:val="32"/>
          <w:szCs w:val="32"/>
        </w:rPr>
        <w:t>Ⅱ</w:t>
      </w:r>
      <w:r>
        <w:rPr>
          <w:rFonts w:ascii="Times New Roman" w:hAnsi="Times New Roman" w:eastAsia="仿宋_GB2312" w:cs="Times New Roman"/>
          <w:color w:val="000000"/>
          <w:kern w:val="0"/>
          <w:sz w:val="32"/>
          <w:szCs w:val="32"/>
        </w:rPr>
        <w:t>级</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Ⅲ级危险化学品事故按照国家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省、</w:t>
      </w:r>
      <w:r>
        <w:rPr>
          <w:rFonts w:hint="eastAsia" w:ascii="Times New Roman" w:hAnsi="Times New Roman" w:eastAsia="仿宋_GB2312" w:cs="Times New Roman"/>
          <w:color w:val="000000"/>
          <w:kern w:val="0"/>
          <w:sz w:val="32"/>
          <w:szCs w:val="32"/>
        </w:rPr>
        <w:t>市</w:t>
      </w:r>
      <w:r>
        <w:rPr>
          <w:rFonts w:ascii="Times New Roman" w:hAnsi="Times New Roman" w:eastAsia="仿宋_GB2312" w:cs="Times New Roman"/>
          <w:color w:val="000000"/>
          <w:kern w:val="0"/>
          <w:sz w:val="32"/>
          <w:szCs w:val="32"/>
        </w:rPr>
        <w:t>相关预案执行，本预案只适用于I级、</w:t>
      </w:r>
      <w:r>
        <w:rPr>
          <w:rFonts w:ascii="Times New Roman" w:hAnsi="Times New Roman" w:eastAsia="宋体" w:cs="Times New Roman"/>
          <w:color w:val="000000"/>
          <w:kern w:val="0"/>
          <w:sz w:val="32"/>
          <w:szCs w:val="32"/>
        </w:rPr>
        <w:t>Ⅱ</w:t>
      </w:r>
      <w:r>
        <w:rPr>
          <w:rFonts w:ascii="Times New Roman" w:hAnsi="Times New Roman" w:eastAsia="仿宋_GB2312" w:cs="Times New Roman"/>
          <w:color w:val="000000"/>
          <w:kern w:val="0"/>
          <w:sz w:val="32"/>
          <w:szCs w:val="32"/>
        </w:rPr>
        <w:t>级</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Ⅲ</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Ⅳ级危险化学品事故的前期应急处置有关工作。</w:t>
      </w:r>
    </w:p>
    <w:p w14:paraId="02A6F0C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仿宋" w:cs="仿宋"/>
          <w:color w:val="000000"/>
          <w:sz w:val="32"/>
          <w:szCs w:val="32"/>
        </w:rPr>
      </w:pPr>
      <w:r>
        <w:rPr>
          <w:rFonts w:ascii="Times New Roman" w:hAnsi="Times New Roman" w:eastAsia="楷体_GB2312" w:cs="Times New Roman"/>
          <w:b/>
          <w:color w:val="000000"/>
          <w:kern w:val="0"/>
          <w:sz w:val="32"/>
          <w:szCs w:val="32"/>
        </w:rPr>
        <w:t>　</w:t>
      </w:r>
      <w:r>
        <w:rPr>
          <w:rFonts w:hint="eastAsia" w:ascii="Times New Roman" w:hAnsi="Times New Roman" w:eastAsia="楷体_GB2312" w:cs="Times New Roman"/>
          <w:b/>
          <w:color w:val="000000"/>
          <w:kern w:val="0"/>
          <w:sz w:val="32"/>
          <w:szCs w:val="32"/>
        </w:rPr>
        <w:t xml:space="preserve"> </w:t>
      </w:r>
      <w:bookmarkStart w:id="5" w:name="_Toc4890"/>
      <w:r>
        <w:rPr>
          <w:rFonts w:hint="eastAsia" w:ascii="Times New Roman" w:hAnsi="Times New Roman" w:eastAsia="楷体_GB2312" w:cs="Times New Roman"/>
          <w:b/>
          <w:color w:val="000000"/>
          <w:kern w:val="0"/>
          <w:sz w:val="32"/>
          <w:szCs w:val="32"/>
        </w:rPr>
        <w:t>（五）濉溪县</w:t>
      </w:r>
      <w:r>
        <w:rPr>
          <w:rFonts w:ascii="Times New Roman" w:hAnsi="Times New Roman" w:eastAsia="楷体_GB2312" w:cs="Times New Roman"/>
          <w:b/>
          <w:color w:val="000000"/>
          <w:kern w:val="0"/>
          <w:sz w:val="32"/>
          <w:szCs w:val="32"/>
        </w:rPr>
        <w:t>危险化学品</w:t>
      </w:r>
      <w:r>
        <w:rPr>
          <w:rFonts w:hint="eastAsia" w:ascii="Times New Roman" w:hAnsi="Times New Roman" w:eastAsia="楷体_GB2312" w:cs="Times New Roman"/>
          <w:b/>
          <w:color w:val="000000"/>
          <w:kern w:val="0"/>
          <w:sz w:val="32"/>
          <w:szCs w:val="32"/>
        </w:rPr>
        <w:t>行业事故风险辨识</w:t>
      </w:r>
      <w:bookmarkEnd w:id="5"/>
    </w:p>
    <w:p w14:paraId="10BF4542">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濉溪县危险化学品生产、储存、经营、使用、运输企业共计72家，其中生产企业6家，经营企业63家，危险化学品运输企业3家。</w:t>
      </w:r>
      <w:r>
        <w:rPr>
          <w:rFonts w:hint="default" w:ascii="Times New Roman" w:hAnsi="Times New Roman" w:eastAsia="仿宋_GB2312" w:cs="Times New Roman"/>
          <w:color w:val="000000"/>
          <w:kern w:val="0"/>
          <w:sz w:val="32"/>
          <w:szCs w:val="32"/>
        </w:rPr>
        <w:t>构成危险化学品重大危险源的企业</w:t>
      </w:r>
      <w:r>
        <w:rPr>
          <w:rFonts w:hint="eastAsia" w:ascii="Times New Roman" w:hAnsi="Times New Roman" w:eastAsia="仿宋_GB2312" w:cs="Times New Roman"/>
          <w:color w:val="000000"/>
          <w:kern w:val="0"/>
          <w:sz w:val="32"/>
          <w:szCs w:val="32"/>
        </w:rPr>
        <w:t>（燃气企业除外）4家，共计8处重大危险源（见附件3），分布在濉溪化工园区（3家），濉溪县百善镇（1家），需重点防范其泄漏造成的急性中毒、火灾、爆炸事故。</w:t>
      </w:r>
    </w:p>
    <w:p w14:paraId="2E1A5356">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重点监管危险化工工艺1种，分布在1家单位（安徽省久江新能源科技有限公司），为氯化工艺，分布在濉溪化工园区，需重点防范其火灾、爆炸事故。</w:t>
      </w:r>
    </w:p>
    <w:p w14:paraId="4F500972">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重点监管危险化学品15种，分别为氯、</w:t>
      </w:r>
      <w:r>
        <w:rPr>
          <w:rFonts w:ascii="Times New Roman" w:hAnsi="Times New Roman" w:eastAsia="仿宋_GB2312" w:cs="Times New Roman"/>
          <w:color w:val="000000"/>
          <w:sz w:val="32"/>
          <w:szCs w:val="32"/>
        </w:rPr>
        <w:t>2-丙烯腈[稳定的]</w:t>
      </w:r>
      <w:r>
        <w:rPr>
          <w:rFonts w:hint="eastAsia" w:ascii="Times New Roman" w:hAnsi="Times New Roman" w:eastAsia="仿宋_GB2312" w:cs="仿宋_GB2312"/>
          <w:color w:val="000000"/>
          <w:sz w:val="32"/>
          <w:szCs w:val="32"/>
        </w:rPr>
        <w:t>、甲苯、</w:t>
      </w:r>
      <w:r>
        <w:rPr>
          <w:rFonts w:ascii="Times New Roman" w:hAnsi="Times New Roman" w:eastAsia="仿宋_GB2312" w:cs="Times New Roman"/>
          <w:color w:val="000000"/>
          <w:sz w:val="32"/>
          <w:szCs w:val="32"/>
        </w:rPr>
        <w:t>苯乙烯[稳定的]、</w:t>
      </w:r>
      <w:r>
        <w:rPr>
          <w:rFonts w:hint="eastAsia" w:ascii="Times New Roman" w:hAnsi="Times New Roman" w:eastAsia="仿宋_GB2312" w:cs="仿宋_GB2312"/>
          <w:color w:val="000000"/>
          <w:sz w:val="32"/>
          <w:szCs w:val="32"/>
        </w:rPr>
        <w:t>乙酸乙酯、苯胺、苯、乙炔、</w:t>
      </w:r>
      <w:r>
        <w:rPr>
          <w:rFonts w:ascii="Times New Roman" w:hAnsi="Times New Roman" w:eastAsia="仿宋_GB2312" w:cs="Times New Roman"/>
          <w:color w:val="000000"/>
          <w:sz w:val="32"/>
          <w:szCs w:val="32"/>
        </w:rPr>
        <w:t>二甲醚</w:t>
      </w:r>
      <w:r>
        <w:rPr>
          <w:rFonts w:hint="eastAsia"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氯甲烷、环氧乙烷、1,2-环氧丙烷、氨、</w:t>
      </w:r>
      <w:r>
        <w:rPr>
          <w:rFonts w:ascii="Times New Roman" w:hAnsi="Times New Roman" w:eastAsia="仿宋_GB2312" w:cs="Times New Roman"/>
          <w:color w:val="000000"/>
          <w:sz w:val="32"/>
          <w:szCs w:val="32"/>
        </w:rPr>
        <w:t>丙烯酸[稳定的]</w:t>
      </w:r>
      <w:r>
        <w:rPr>
          <w:rFonts w:hint="eastAsia" w:ascii="Times New Roman" w:hAnsi="Times New Roman" w:eastAsia="仿宋_GB2312" w:cs="仿宋_GB2312"/>
          <w:color w:val="000000"/>
          <w:sz w:val="32"/>
          <w:szCs w:val="32"/>
        </w:rPr>
        <w:t>、汽油，分布在70家单位，其中大部分为加油站，需重点防范其火灾、爆炸事故。</w:t>
      </w:r>
    </w:p>
    <w:p w14:paraId="0A185DC5">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根据濉溪县涉及的危险化学品类别和企业特点，涉及的主要事故类别包括火灾、爆炸、容器爆炸、中毒和窒息、灼烫等，濉溪化工园区企业分散布置，距主城区较近，需重点防范其形成多米诺效应，造成重大风险外溢。</w:t>
      </w:r>
    </w:p>
    <w:p w14:paraId="2DC5ABCA">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濉溪县有烟花爆竹批发经营企业1家，濉溪县韶美烟花爆竹经营有限公司。烟花爆竹经营企业涉及事故类别包括火灾、爆炸、灼烫等，应急救援处置参照危险化学品仓储企业管理。</w:t>
      </w:r>
    </w:p>
    <w:p w14:paraId="02927026">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 w:cs="仿宋"/>
          <w:color w:val="000000"/>
          <w:sz w:val="32"/>
          <w:szCs w:val="32"/>
        </w:rPr>
      </w:pPr>
      <w:r>
        <w:rPr>
          <w:rFonts w:ascii="Times New Roman" w:hAnsi="Times New Roman" w:eastAsia="仿宋_GB2312" w:cs="Times New Roman"/>
          <w:color w:val="000000"/>
          <w:sz w:val="32"/>
          <w:szCs w:val="32"/>
        </w:rPr>
        <w:t>濉溪县韶美烟花爆竹经营有限公司位于濉溪县岱河路24号，主要经营各类高中低档烟花爆竹产品。该公司仓储设施位于濉溪县百善镇徐楼村</w:t>
      </w:r>
      <w:r>
        <w:rPr>
          <w:rFonts w:hint="eastAsia" w:ascii="Times New Roman" w:hAnsi="Times New Roman" w:eastAsia="仿宋_GB2312" w:cs="Times New Roman"/>
          <w:color w:val="000000"/>
          <w:sz w:val="32"/>
          <w:szCs w:val="32"/>
          <w:highlight w:val="none"/>
          <w:lang w:val="en-US" w:eastAsia="zh-CN"/>
        </w:rPr>
        <w:t>东北</w:t>
      </w:r>
      <w:r>
        <w:rPr>
          <w:rFonts w:ascii="Times New Roman" w:hAnsi="Times New Roman" w:eastAsia="仿宋_GB2312" w:cs="Times New Roman"/>
          <w:color w:val="000000"/>
          <w:sz w:val="32"/>
          <w:szCs w:val="32"/>
        </w:rPr>
        <w:t>，距离濉溪县城约15公里。库区6栋1.3级仓库，其中5栋1.3级仓库建筑面积为540平方米，1栋1.3级仓库建筑面积为270平方米。</w:t>
      </w:r>
    </w:p>
    <w:p w14:paraId="28D80FB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w:t>
      </w:r>
      <w:r>
        <w:rPr>
          <w:rFonts w:hint="eastAsia" w:ascii="Times New Roman" w:hAnsi="Times New Roman" w:eastAsia="黑体" w:cs="Times New Roman"/>
          <w:color w:val="000000"/>
          <w:kern w:val="0"/>
          <w:sz w:val="32"/>
          <w:szCs w:val="32"/>
        </w:rPr>
        <w:t>　</w:t>
      </w:r>
      <w:bookmarkStart w:id="6" w:name="_Toc8315"/>
      <w:r>
        <w:rPr>
          <w:rFonts w:hint="eastAsia" w:ascii="Times New Roman" w:hAnsi="Times New Roman" w:eastAsia="黑体" w:cs="Times New Roman"/>
          <w:color w:val="000000"/>
          <w:kern w:val="0"/>
          <w:sz w:val="32"/>
          <w:szCs w:val="32"/>
        </w:rPr>
        <w:t>二、组织机构和职责</w:t>
      </w:r>
      <w:bookmarkEnd w:id="6"/>
    </w:p>
    <w:p w14:paraId="300180D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危险化学品事故应急组织机构由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危险化学品事故应急指挥部办公室和有关应急小组组成。</w:t>
      </w:r>
    </w:p>
    <w:p w14:paraId="54AE6C6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7" w:name="_Toc19789"/>
      <w:r>
        <w:rPr>
          <w:rFonts w:hint="eastAsia" w:ascii="Times New Roman" w:hAnsi="Times New Roman" w:eastAsia="楷体_GB2312" w:cs="Times New Roman"/>
          <w:b/>
          <w:color w:val="000000"/>
          <w:kern w:val="0"/>
          <w:sz w:val="32"/>
          <w:szCs w:val="32"/>
        </w:rPr>
        <w:t>（一）县</w:t>
      </w:r>
      <w:r>
        <w:rPr>
          <w:rFonts w:ascii="Times New Roman" w:hAnsi="Times New Roman" w:eastAsia="楷体_GB2312" w:cs="Times New Roman"/>
          <w:b/>
          <w:color w:val="000000"/>
          <w:kern w:val="0"/>
          <w:sz w:val="32"/>
          <w:szCs w:val="32"/>
        </w:rPr>
        <w:t>危险化学品事故应急指挥部</w:t>
      </w:r>
      <w:bookmarkEnd w:id="7"/>
    </w:p>
    <w:p w14:paraId="556A8BE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危险化学品事故应急指挥部是负责处置和管理我</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危险化学品生产安全事故的领导机构。总指挥由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分管安全生产的</w:t>
      </w:r>
      <w:r>
        <w:rPr>
          <w:rFonts w:hint="eastAsia" w:ascii="Times New Roman" w:hAnsi="Times New Roman" w:eastAsia="仿宋_GB2312" w:cs="Times New Roman"/>
          <w:color w:val="000000"/>
          <w:kern w:val="0"/>
          <w:sz w:val="32"/>
          <w:szCs w:val="32"/>
        </w:rPr>
        <w:t>常务</w:t>
      </w:r>
      <w:r>
        <w:rPr>
          <w:rFonts w:ascii="Times New Roman" w:hAnsi="Times New Roman" w:eastAsia="仿宋_GB2312" w:cs="Times New Roman"/>
          <w:color w:val="000000"/>
          <w:kern w:val="0"/>
          <w:sz w:val="32"/>
          <w:szCs w:val="32"/>
        </w:rPr>
        <w:t>副</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长担任，副总指挥分别由协助分管安全生产、应急工作的</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政府</w:t>
      </w:r>
      <w:r>
        <w:rPr>
          <w:rFonts w:hint="eastAsia" w:ascii="Times New Roman" w:hAnsi="Times New Roman" w:eastAsia="仿宋_GB2312" w:cs="Times New Roman"/>
          <w:color w:val="000000"/>
          <w:kern w:val="0"/>
          <w:sz w:val="32"/>
          <w:szCs w:val="32"/>
        </w:rPr>
        <w:t>办</w:t>
      </w:r>
      <w:r>
        <w:rPr>
          <w:rFonts w:ascii="Times New Roman" w:hAnsi="Times New Roman" w:eastAsia="仿宋_GB2312" w:cs="Times New Roman"/>
          <w:color w:val="000000"/>
          <w:kern w:val="0"/>
          <w:sz w:val="32"/>
          <w:szCs w:val="32"/>
        </w:rPr>
        <w:t>副</w:t>
      </w:r>
      <w:r>
        <w:rPr>
          <w:rFonts w:hint="eastAsia" w:ascii="Times New Roman" w:hAnsi="Times New Roman" w:eastAsia="仿宋_GB2312" w:cs="Times New Roman"/>
          <w:color w:val="000000"/>
          <w:kern w:val="0"/>
          <w:sz w:val="32"/>
          <w:szCs w:val="32"/>
        </w:rPr>
        <w:t>主任</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县应急</w:t>
      </w:r>
      <w:r>
        <w:rPr>
          <w:rFonts w:hint="eastAsia" w:ascii="Times New Roman" w:hAnsi="Times New Roman" w:eastAsia="仿宋_GB2312" w:cs="Times New Roman"/>
          <w:color w:val="000000"/>
          <w:kern w:val="0"/>
          <w:sz w:val="32"/>
          <w:szCs w:val="32"/>
          <w:lang w:eastAsia="zh-CN"/>
        </w:rPr>
        <w:t>管理</w:t>
      </w:r>
      <w:r>
        <w:rPr>
          <w:rFonts w:hint="eastAsia" w:ascii="Times New Roman" w:hAnsi="Times New Roman" w:eastAsia="仿宋_GB2312" w:cs="Times New Roman"/>
          <w:color w:val="000000"/>
          <w:kern w:val="0"/>
          <w:sz w:val="32"/>
          <w:szCs w:val="32"/>
        </w:rPr>
        <w:t>局</w:t>
      </w:r>
      <w:r>
        <w:rPr>
          <w:rFonts w:ascii="Times New Roman" w:hAnsi="Times New Roman" w:eastAsia="仿宋_GB2312" w:cs="Times New Roman"/>
          <w:color w:val="000000"/>
          <w:kern w:val="0"/>
          <w:sz w:val="32"/>
          <w:szCs w:val="32"/>
        </w:rPr>
        <w:t>局长</w:t>
      </w:r>
      <w:r>
        <w:rPr>
          <w:rFonts w:hint="eastAsia" w:ascii="Times New Roman" w:hAnsi="Times New Roman" w:eastAsia="仿宋_GB2312" w:cs="Times New Roman"/>
          <w:color w:val="000000"/>
          <w:kern w:val="0"/>
          <w:sz w:val="32"/>
          <w:szCs w:val="32"/>
          <w:lang w:eastAsia="zh-CN"/>
        </w:rPr>
        <w:t>、县消防救援局政治教导员</w:t>
      </w:r>
      <w:r>
        <w:rPr>
          <w:rFonts w:ascii="Times New Roman" w:hAnsi="Times New Roman" w:eastAsia="仿宋_GB2312" w:cs="Times New Roman"/>
          <w:color w:val="000000"/>
          <w:kern w:val="0"/>
          <w:sz w:val="32"/>
          <w:szCs w:val="32"/>
        </w:rPr>
        <w:t>担任，执行指挥由</w:t>
      </w:r>
      <w:r>
        <w:rPr>
          <w:rFonts w:hint="eastAsia" w:ascii="Times New Roman" w:hAnsi="Times New Roman" w:eastAsia="仿宋_GB2312" w:cs="Times New Roman"/>
          <w:color w:val="000000"/>
          <w:kern w:val="0"/>
          <w:sz w:val="32"/>
          <w:szCs w:val="32"/>
        </w:rPr>
        <w:t>县应急</w:t>
      </w:r>
      <w:r>
        <w:rPr>
          <w:rFonts w:hint="eastAsia" w:ascii="Times New Roman" w:hAnsi="Times New Roman" w:eastAsia="仿宋_GB2312" w:cs="Times New Roman"/>
          <w:color w:val="000000"/>
          <w:kern w:val="0"/>
          <w:sz w:val="32"/>
          <w:szCs w:val="32"/>
          <w:lang w:eastAsia="zh-CN"/>
        </w:rPr>
        <w:t>管理</w:t>
      </w:r>
      <w:r>
        <w:rPr>
          <w:rFonts w:ascii="Times New Roman" w:hAnsi="Times New Roman" w:eastAsia="仿宋_GB2312" w:cs="Times New Roman"/>
          <w:color w:val="000000"/>
          <w:kern w:val="0"/>
          <w:sz w:val="32"/>
          <w:szCs w:val="32"/>
        </w:rPr>
        <w:t>局局长兼任，同时兼任现场指挥部的现场指挥长。</w:t>
      </w:r>
    </w:p>
    <w:p w14:paraId="7B1AC25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指挥部主要工作职责包括：贯彻执行预防和应对有关危险化学品事故的法律、法规、规章和政策；起草和修订有关</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危险化学品事故应急预案，经</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政府批准后实施；组织有关应急队伍的建设、管理和应急演练；建设和完善应急平台，纳入全</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应急平台体系；统筹专业应急物资、装备的储备和调用；确定</w:t>
      </w:r>
      <w:r>
        <w:rPr>
          <w:rFonts w:hint="eastAsia" w:ascii="Times New Roman" w:hAnsi="Times New Roman" w:eastAsia="仿宋_GB2312" w:cs="Times New Roman"/>
          <w:color w:val="000000"/>
          <w:kern w:val="0"/>
          <w:sz w:val="32"/>
          <w:szCs w:val="32"/>
          <w:lang w:eastAsia="zh-CN"/>
        </w:rPr>
        <w:t>一般</w:t>
      </w:r>
      <w:r>
        <w:rPr>
          <w:rFonts w:ascii="Times New Roman" w:hAnsi="Times New Roman" w:eastAsia="仿宋_GB2312" w:cs="Times New Roman"/>
          <w:color w:val="000000"/>
          <w:kern w:val="0"/>
          <w:sz w:val="32"/>
          <w:szCs w:val="32"/>
        </w:rPr>
        <w:t>以上有关危险化学品事故的等级与响应级别，按预案规定程序启动和结束应急响应，组织和指挥有关力量和资源参与事故的应急处置工作；指挥、协调或协助各</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）开展有关危险化学品事故应急预防和应急处置工作；开展应急宣传、教育和培训等工作；承办</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委、</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政府交办的其他事项。</w:t>
      </w:r>
    </w:p>
    <w:p w14:paraId="69F3CD1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r>
        <w:rPr>
          <w:rFonts w:hint="eastAsia" w:ascii="Times New Roman" w:hAnsi="Times New Roman" w:eastAsia="楷体_GB2312" w:cs="Times New Roman"/>
          <w:b/>
          <w:color w:val="000000"/>
          <w:kern w:val="0"/>
          <w:sz w:val="32"/>
          <w:szCs w:val="32"/>
        </w:rPr>
        <w:t xml:space="preserve"> </w:t>
      </w:r>
      <w:bookmarkStart w:id="8" w:name="_Toc32232"/>
      <w:r>
        <w:rPr>
          <w:rFonts w:hint="eastAsia" w:ascii="Times New Roman" w:hAnsi="Times New Roman" w:eastAsia="楷体_GB2312" w:cs="Times New Roman"/>
          <w:b/>
          <w:color w:val="000000"/>
          <w:kern w:val="0"/>
          <w:sz w:val="32"/>
          <w:szCs w:val="32"/>
        </w:rPr>
        <w:t>（二）县</w:t>
      </w:r>
      <w:r>
        <w:rPr>
          <w:rFonts w:ascii="Times New Roman" w:hAnsi="Times New Roman" w:eastAsia="楷体_GB2312" w:cs="Times New Roman"/>
          <w:b/>
          <w:color w:val="000000"/>
          <w:kern w:val="0"/>
          <w:sz w:val="32"/>
          <w:szCs w:val="32"/>
        </w:rPr>
        <w:t>危险化学品事故应急指挥部办公室</w:t>
      </w:r>
      <w:bookmarkEnd w:id="8"/>
    </w:p>
    <w:p w14:paraId="6CEB5D0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危险化学品事故应急指挥部办公室为</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危险化学品事故应急指挥部的常设办事机构，设在</w:t>
      </w:r>
      <w:r>
        <w:rPr>
          <w:rFonts w:hint="eastAsia" w:ascii="Times New Roman" w:hAnsi="Times New Roman" w:eastAsia="仿宋_GB2312" w:cs="Times New Roman"/>
          <w:color w:val="000000"/>
          <w:kern w:val="0"/>
          <w:sz w:val="32"/>
          <w:szCs w:val="32"/>
        </w:rPr>
        <w:t>县应急管理</w:t>
      </w:r>
      <w:r>
        <w:rPr>
          <w:rFonts w:ascii="Times New Roman" w:hAnsi="Times New Roman" w:eastAsia="仿宋_GB2312" w:cs="Times New Roman"/>
          <w:color w:val="000000"/>
          <w:kern w:val="0"/>
          <w:sz w:val="32"/>
          <w:szCs w:val="32"/>
        </w:rPr>
        <w:t>局，办公室主任由</w:t>
      </w:r>
      <w:r>
        <w:rPr>
          <w:rFonts w:hint="eastAsia" w:ascii="Times New Roman" w:hAnsi="Times New Roman" w:eastAsia="仿宋_GB2312" w:cs="Times New Roman"/>
          <w:color w:val="000000"/>
          <w:kern w:val="0"/>
          <w:sz w:val="32"/>
          <w:szCs w:val="32"/>
        </w:rPr>
        <w:t>县应急管理</w:t>
      </w:r>
      <w:r>
        <w:rPr>
          <w:rFonts w:ascii="Times New Roman" w:hAnsi="Times New Roman" w:eastAsia="仿宋_GB2312" w:cs="Times New Roman"/>
          <w:color w:val="000000"/>
          <w:kern w:val="0"/>
          <w:sz w:val="32"/>
          <w:szCs w:val="32"/>
        </w:rPr>
        <w:t>局局长担任。</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危险化学品事故应急指挥部办公室</w:t>
      </w:r>
      <w:r>
        <w:rPr>
          <w:rFonts w:hint="eastAsia" w:ascii="Times New Roman" w:hAnsi="Times New Roman" w:eastAsia="仿宋_GB2312" w:cs="Times New Roman"/>
          <w:color w:val="000000"/>
          <w:kern w:val="0"/>
          <w:sz w:val="32"/>
          <w:szCs w:val="32"/>
        </w:rPr>
        <w:t>建立应急值班制度，配备应急值班人员，实行24小时应急值班，其</w:t>
      </w:r>
      <w:r>
        <w:rPr>
          <w:rFonts w:ascii="Times New Roman" w:hAnsi="Times New Roman" w:eastAsia="仿宋_GB2312" w:cs="Times New Roman"/>
          <w:color w:val="000000"/>
          <w:kern w:val="0"/>
          <w:sz w:val="32"/>
          <w:szCs w:val="32"/>
        </w:rPr>
        <w:t>主要职责是：</w:t>
      </w:r>
    </w:p>
    <w:p w14:paraId="347FD29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组织落实</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危险化学品事故应急指挥部决定，协调和调动成员单位开展危险化学品事故应急救援相关工作；</w:t>
      </w:r>
    </w:p>
    <w:p w14:paraId="0B5401D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组织开展</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危险化学品事故应急指挥部应急值守相关工作；</w:t>
      </w:r>
    </w:p>
    <w:p w14:paraId="09F38D3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组织收集、分析有关工作信息，及时上报危险化学品事故重要信息；</w:t>
      </w:r>
    </w:p>
    <w:p w14:paraId="273A1D3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组织发布危险化学品事故预警信息；</w:t>
      </w:r>
    </w:p>
    <w:p w14:paraId="2DD3150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配合有关部门承担危险化学品事故新闻发布工作；</w:t>
      </w:r>
    </w:p>
    <w:p w14:paraId="2A7A52E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6.</w:t>
      </w:r>
      <w:r>
        <w:rPr>
          <w:rFonts w:ascii="Times New Roman" w:hAnsi="Times New Roman" w:eastAsia="仿宋_GB2312" w:cs="Times New Roman"/>
          <w:color w:val="000000"/>
          <w:kern w:val="0"/>
          <w:sz w:val="32"/>
          <w:szCs w:val="32"/>
        </w:rPr>
        <w:t>组织开展</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危险化学品事故应急预案编制、修订和评审工作；</w:t>
      </w:r>
    </w:p>
    <w:p w14:paraId="0A33F74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7.</w:t>
      </w:r>
      <w:r>
        <w:rPr>
          <w:rFonts w:ascii="Times New Roman" w:hAnsi="Times New Roman" w:eastAsia="仿宋_GB2312" w:cs="Times New Roman"/>
          <w:color w:val="000000"/>
          <w:kern w:val="0"/>
          <w:sz w:val="32"/>
          <w:szCs w:val="32"/>
        </w:rPr>
        <w:t>组织开展本</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危险化学品事故应急演练、培训、宣传工作</w:t>
      </w:r>
      <w:r>
        <w:rPr>
          <w:rFonts w:hint="eastAsia" w:ascii="Times New Roman" w:hAnsi="Times New Roman" w:eastAsia="仿宋_GB2312" w:cs="Times New Roman"/>
          <w:color w:val="000000"/>
          <w:kern w:val="0"/>
          <w:sz w:val="32"/>
          <w:szCs w:val="32"/>
        </w:rPr>
        <w:t>，每两年一次</w:t>
      </w:r>
      <w:r>
        <w:rPr>
          <w:rFonts w:ascii="Times New Roman" w:hAnsi="Times New Roman" w:eastAsia="仿宋_GB2312" w:cs="Times New Roman"/>
          <w:color w:val="000000"/>
          <w:kern w:val="0"/>
          <w:sz w:val="32"/>
          <w:szCs w:val="32"/>
        </w:rPr>
        <w:t>；</w:t>
      </w:r>
    </w:p>
    <w:p w14:paraId="7C04EEB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8.</w:t>
      </w:r>
      <w:r>
        <w:rPr>
          <w:rFonts w:ascii="Times New Roman" w:hAnsi="Times New Roman" w:eastAsia="仿宋_GB2312" w:cs="Times New Roman"/>
          <w:color w:val="000000"/>
          <w:kern w:val="0"/>
          <w:sz w:val="32"/>
          <w:szCs w:val="32"/>
        </w:rPr>
        <w:t>组织开展危险化学品安全专家组的管理工作；</w:t>
      </w:r>
    </w:p>
    <w:p w14:paraId="0ACB4C1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9.</w:t>
      </w:r>
      <w:r>
        <w:rPr>
          <w:rFonts w:ascii="Times New Roman" w:hAnsi="Times New Roman" w:eastAsia="仿宋_GB2312" w:cs="Times New Roman"/>
          <w:color w:val="000000"/>
          <w:kern w:val="0"/>
          <w:sz w:val="32"/>
          <w:szCs w:val="32"/>
        </w:rPr>
        <w:t>督促指导和抽查各</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）安全监管部门危险化学品事故预防与应急救援工作；</w:t>
      </w:r>
    </w:p>
    <w:p w14:paraId="034278E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10.</w:t>
      </w:r>
      <w:r>
        <w:rPr>
          <w:rFonts w:ascii="Times New Roman" w:hAnsi="Times New Roman" w:eastAsia="仿宋_GB2312" w:cs="Times New Roman"/>
          <w:color w:val="000000"/>
          <w:kern w:val="0"/>
          <w:sz w:val="32"/>
          <w:szCs w:val="32"/>
        </w:rPr>
        <w:t>承担</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危险化学品事故应急指挥部日常工作。</w:t>
      </w:r>
    </w:p>
    <w:p w14:paraId="69CC6A1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9" w:name="_Toc25873"/>
      <w:r>
        <w:rPr>
          <w:rFonts w:hint="eastAsia" w:ascii="Times New Roman" w:hAnsi="Times New Roman" w:eastAsia="楷体_GB2312" w:cs="Times New Roman"/>
          <w:b/>
          <w:color w:val="000000"/>
          <w:kern w:val="0"/>
          <w:sz w:val="32"/>
          <w:szCs w:val="32"/>
        </w:rPr>
        <w:t>（三）</w:t>
      </w:r>
      <w:r>
        <w:rPr>
          <w:rFonts w:ascii="Times New Roman" w:hAnsi="Times New Roman" w:eastAsia="楷体_GB2312" w:cs="Times New Roman"/>
          <w:b/>
          <w:color w:val="000000"/>
          <w:kern w:val="0"/>
          <w:sz w:val="32"/>
          <w:szCs w:val="32"/>
        </w:rPr>
        <w:t>应急处置小组及其职责</w:t>
      </w:r>
      <w:bookmarkEnd w:id="9"/>
    </w:p>
    <w:p w14:paraId="5B169B0E">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危险化学品事故应急小组包括应急消防抢险组、治安警戒和交通管制组、医疗救护组、疏散安置组、环境监测组、气象监测组、应急保障组、现场督导组、新闻报道组和技术专家组。</w:t>
      </w:r>
    </w:p>
    <w:p w14:paraId="283D1F84">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应急消防抢险组，由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消防</w:t>
      </w:r>
      <w:r>
        <w:rPr>
          <w:rFonts w:hint="eastAsia" w:ascii="Times New Roman" w:hAnsi="Times New Roman" w:eastAsia="仿宋_GB2312" w:cs="Times New Roman"/>
          <w:color w:val="000000"/>
          <w:kern w:val="0"/>
          <w:sz w:val="32"/>
          <w:szCs w:val="32"/>
        </w:rPr>
        <w:t>救援</w:t>
      </w:r>
      <w:r>
        <w:rPr>
          <w:rFonts w:hint="eastAsia" w:ascii="Times New Roman" w:hAnsi="Times New Roman" w:eastAsia="仿宋_GB2312" w:cs="Times New Roman"/>
          <w:color w:val="000000"/>
          <w:kern w:val="0"/>
          <w:sz w:val="32"/>
          <w:szCs w:val="32"/>
          <w:lang w:val="en-US" w:eastAsia="zh-CN"/>
        </w:rPr>
        <w:t>局</w:t>
      </w:r>
      <w:r>
        <w:rPr>
          <w:rFonts w:ascii="Times New Roman" w:hAnsi="Times New Roman" w:eastAsia="仿宋_GB2312" w:cs="Times New Roman"/>
          <w:color w:val="000000"/>
          <w:kern w:val="0"/>
          <w:sz w:val="32"/>
          <w:szCs w:val="32"/>
        </w:rPr>
        <w:t>及其各</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）专职消防队伍牵头成立。其职责为负责扑灭事故现场火灾，对现场受伤和失踪人员进行搜救，参与易燃易爆、有毒物质泄漏的处置等。</w:t>
      </w:r>
    </w:p>
    <w:p w14:paraId="5B21B37F">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治安警戒和交通管制组，由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公安局牵头成立。其职责为负责指挥、协调事故发生地现场治安秩序及危险区域隔离警戒；做好事故发生地交通管制和疏导工作；采取必要的交通管制措施，建立应急救援“绿色通道”机制。</w:t>
      </w:r>
    </w:p>
    <w:p w14:paraId="2F38351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医疗救护组，由</w:t>
      </w:r>
      <w:r>
        <w:rPr>
          <w:rFonts w:hint="eastAsia" w:ascii="Times New Roman" w:hAnsi="Times New Roman" w:eastAsia="仿宋_GB2312" w:cs="Times New Roman"/>
          <w:color w:val="000000"/>
          <w:kern w:val="0"/>
          <w:sz w:val="32"/>
          <w:szCs w:val="32"/>
        </w:rPr>
        <w:t>县</w:t>
      </w:r>
      <w:r>
        <w:rPr>
          <w:rFonts w:hint="eastAsia" w:ascii="Times New Roman" w:hAnsi="Times New Roman" w:eastAsia="仿宋_GB2312" w:cs="仿宋_GB2312"/>
          <w:color w:val="000000"/>
          <w:sz w:val="32"/>
          <w:szCs w:val="32"/>
          <w:shd w:val="clear" w:color="auto" w:fill="FFFFFF"/>
        </w:rPr>
        <w:t>卫健委</w:t>
      </w:r>
      <w:r>
        <w:rPr>
          <w:rFonts w:ascii="Times New Roman" w:hAnsi="Times New Roman" w:eastAsia="仿宋_GB2312" w:cs="Times New Roman"/>
          <w:color w:val="000000"/>
          <w:kern w:val="0"/>
          <w:sz w:val="32"/>
          <w:szCs w:val="32"/>
        </w:rPr>
        <w:t>牵头成立。其职责为在事故现场安全区域设立临时医疗救护站，组织应急医疗救援力量开展伤病员医疗救治工作，报告人员伤亡情况和伤病员救治信息。</w:t>
      </w:r>
    </w:p>
    <w:p w14:paraId="4B1DBCF4">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疏散安置组，由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民政局牵头成立。其职责为负责配合</w:t>
      </w:r>
      <w:r>
        <w:rPr>
          <w:rFonts w:hint="eastAsia" w:ascii="Times New Roman" w:hAnsi="Times New Roman" w:eastAsia="仿宋_GB2312" w:cs="Times New Roman"/>
          <w:color w:val="000000"/>
          <w:kern w:val="0"/>
          <w:sz w:val="32"/>
          <w:szCs w:val="32"/>
          <w:lang w:eastAsia="zh-CN"/>
        </w:rPr>
        <w:t>各</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）做好受灾转移群众安置工作，组织发放灾民生活救济款物，妥善安排受灾群众基本生活。</w:t>
      </w:r>
    </w:p>
    <w:p w14:paraId="3A4C980E">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环境监测组，由</w:t>
      </w:r>
      <w:r>
        <w:rPr>
          <w:rFonts w:hint="eastAsia" w:ascii="Times New Roman" w:hAnsi="Times New Roman" w:eastAsia="仿宋_GB2312" w:cs="Times New Roman"/>
          <w:color w:val="000000"/>
          <w:kern w:val="0"/>
          <w:sz w:val="32"/>
          <w:szCs w:val="32"/>
        </w:rPr>
        <w:t>县</w:t>
      </w:r>
      <w:r>
        <w:rPr>
          <w:rFonts w:ascii="Times New Roman" w:hAnsi="Times New Roman" w:eastAsia="仿宋" w:cs="仿宋"/>
          <w:color w:val="000000"/>
          <w:sz w:val="32"/>
          <w:szCs w:val="32"/>
        </w:rPr>
        <w:t>生态环境</w:t>
      </w:r>
      <w:r>
        <w:rPr>
          <w:rFonts w:hint="eastAsia" w:ascii="Times New Roman" w:hAnsi="Times New Roman" w:eastAsia="仿宋" w:cs="仿宋"/>
          <w:color w:val="000000"/>
          <w:sz w:val="32"/>
          <w:szCs w:val="32"/>
        </w:rPr>
        <w:t>分</w:t>
      </w:r>
      <w:r>
        <w:rPr>
          <w:rFonts w:ascii="Times New Roman" w:hAnsi="Times New Roman" w:eastAsia="仿宋" w:cs="仿宋"/>
          <w:color w:val="000000"/>
          <w:sz w:val="32"/>
          <w:szCs w:val="32"/>
        </w:rPr>
        <w:t>局</w:t>
      </w:r>
      <w:r>
        <w:rPr>
          <w:rFonts w:ascii="Times New Roman" w:hAnsi="Times New Roman" w:eastAsia="仿宋_GB2312" w:cs="Times New Roman"/>
          <w:color w:val="000000"/>
          <w:kern w:val="0"/>
          <w:sz w:val="32"/>
          <w:szCs w:val="32"/>
        </w:rPr>
        <w:t>牵头成立。其职责为负责对事故现场及周边环境污染情况进行实时监测，并及时向指挥部报告监测情况，开展控制、消除环境污染等相关工作。</w:t>
      </w:r>
    </w:p>
    <w:p w14:paraId="4B9019F3">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6.</w:t>
      </w:r>
      <w:r>
        <w:rPr>
          <w:rFonts w:ascii="Times New Roman" w:hAnsi="Times New Roman" w:eastAsia="仿宋_GB2312" w:cs="Times New Roman"/>
          <w:color w:val="000000"/>
          <w:kern w:val="0"/>
          <w:sz w:val="32"/>
          <w:szCs w:val="32"/>
        </w:rPr>
        <w:t>气象监测与预警组，由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气象局牵头成立。其职责为负责对事故现场及周边的气候变化进行应急观测，并及时向指挥部报告观测结果；按照指挥部决定，发布预警信息。</w:t>
      </w:r>
    </w:p>
    <w:p w14:paraId="5C927E5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 xml:space="preserve">7. </w:t>
      </w:r>
      <w:r>
        <w:rPr>
          <w:rFonts w:ascii="Times New Roman" w:hAnsi="Times New Roman" w:eastAsia="仿宋_GB2312" w:cs="Times New Roman"/>
          <w:color w:val="000000"/>
          <w:kern w:val="0"/>
          <w:sz w:val="32"/>
          <w:szCs w:val="32"/>
        </w:rPr>
        <w:t>应急保障组，由</w:t>
      </w:r>
      <w:r>
        <w:rPr>
          <w:rFonts w:hint="eastAsia" w:ascii="Times New Roman" w:hAnsi="Times New Roman" w:eastAsia="仿宋_GB2312" w:cs="Times New Roman"/>
          <w:color w:val="000000"/>
          <w:kern w:val="0"/>
          <w:sz w:val="32"/>
          <w:szCs w:val="32"/>
        </w:rPr>
        <w:t>县财政局</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县</w:t>
      </w:r>
      <w:r>
        <w:rPr>
          <w:rFonts w:ascii="Times New Roman" w:hAnsi="Times New Roman" w:eastAsia="仿宋_GB2312" w:cs="Times New Roman"/>
          <w:color w:val="000000"/>
          <w:kern w:val="0"/>
          <w:sz w:val="32"/>
          <w:szCs w:val="32"/>
        </w:rPr>
        <w:t>交通运输局、</w:t>
      </w:r>
      <w:r>
        <w:rPr>
          <w:rFonts w:hint="eastAsia" w:ascii="Times New Roman" w:hAnsi="Times New Roman" w:eastAsia="仿宋_GB2312" w:cs="Times New Roman"/>
          <w:color w:val="000000"/>
          <w:kern w:val="0"/>
          <w:sz w:val="32"/>
          <w:szCs w:val="32"/>
          <w:lang w:eastAsia="zh-CN"/>
        </w:rPr>
        <w:t>县工信</w:t>
      </w:r>
      <w:r>
        <w:rPr>
          <w:rFonts w:hint="eastAsia" w:ascii="Times New Roman" w:hAnsi="Times New Roman" w:eastAsia="仿宋_GB2312" w:cs="Times New Roman"/>
          <w:color w:val="000000"/>
          <w:kern w:val="0"/>
          <w:sz w:val="32"/>
          <w:szCs w:val="32"/>
        </w:rPr>
        <w:t>局</w:t>
      </w:r>
      <w:r>
        <w:rPr>
          <w:rFonts w:ascii="Times New Roman" w:hAnsi="Times New Roman" w:eastAsia="仿宋_GB2312" w:cs="Times New Roman"/>
          <w:color w:val="000000"/>
          <w:kern w:val="0"/>
          <w:sz w:val="32"/>
          <w:szCs w:val="32"/>
        </w:rPr>
        <w:t>组成。其职责为：</w:t>
      </w:r>
    </w:p>
    <w:p w14:paraId="3265652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县财政局</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按照分清渠道、分级负责的原则，落实</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级危险化学品事故应急保障资金；</w:t>
      </w:r>
    </w:p>
    <w:p w14:paraId="238311F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交通运输局</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组织协调有关单位做好应急救援交通运输保障工作；负责组织协调有关部门恢复道路、公路、桥梁等交通基础设施。</w:t>
      </w:r>
    </w:p>
    <w:p w14:paraId="0643A9B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县</w:t>
      </w:r>
      <w:r>
        <w:rPr>
          <w:rFonts w:hint="eastAsia" w:ascii="Times New Roman" w:hAnsi="Times New Roman" w:eastAsia="仿宋_GB2312" w:cs="Times New Roman"/>
          <w:color w:val="000000"/>
          <w:kern w:val="0"/>
          <w:sz w:val="32"/>
          <w:szCs w:val="32"/>
          <w:lang w:eastAsia="zh-CN"/>
        </w:rPr>
        <w:t>工信</w:t>
      </w:r>
      <w:r>
        <w:rPr>
          <w:rFonts w:hint="eastAsia" w:ascii="Times New Roman" w:hAnsi="Times New Roman" w:eastAsia="仿宋_GB2312" w:cs="Times New Roman"/>
          <w:color w:val="000000"/>
          <w:kern w:val="0"/>
          <w:sz w:val="32"/>
          <w:szCs w:val="32"/>
        </w:rPr>
        <w:t>局</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highlight w:val="none"/>
          <w:lang w:eastAsia="zh-CN"/>
        </w:rPr>
        <w:t>为处置事故提供通信保障的牵头工作，协调通信运营商开展通信保障。</w:t>
      </w:r>
    </w:p>
    <w:p w14:paraId="788C98A0">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8.</w:t>
      </w:r>
      <w:r>
        <w:rPr>
          <w:rFonts w:ascii="Times New Roman" w:hAnsi="Times New Roman" w:eastAsia="仿宋_GB2312" w:cs="Times New Roman"/>
          <w:color w:val="000000"/>
          <w:kern w:val="0"/>
          <w:sz w:val="32"/>
          <w:szCs w:val="32"/>
        </w:rPr>
        <w:t>现场督导组，由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危险化学品事故应急指挥部根据事故类型委派人员组成。其职责为：</w:t>
      </w:r>
    </w:p>
    <w:p w14:paraId="0E1362CE">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危险化学品事故应急指挥部发布</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级以上预警后</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接受指挥部调遣，赶赴现场做好应急响应前现场应急督导工作；</w:t>
      </w:r>
    </w:p>
    <w:p w14:paraId="579879C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）事故未发生时，及时收集、报告现场有关信息，加强现场情况的监测、报告工作；组织专业技术人员、有关专家对事态进行分析评估，预测发生事故可能性大小、影响范围和强度，指导可能发生地区政府（</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））做好事故应急救援准备。</w:t>
      </w:r>
    </w:p>
    <w:p w14:paraId="2C13876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）事故已经发生，但不需要启动</w:t>
      </w:r>
      <w:r>
        <w:rPr>
          <w:rFonts w:hint="eastAsia" w:ascii="Times New Roman" w:hAnsi="Times New Roman" w:eastAsia="仿宋_GB2312" w:cs="Times New Roman"/>
          <w:color w:val="000000"/>
          <w:kern w:val="0"/>
          <w:sz w:val="32"/>
          <w:szCs w:val="32"/>
        </w:rPr>
        <w:t>市</w:t>
      </w:r>
      <w:r>
        <w:rPr>
          <w:rFonts w:ascii="Times New Roman" w:hAnsi="Times New Roman" w:eastAsia="仿宋_GB2312" w:cs="Times New Roman"/>
          <w:color w:val="000000"/>
          <w:kern w:val="0"/>
          <w:sz w:val="32"/>
          <w:szCs w:val="32"/>
        </w:rPr>
        <w:t>级应急救援时，现场督导组应对现场应急工作进行督导，并做好事故万一扩大、升级后需开展</w:t>
      </w:r>
      <w:r>
        <w:rPr>
          <w:rFonts w:hint="eastAsia" w:ascii="Times New Roman" w:hAnsi="Times New Roman" w:eastAsia="仿宋_GB2312" w:cs="Times New Roman"/>
          <w:color w:val="000000"/>
          <w:kern w:val="0"/>
          <w:sz w:val="32"/>
          <w:szCs w:val="32"/>
        </w:rPr>
        <w:t>市</w:t>
      </w:r>
      <w:r>
        <w:rPr>
          <w:rFonts w:ascii="Times New Roman" w:hAnsi="Times New Roman" w:eastAsia="仿宋_GB2312" w:cs="Times New Roman"/>
          <w:color w:val="000000"/>
          <w:kern w:val="0"/>
          <w:sz w:val="32"/>
          <w:szCs w:val="32"/>
        </w:rPr>
        <w:t>级事故应急救援的准备。</w:t>
      </w:r>
    </w:p>
    <w:p w14:paraId="46206E75">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9.</w:t>
      </w:r>
      <w:r>
        <w:rPr>
          <w:rFonts w:ascii="Times New Roman" w:hAnsi="Times New Roman" w:eastAsia="仿宋_GB2312" w:cs="Times New Roman"/>
          <w:color w:val="000000"/>
          <w:kern w:val="0"/>
          <w:sz w:val="32"/>
          <w:szCs w:val="32"/>
        </w:rPr>
        <w:t>新闻报道组，由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政府新闻办（</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委外宣办）牵头成立。其职责为负责组织协调</w:t>
      </w:r>
      <w:r>
        <w:rPr>
          <w:rFonts w:hint="eastAsia" w:ascii="Times New Roman" w:hAnsi="Times New Roman" w:eastAsia="仿宋_GB2312" w:cs="Times New Roman"/>
          <w:color w:val="000000"/>
          <w:kern w:val="0"/>
          <w:sz w:val="32"/>
          <w:szCs w:val="32"/>
        </w:rPr>
        <w:t>一般</w:t>
      </w:r>
      <w:r>
        <w:rPr>
          <w:rFonts w:ascii="Times New Roman" w:hAnsi="Times New Roman" w:eastAsia="仿宋_GB2312" w:cs="Times New Roman"/>
          <w:color w:val="000000"/>
          <w:kern w:val="0"/>
          <w:sz w:val="32"/>
          <w:szCs w:val="32"/>
        </w:rPr>
        <w:t>以上危险化学品事故的宣传报道工作，组织新闻单位进行危险化学品生产安全知识宣传，加强互联网舆论引导。</w:t>
      </w:r>
    </w:p>
    <w:p w14:paraId="2E77660B">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10.</w:t>
      </w:r>
      <w:r>
        <w:rPr>
          <w:rFonts w:ascii="Times New Roman" w:hAnsi="Times New Roman" w:eastAsia="仿宋_GB2312" w:cs="Times New Roman"/>
          <w:color w:val="000000"/>
          <w:kern w:val="0"/>
          <w:sz w:val="32"/>
          <w:szCs w:val="32"/>
        </w:rPr>
        <w:t>技术专家组，由市危险化学品安全专家组成。</w:t>
      </w:r>
    </w:p>
    <w:p w14:paraId="23D6ECD8">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w:t>
      </w:r>
      <w:r>
        <w:rPr>
          <w:rFonts w:hint="eastAsia" w:ascii="Times New Roman" w:hAnsi="Times New Roman" w:eastAsia="仿宋_GB2312" w:cs="Times New Roman"/>
          <w:color w:val="000000"/>
          <w:kern w:val="0"/>
          <w:sz w:val="32"/>
          <w:szCs w:val="32"/>
        </w:rPr>
        <w:t>依托市</w:t>
      </w:r>
      <w:r>
        <w:rPr>
          <w:rFonts w:ascii="Times New Roman" w:hAnsi="Times New Roman" w:eastAsia="仿宋_GB2312" w:cs="Times New Roman"/>
          <w:color w:val="000000"/>
          <w:kern w:val="0"/>
          <w:sz w:val="32"/>
          <w:szCs w:val="32"/>
        </w:rPr>
        <w:t>专家库</w:t>
      </w:r>
      <w:r>
        <w:rPr>
          <w:rFonts w:hint="eastAsia" w:ascii="Times New Roman" w:hAnsi="Times New Roman" w:eastAsia="仿宋_GB2312" w:cs="Times New Roman"/>
          <w:color w:val="000000"/>
          <w:kern w:val="0"/>
          <w:sz w:val="32"/>
          <w:szCs w:val="32"/>
        </w:rPr>
        <w:t>提供技术支持</w:t>
      </w:r>
      <w:r>
        <w:rPr>
          <w:rFonts w:ascii="Times New Roman" w:hAnsi="Times New Roman" w:eastAsia="仿宋_GB2312" w:cs="Times New Roman"/>
          <w:color w:val="000000"/>
          <w:kern w:val="0"/>
          <w:sz w:val="32"/>
          <w:szCs w:val="32"/>
        </w:rPr>
        <w:t>，日常管理由市危险化学品事故应急指挥部办公室负责。其职责为：</w:t>
      </w:r>
    </w:p>
    <w:p w14:paraId="25100360">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）为</w:t>
      </w:r>
      <w:r>
        <w:rPr>
          <w:rFonts w:hint="eastAsia" w:ascii="Times New Roman" w:hAnsi="Times New Roman" w:eastAsia="仿宋_GB2312" w:cs="Times New Roman"/>
          <w:color w:val="000000"/>
          <w:kern w:val="0"/>
          <w:sz w:val="32"/>
          <w:szCs w:val="32"/>
        </w:rPr>
        <w:t>我县</w:t>
      </w:r>
      <w:r>
        <w:rPr>
          <w:rFonts w:ascii="Times New Roman" w:hAnsi="Times New Roman" w:eastAsia="仿宋_GB2312" w:cs="Times New Roman"/>
          <w:color w:val="000000"/>
          <w:kern w:val="0"/>
          <w:sz w:val="32"/>
          <w:szCs w:val="32"/>
        </w:rPr>
        <w:t>危险化学品事故应急救援工作提供技术支持和现场咨询，参与媒体宣传、生产安全事故防范知识培训、教材编审等工作。</w:t>
      </w:r>
    </w:p>
    <w:p w14:paraId="0F6991B9">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危险化学品事故发生时，负责对生产安全事故的危险性进行分析和预测，对应急救援能力进行评估，为危险化学品事故应急指挥部的指挥、决策提供依据和方案，对现场应急救援单位进行技术指导，为事故救援提供技术支持。</w:t>
      </w:r>
    </w:p>
    <w:p w14:paraId="0666AAA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0" w:name="_Toc10776"/>
      <w:r>
        <w:rPr>
          <w:rFonts w:hint="eastAsia" w:ascii="Times New Roman" w:hAnsi="Times New Roman" w:eastAsia="楷体_GB2312" w:cs="Times New Roman"/>
          <w:b/>
          <w:color w:val="000000"/>
          <w:kern w:val="0"/>
          <w:sz w:val="32"/>
          <w:szCs w:val="32"/>
        </w:rPr>
        <w:t>（四）</w:t>
      </w:r>
      <w:r>
        <w:rPr>
          <w:rFonts w:ascii="Times New Roman" w:hAnsi="Times New Roman" w:eastAsia="楷体_GB2312" w:cs="Times New Roman"/>
          <w:b/>
          <w:color w:val="000000"/>
          <w:kern w:val="0"/>
          <w:sz w:val="32"/>
          <w:szCs w:val="32"/>
        </w:rPr>
        <w:t>指挥部其他成员单位及职责</w:t>
      </w:r>
      <w:bookmarkEnd w:id="10"/>
    </w:p>
    <w:p w14:paraId="0195BFD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指挥部其他成员单位职责为：</w:t>
      </w:r>
    </w:p>
    <w:p w14:paraId="4D85F4B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1.县财政局</w:t>
      </w:r>
      <w:r>
        <w:rPr>
          <w:rFonts w:ascii="Times New Roman" w:hAnsi="Times New Roman" w:eastAsia="仿宋_GB2312" w:cs="Times New Roman"/>
          <w:color w:val="000000"/>
          <w:kern w:val="0"/>
          <w:sz w:val="32"/>
          <w:szCs w:val="32"/>
        </w:rPr>
        <w:t>：负责督促大型企业做好应急配合工作。</w:t>
      </w:r>
    </w:p>
    <w:p w14:paraId="1EB79EA6">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rPr>
        <w:t>.县市场监管</w:t>
      </w:r>
      <w:r>
        <w:rPr>
          <w:rFonts w:ascii="Times New Roman" w:hAnsi="Times New Roman" w:eastAsia="仿宋_GB2312" w:cs="Times New Roman"/>
          <w:color w:val="000000"/>
          <w:kern w:val="0"/>
          <w:sz w:val="32"/>
          <w:szCs w:val="32"/>
        </w:rPr>
        <w:t>局：负责组织压力容器和压力管道等特种设备事故的调查和应急处置工作。</w:t>
      </w:r>
    </w:p>
    <w:p w14:paraId="37937CA4">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城管局：负责配合开展环境卫生领域危险化学品事故的调查和应急处置工作。</w:t>
      </w:r>
    </w:p>
    <w:p w14:paraId="3316CA1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外事办：负责处理涉外的相关事宜。</w:t>
      </w:r>
    </w:p>
    <w:p w14:paraId="2409EBE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.濉溪</w:t>
      </w:r>
      <w:r>
        <w:rPr>
          <w:rFonts w:ascii="Times New Roman" w:hAnsi="Times New Roman" w:eastAsia="仿宋_GB2312" w:cs="Times New Roman"/>
          <w:color w:val="000000"/>
          <w:kern w:val="0"/>
          <w:sz w:val="32"/>
          <w:szCs w:val="32"/>
        </w:rPr>
        <w:t>武警</w:t>
      </w:r>
      <w:r>
        <w:rPr>
          <w:rFonts w:hint="eastAsia" w:ascii="Times New Roman" w:hAnsi="Times New Roman" w:eastAsia="仿宋_GB2312" w:cs="Times New Roman"/>
          <w:color w:val="000000"/>
          <w:kern w:val="0"/>
          <w:sz w:val="32"/>
          <w:szCs w:val="32"/>
        </w:rPr>
        <w:t>中</w:t>
      </w:r>
      <w:r>
        <w:rPr>
          <w:rFonts w:ascii="Times New Roman" w:hAnsi="Times New Roman" w:eastAsia="仿宋_GB2312" w:cs="Times New Roman"/>
          <w:color w:val="000000"/>
          <w:kern w:val="0"/>
          <w:sz w:val="32"/>
          <w:szCs w:val="32"/>
        </w:rPr>
        <w:t>队：参与应对重特大事故灾难等应急救援和处置任务。</w:t>
      </w:r>
    </w:p>
    <w:p w14:paraId="3A517BA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lang w:val="en-US" w:eastAsia="zh-CN"/>
        </w:rPr>
        <w:t>6</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各</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政府（</w:t>
      </w:r>
      <w:r>
        <w:rPr>
          <w:rFonts w:hint="eastAsia" w:ascii="Times New Roman" w:hAnsi="Times New Roman" w:eastAsia="仿宋_GB2312" w:cs="Times New Roman"/>
          <w:color w:val="000000"/>
          <w:kern w:val="0"/>
          <w:sz w:val="32"/>
          <w:szCs w:val="32"/>
        </w:rPr>
        <w:t>园区</w:t>
      </w:r>
      <w:r>
        <w:rPr>
          <w:rFonts w:hint="eastAsia" w:ascii="Times New Roman" w:hAnsi="Times New Roman" w:eastAsia="仿宋_GB2312" w:cs="Times New Roman"/>
          <w:color w:val="000000"/>
          <w:kern w:val="0"/>
          <w:sz w:val="32"/>
          <w:szCs w:val="32"/>
          <w:lang w:eastAsia="zh-CN"/>
        </w:rPr>
        <w:t>管委会</w:t>
      </w:r>
      <w:r>
        <w:rPr>
          <w:rFonts w:ascii="Times New Roman" w:hAnsi="Times New Roman" w:eastAsia="仿宋_GB2312" w:cs="Times New Roman"/>
          <w:color w:val="000000"/>
          <w:kern w:val="0"/>
          <w:sz w:val="32"/>
          <w:szCs w:val="32"/>
        </w:rPr>
        <w:t>）：</w:t>
      </w:r>
    </w:p>
    <w:p w14:paraId="237FBE1C">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）负责组织、协调、实施本辖区危险化学品事故应急救援工作；</w:t>
      </w:r>
    </w:p>
    <w:p w14:paraId="4949F3E5">
      <w:pPr>
        <w:keepNext w:val="0"/>
        <w:keepLines w:val="0"/>
        <w:pageBreakBefore w:val="0"/>
        <w:widowControl w:val="0"/>
        <w:kinsoku/>
        <w:wordWrap/>
        <w:overflowPunct/>
        <w:topLinePunct w:val="0"/>
        <w:autoSpaceDE/>
        <w:autoSpaceDN w:val="0"/>
        <w:bidi w:val="0"/>
        <w:adjustRightInd/>
        <w:snapToGrid/>
        <w:spacing w:line="580" w:lineRule="exact"/>
        <w:ind w:firstLine="631"/>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）负责建立本辖区危险化学品事故应急救援管理工作机制，制定本辖区危险化学品事故应急救援预案；</w:t>
      </w:r>
    </w:p>
    <w:p w14:paraId="64421013">
      <w:pPr>
        <w:keepNext w:val="0"/>
        <w:keepLines w:val="0"/>
        <w:pageBreakBefore w:val="0"/>
        <w:widowControl w:val="0"/>
        <w:kinsoku/>
        <w:wordWrap/>
        <w:overflowPunct/>
        <w:topLinePunct w:val="0"/>
        <w:autoSpaceDE/>
        <w:autoSpaceDN w:val="0"/>
        <w:bidi w:val="0"/>
        <w:adjustRightInd/>
        <w:snapToGrid/>
        <w:spacing w:line="580" w:lineRule="exact"/>
        <w:ind w:firstLine="631"/>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）组织辖区内的危险化学品事故防范及应急物资储备工作；</w:t>
      </w:r>
    </w:p>
    <w:p w14:paraId="32942BB7">
      <w:pPr>
        <w:keepNext w:val="0"/>
        <w:keepLines w:val="0"/>
        <w:pageBreakBefore w:val="0"/>
        <w:widowControl w:val="0"/>
        <w:kinsoku/>
        <w:wordWrap/>
        <w:overflowPunct/>
        <w:topLinePunct w:val="0"/>
        <w:autoSpaceDE/>
        <w:autoSpaceDN w:val="0"/>
        <w:bidi w:val="0"/>
        <w:adjustRightInd/>
        <w:snapToGrid/>
        <w:spacing w:line="580" w:lineRule="exact"/>
        <w:ind w:firstLine="631"/>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参与</w:t>
      </w:r>
      <w:r>
        <w:rPr>
          <w:rFonts w:ascii="Times New Roman" w:hAnsi="Times New Roman" w:eastAsia="仿宋_GB2312" w:cs="Times New Roman"/>
          <w:color w:val="000000"/>
          <w:kern w:val="0"/>
          <w:sz w:val="32"/>
          <w:szCs w:val="32"/>
        </w:rPr>
        <w:t>、协调本辖区一般危险化学品事故的应急救援工</w:t>
      </w:r>
      <w:r>
        <w:rPr>
          <w:rFonts w:hint="eastAsia" w:ascii="Times New Roman" w:hAnsi="Times New Roman" w:eastAsia="仿宋_GB2312" w:cs="Times New Roman"/>
          <w:color w:val="000000"/>
          <w:kern w:val="0"/>
          <w:sz w:val="32"/>
          <w:szCs w:val="32"/>
          <w:lang w:val="en-US" w:eastAsia="zh-CN"/>
        </w:rPr>
        <w:t>作</w:t>
      </w:r>
      <w:r>
        <w:rPr>
          <w:rFonts w:hint="eastAsia" w:ascii="Times New Roman" w:hAnsi="Times New Roman" w:eastAsia="仿宋_GB2312" w:cs="Times New Roman"/>
          <w:color w:val="000000"/>
          <w:kern w:val="0"/>
          <w:sz w:val="32"/>
          <w:szCs w:val="32"/>
        </w:rPr>
        <w:t>；</w:t>
      </w:r>
    </w:p>
    <w:p w14:paraId="6EF6C99A">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参与较大、重大、特别重大危险化学品事故相关应急救援工作。</w:t>
      </w:r>
    </w:p>
    <w:p w14:paraId="69797EE2">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outlineLvl w:val="0"/>
        <w:rPr>
          <w:rFonts w:ascii="Times New Roman" w:hAnsi="Times New Roman" w:eastAsia="黑体" w:cs="Times New Roman"/>
          <w:color w:val="000000"/>
          <w:kern w:val="0"/>
          <w:sz w:val="32"/>
          <w:szCs w:val="32"/>
        </w:rPr>
      </w:pPr>
      <w:bookmarkStart w:id="11" w:name="_Toc31538"/>
      <w:r>
        <w:rPr>
          <w:rFonts w:hint="eastAsia" w:ascii="Times New Roman" w:hAnsi="Times New Roman" w:eastAsia="黑体" w:cs="Times New Roman"/>
          <w:color w:val="000000"/>
          <w:kern w:val="0"/>
          <w:sz w:val="32"/>
          <w:szCs w:val="32"/>
        </w:rPr>
        <w:t>三、</w:t>
      </w:r>
      <w:r>
        <w:rPr>
          <w:rFonts w:ascii="Times New Roman" w:hAnsi="Times New Roman" w:eastAsia="黑体" w:cs="Times New Roman"/>
          <w:color w:val="000000"/>
          <w:kern w:val="0"/>
          <w:sz w:val="32"/>
          <w:szCs w:val="32"/>
        </w:rPr>
        <w:t>预防、监测与预警</w:t>
      </w:r>
      <w:bookmarkEnd w:id="11"/>
    </w:p>
    <w:p w14:paraId="55A6601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2" w:name="_Toc14404"/>
      <w:r>
        <w:rPr>
          <w:rFonts w:hint="eastAsia" w:ascii="Times New Roman" w:hAnsi="Times New Roman" w:eastAsia="楷体_GB2312" w:cs="Times New Roman"/>
          <w:b/>
          <w:color w:val="000000"/>
          <w:kern w:val="0"/>
          <w:sz w:val="32"/>
          <w:szCs w:val="32"/>
        </w:rPr>
        <w:t>（一）</w:t>
      </w:r>
      <w:r>
        <w:rPr>
          <w:rFonts w:ascii="Times New Roman" w:hAnsi="Times New Roman" w:eastAsia="楷体_GB2312" w:cs="Times New Roman"/>
          <w:b/>
          <w:color w:val="000000"/>
          <w:kern w:val="0"/>
          <w:sz w:val="32"/>
          <w:szCs w:val="32"/>
        </w:rPr>
        <w:t>预防</w:t>
      </w:r>
      <w:bookmarkEnd w:id="12"/>
    </w:p>
    <w:p w14:paraId="5607B27C">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highlight w:val="none"/>
        </w:rPr>
        <w:t>推进危险化学品</w:t>
      </w:r>
      <w:r>
        <w:rPr>
          <w:rFonts w:hint="default" w:ascii="Times New Roman" w:hAnsi="Times New Roman" w:eastAsia="仿宋_GB2312" w:cs="Times New Roman"/>
          <w:color w:val="000000"/>
          <w:kern w:val="0"/>
          <w:sz w:val="32"/>
          <w:szCs w:val="32"/>
          <w:highlight w:val="none"/>
          <w:lang w:eastAsia="zh-CN"/>
        </w:rPr>
        <w:t>重点监管的危险化工工艺、重点监管的危险化学品和</w:t>
      </w:r>
      <w:r>
        <w:rPr>
          <w:rFonts w:hint="default" w:ascii="Times New Roman" w:hAnsi="Times New Roman" w:eastAsia="仿宋_GB2312" w:cs="Times New Roman"/>
          <w:color w:val="000000"/>
          <w:kern w:val="0"/>
          <w:sz w:val="32"/>
          <w:szCs w:val="32"/>
          <w:highlight w:val="none"/>
        </w:rPr>
        <w:t>重大危险源信息系统的完善工作，</w:t>
      </w:r>
      <w:r>
        <w:rPr>
          <w:rFonts w:ascii="Times New Roman" w:hAnsi="Times New Roman" w:eastAsia="仿宋_GB2312" w:cs="Times New Roman"/>
          <w:color w:val="000000"/>
          <w:kern w:val="0"/>
          <w:sz w:val="32"/>
          <w:szCs w:val="32"/>
        </w:rPr>
        <w:t>组织强化对本</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危险化学品重大危险源和危险化学品生产经营企业的监管。</w:t>
      </w:r>
    </w:p>
    <w:p w14:paraId="6CEE12E7">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组织对全</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危险化学品生产安全现状进行风险分析，督促企业落实重大安全隐患排查治理“五到位”。</w:t>
      </w:r>
    </w:p>
    <w:p w14:paraId="05F88B7D">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督促企业开展从业人员、安全管理人员和主要负责人的培训教育工作，增强员工安全意识，落实企业主体责任。</w:t>
      </w:r>
    </w:p>
    <w:p w14:paraId="79521E7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 xml:space="preserve">  4.</w:t>
      </w:r>
      <w:r>
        <w:rPr>
          <w:rFonts w:ascii="Times New Roman" w:hAnsi="Times New Roman" w:eastAsia="仿宋_GB2312" w:cs="Times New Roman"/>
          <w:color w:val="000000"/>
          <w:kern w:val="0"/>
          <w:sz w:val="32"/>
          <w:szCs w:val="32"/>
        </w:rPr>
        <w:t>推进危险化学品生产、经营、储存、使用单位安全标准化工作，提高企业安全管理水平。</w:t>
      </w:r>
    </w:p>
    <w:p w14:paraId="30D34717">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对广大市民进行有关危险化学品事故应急救援基本知识的普及教育。</w:t>
      </w:r>
    </w:p>
    <w:p w14:paraId="4C7EF81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3" w:name="_Toc32027"/>
      <w:r>
        <w:rPr>
          <w:rFonts w:hint="eastAsia" w:ascii="Times New Roman" w:hAnsi="Times New Roman" w:eastAsia="楷体_GB2312" w:cs="Times New Roman"/>
          <w:b/>
          <w:color w:val="000000"/>
          <w:kern w:val="0"/>
          <w:sz w:val="32"/>
          <w:szCs w:val="32"/>
        </w:rPr>
        <w:t>（二）</w:t>
      </w:r>
      <w:r>
        <w:rPr>
          <w:rFonts w:ascii="Times New Roman" w:hAnsi="Times New Roman" w:eastAsia="楷体_GB2312" w:cs="Times New Roman"/>
          <w:b/>
          <w:color w:val="000000"/>
          <w:kern w:val="0"/>
          <w:sz w:val="32"/>
          <w:szCs w:val="32"/>
        </w:rPr>
        <w:t>监测</w:t>
      </w:r>
      <w:bookmarkEnd w:id="13"/>
    </w:p>
    <w:p w14:paraId="69631B0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充分运用安徽省</w:t>
      </w:r>
      <w:r>
        <w:rPr>
          <w:rFonts w:ascii="Times New Roman" w:hAnsi="Times New Roman" w:eastAsia="仿宋_GB2312" w:cs="Times New Roman"/>
          <w:color w:val="000000"/>
          <w:kern w:val="0"/>
          <w:sz w:val="32"/>
          <w:szCs w:val="32"/>
        </w:rPr>
        <w:t>危险化学品</w:t>
      </w:r>
      <w:r>
        <w:rPr>
          <w:rFonts w:hint="eastAsia" w:ascii="Times New Roman" w:hAnsi="Times New Roman" w:eastAsia="仿宋_GB2312" w:cs="Times New Roman"/>
          <w:color w:val="000000"/>
          <w:kern w:val="0"/>
          <w:sz w:val="32"/>
          <w:szCs w:val="32"/>
        </w:rPr>
        <w:t>领域安全防控监测</w:t>
      </w:r>
      <w:r>
        <w:rPr>
          <w:rFonts w:ascii="Times New Roman" w:hAnsi="Times New Roman" w:eastAsia="仿宋_GB2312" w:cs="Times New Roman"/>
          <w:color w:val="000000"/>
          <w:kern w:val="0"/>
          <w:sz w:val="32"/>
          <w:szCs w:val="32"/>
        </w:rPr>
        <w:t>信息系统，督促企业结合自动检测、计算机仿真、计算机通信等现代高新技术，对重大危险源的安全状况进行实时监测监控，及时发现可能使重大危险源由安全状态向事故临界状态转化的各种参数变化趋势，给出预警信息或应急控制指令。</w:t>
      </w:r>
    </w:p>
    <w:p w14:paraId="444A86B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4" w:name="_Toc21220"/>
      <w:r>
        <w:rPr>
          <w:rFonts w:hint="eastAsia" w:ascii="Times New Roman" w:hAnsi="Times New Roman" w:eastAsia="楷体_GB2312" w:cs="Times New Roman"/>
          <w:b/>
          <w:color w:val="000000"/>
          <w:kern w:val="0"/>
          <w:sz w:val="32"/>
          <w:szCs w:val="32"/>
        </w:rPr>
        <w:t>（三）</w:t>
      </w:r>
      <w:r>
        <w:rPr>
          <w:rFonts w:ascii="Times New Roman" w:hAnsi="Times New Roman" w:eastAsia="楷体_GB2312" w:cs="Times New Roman"/>
          <w:b/>
          <w:color w:val="000000"/>
          <w:kern w:val="0"/>
          <w:sz w:val="32"/>
          <w:szCs w:val="32"/>
        </w:rPr>
        <w:t>预警</w:t>
      </w:r>
      <w:bookmarkEnd w:id="14"/>
    </w:p>
    <w:p w14:paraId="6FC1569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确定预警级别</w:t>
      </w:r>
    </w:p>
    <w:p w14:paraId="45B3856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按照危险化学品事故紧急程度、发展态势和可能造成的危害，由高到低依次分为</w:t>
      </w:r>
      <w:r>
        <w:rPr>
          <w:rFonts w:ascii="Times New Roman" w:hAnsi="Times New Roman" w:eastAsia="宋体" w:cs="Times New Roman"/>
          <w:color w:val="000000"/>
          <w:kern w:val="0"/>
          <w:sz w:val="32"/>
          <w:szCs w:val="32"/>
        </w:rPr>
        <w:t>Ⅰ</w:t>
      </w:r>
      <w:r>
        <w:rPr>
          <w:rFonts w:ascii="Times New Roman" w:hAnsi="Times New Roman" w:eastAsia="仿宋_GB2312" w:cs="Times New Roman"/>
          <w:color w:val="000000"/>
          <w:kern w:val="0"/>
          <w:sz w:val="32"/>
          <w:szCs w:val="32"/>
        </w:rPr>
        <w:t>级、</w:t>
      </w:r>
      <w:r>
        <w:rPr>
          <w:rFonts w:ascii="Times New Roman" w:hAnsi="Times New Roman" w:eastAsia="宋体" w:cs="Times New Roman"/>
          <w:color w:val="000000"/>
          <w:kern w:val="0"/>
          <w:sz w:val="32"/>
          <w:szCs w:val="32"/>
        </w:rPr>
        <w:t>Ⅱ</w:t>
      </w:r>
      <w:r>
        <w:rPr>
          <w:rFonts w:ascii="Times New Roman" w:hAnsi="Times New Roman" w:eastAsia="仿宋_GB2312" w:cs="Times New Roman"/>
          <w:color w:val="000000"/>
          <w:kern w:val="0"/>
          <w:sz w:val="32"/>
          <w:szCs w:val="32"/>
        </w:rPr>
        <w:t>级、</w:t>
      </w:r>
      <w:r>
        <w:rPr>
          <w:rFonts w:ascii="Times New Roman" w:hAnsi="Times New Roman" w:eastAsia="宋体" w:cs="Times New Roman"/>
          <w:color w:val="000000"/>
          <w:kern w:val="0"/>
          <w:sz w:val="32"/>
          <w:szCs w:val="32"/>
        </w:rPr>
        <w:t>Ⅲ</w:t>
      </w:r>
      <w:r>
        <w:rPr>
          <w:rFonts w:ascii="Times New Roman" w:hAnsi="Times New Roman" w:eastAsia="仿宋_GB2312" w:cs="Times New Roman"/>
          <w:color w:val="000000"/>
          <w:kern w:val="0"/>
          <w:sz w:val="32"/>
          <w:szCs w:val="32"/>
        </w:rPr>
        <w:t>级和</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级，分别用红色、橙色、黄色、蓝色标示，</w:t>
      </w:r>
      <w:r>
        <w:rPr>
          <w:rFonts w:ascii="Times New Roman" w:hAnsi="Times New Roman" w:eastAsia="宋体" w:cs="Times New Roman"/>
          <w:color w:val="000000"/>
          <w:kern w:val="0"/>
          <w:sz w:val="32"/>
          <w:szCs w:val="32"/>
        </w:rPr>
        <w:t>Ⅰ</w:t>
      </w:r>
      <w:r>
        <w:rPr>
          <w:rFonts w:ascii="Times New Roman" w:hAnsi="Times New Roman" w:eastAsia="仿宋_GB2312" w:cs="Times New Roman"/>
          <w:color w:val="000000"/>
          <w:kern w:val="0"/>
          <w:sz w:val="32"/>
          <w:szCs w:val="32"/>
        </w:rPr>
        <w:t>级为最高级。</w:t>
      </w:r>
    </w:p>
    <w:p w14:paraId="18BA642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w:t>
      </w:r>
      <w:r>
        <w:rPr>
          <w:rFonts w:ascii="Times New Roman" w:hAnsi="Times New Roman" w:eastAsia="宋体" w:cs="Times New Roman"/>
          <w:color w:val="000000"/>
          <w:kern w:val="0"/>
          <w:sz w:val="32"/>
          <w:szCs w:val="32"/>
        </w:rPr>
        <w:t>Ⅰ</w:t>
      </w:r>
      <w:r>
        <w:rPr>
          <w:rFonts w:ascii="Times New Roman" w:hAnsi="Times New Roman" w:eastAsia="仿宋_GB2312" w:cs="Times New Roman"/>
          <w:color w:val="000000"/>
          <w:kern w:val="0"/>
          <w:sz w:val="32"/>
          <w:szCs w:val="32"/>
        </w:rPr>
        <w:t>级、</w:t>
      </w:r>
      <w:r>
        <w:rPr>
          <w:rFonts w:ascii="Times New Roman" w:hAnsi="Times New Roman" w:eastAsia="宋体" w:cs="Times New Roman"/>
          <w:color w:val="000000"/>
          <w:kern w:val="0"/>
          <w:sz w:val="32"/>
          <w:szCs w:val="32"/>
        </w:rPr>
        <w:t>Ⅱ</w:t>
      </w:r>
      <w:r>
        <w:rPr>
          <w:rFonts w:ascii="Times New Roman" w:hAnsi="Times New Roman" w:eastAsia="仿宋_GB2312" w:cs="Times New Roman"/>
          <w:color w:val="000000"/>
          <w:kern w:val="0"/>
          <w:sz w:val="32"/>
          <w:szCs w:val="32"/>
        </w:rPr>
        <w:t>级预警：二级以上预警信息级别按照国务院或国务院有关单位制定的具体划分标准执行。</w:t>
      </w:r>
    </w:p>
    <w:p w14:paraId="37751CA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w:t>
      </w:r>
      <w:r>
        <w:rPr>
          <w:rFonts w:ascii="Times New Roman" w:hAnsi="Times New Roman" w:eastAsia="宋体" w:cs="Times New Roman"/>
          <w:color w:val="000000"/>
          <w:kern w:val="0"/>
          <w:sz w:val="32"/>
          <w:szCs w:val="32"/>
        </w:rPr>
        <w:t>Ⅲ</w:t>
      </w:r>
      <w:r>
        <w:rPr>
          <w:rFonts w:ascii="Times New Roman" w:hAnsi="Times New Roman" w:eastAsia="仿宋_GB2312" w:cs="Times New Roman"/>
          <w:color w:val="000000"/>
          <w:kern w:val="0"/>
          <w:sz w:val="32"/>
          <w:szCs w:val="32"/>
        </w:rPr>
        <w:t>级预警：情况比较危急，有可能发生或引起较大事故的；或事故已经发生，有可能进一步扩大事故范围或引发次生、衍生事故，造成较大社会影响的；</w:t>
      </w:r>
      <w:r>
        <w:rPr>
          <w:rFonts w:hint="eastAsia" w:ascii="Times New Roman" w:hAnsi="Times New Roman" w:eastAsia="仿宋_GB2312" w:cs="Times New Roman"/>
          <w:color w:val="000000"/>
          <w:kern w:val="0"/>
          <w:sz w:val="32"/>
          <w:szCs w:val="32"/>
        </w:rPr>
        <w:t>市</w:t>
      </w:r>
      <w:r>
        <w:rPr>
          <w:rFonts w:ascii="Times New Roman" w:hAnsi="Times New Roman" w:eastAsia="仿宋_GB2312" w:cs="Times New Roman"/>
          <w:color w:val="000000"/>
          <w:kern w:val="0"/>
          <w:sz w:val="32"/>
          <w:szCs w:val="32"/>
        </w:rPr>
        <w:t>危险化学品事故应急指挥部认为需要发布</w:t>
      </w:r>
      <w:r>
        <w:rPr>
          <w:rFonts w:ascii="Times New Roman" w:hAnsi="Times New Roman" w:eastAsia="宋体" w:cs="Times New Roman"/>
          <w:color w:val="000000"/>
          <w:kern w:val="0"/>
          <w:sz w:val="32"/>
          <w:szCs w:val="32"/>
        </w:rPr>
        <w:t>Ⅲ</w:t>
      </w:r>
      <w:r>
        <w:rPr>
          <w:rFonts w:ascii="Times New Roman" w:hAnsi="Times New Roman" w:eastAsia="仿宋_GB2312" w:cs="Times New Roman"/>
          <w:color w:val="000000"/>
          <w:kern w:val="0"/>
          <w:sz w:val="32"/>
          <w:szCs w:val="32"/>
        </w:rPr>
        <w:t>级预警的其他情况。</w:t>
      </w:r>
    </w:p>
    <w:p w14:paraId="5CD4C12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级预警：</w:t>
      </w:r>
      <w:r>
        <w:rPr>
          <w:rFonts w:ascii="Times New Roman" w:hAnsi="Times New Roman" w:eastAsia="宋体" w:cs="Times New Roman"/>
          <w:color w:val="000000"/>
          <w:kern w:val="0"/>
          <w:sz w:val="32"/>
          <w:szCs w:val="32"/>
        </w:rPr>
        <w:t>Ⅲ</w:t>
      </w:r>
      <w:r>
        <w:rPr>
          <w:rFonts w:ascii="Times New Roman" w:hAnsi="Times New Roman" w:eastAsia="仿宋_GB2312" w:cs="Times New Roman"/>
          <w:color w:val="000000"/>
          <w:kern w:val="0"/>
          <w:sz w:val="32"/>
          <w:szCs w:val="32"/>
        </w:rPr>
        <w:t>级以下应发布预警的有关情况。</w:t>
      </w:r>
    </w:p>
    <w:p w14:paraId="102AC8F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预警发布和解除</w:t>
      </w:r>
    </w:p>
    <w:p w14:paraId="0FD29468">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级预警：由县政府负责发布和解除，并报</w:t>
      </w:r>
      <w:r>
        <w:rPr>
          <w:rFonts w:hint="eastAsia" w:ascii="Times New Roman" w:hAnsi="Times New Roman" w:eastAsia="仿宋_GB2312" w:cs="Times New Roman"/>
          <w:color w:val="000000"/>
          <w:kern w:val="0"/>
          <w:sz w:val="32"/>
          <w:szCs w:val="32"/>
        </w:rPr>
        <w:t>市危险化学品事故应急指挥部</w:t>
      </w:r>
      <w:r>
        <w:rPr>
          <w:rFonts w:ascii="Times New Roman" w:hAnsi="Times New Roman" w:eastAsia="仿宋_GB2312" w:cs="Times New Roman"/>
          <w:color w:val="000000"/>
          <w:kern w:val="0"/>
          <w:sz w:val="32"/>
          <w:szCs w:val="32"/>
        </w:rPr>
        <w:t>备案。</w:t>
      </w:r>
    </w:p>
    <w:p w14:paraId="7CFAED25">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w:t>
      </w:r>
      <w:r>
        <w:rPr>
          <w:rFonts w:ascii="Times New Roman" w:hAnsi="Times New Roman" w:eastAsia="宋体" w:cs="Times New Roman"/>
          <w:color w:val="000000"/>
          <w:kern w:val="0"/>
          <w:sz w:val="32"/>
          <w:szCs w:val="32"/>
        </w:rPr>
        <w:t>Ⅲ</w:t>
      </w:r>
      <w:r>
        <w:rPr>
          <w:rFonts w:ascii="Times New Roman" w:hAnsi="Times New Roman" w:eastAsia="仿宋_GB2312" w:cs="Times New Roman"/>
          <w:color w:val="000000"/>
          <w:kern w:val="0"/>
          <w:sz w:val="32"/>
          <w:szCs w:val="32"/>
        </w:rPr>
        <w:t>级预警：根据市政府授权，由市危险化学品事故应急指挥部发布</w:t>
      </w:r>
      <w:r>
        <w:rPr>
          <w:rFonts w:hint="eastAsia" w:ascii="Times New Roman" w:hAnsi="Times New Roman" w:eastAsia="仿宋_GB2312" w:cs="Times New Roman"/>
          <w:color w:val="000000"/>
          <w:kern w:val="0"/>
          <w:sz w:val="32"/>
          <w:szCs w:val="32"/>
        </w:rPr>
        <w:t>和解除；对于涉及面广、敏感复杂或处置不当后果严重的危险化学品较大事故或危险化学品重大涉险事故，报由省危化应急指挥部办公室决定发布和解除</w:t>
      </w:r>
      <w:r>
        <w:rPr>
          <w:rFonts w:ascii="Times New Roman" w:hAnsi="Times New Roman" w:eastAsia="宋体" w:cs="Times New Roman"/>
          <w:color w:val="000000"/>
          <w:kern w:val="0"/>
          <w:sz w:val="32"/>
          <w:szCs w:val="32"/>
        </w:rPr>
        <w:t>Ⅲ</w:t>
      </w:r>
      <w:r>
        <w:rPr>
          <w:rFonts w:ascii="Times New Roman" w:hAnsi="Times New Roman" w:eastAsia="仿宋_GB2312" w:cs="Times New Roman"/>
          <w:color w:val="000000"/>
          <w:kern w:val="0"/>
          <w:sz w:val="32"/>
          <w:szCs w:val="32"/>
        </w:rPr>
        <w:t>级预警</w:t>
      </w:r>
      <w:r>
        <w:rPr>
          <w:rFonts w:hint="eastAsia" w:ascii="Times New Roman" w:hAnsi="Times New Roman" w:eastAsia="仿宋_GB2312" w:cs="Times New Roman"/>
          <w:color w:val="000000"/>
          <w:kern w:val="0"/>
          <w:sz w:val="32"/>
          <w:szCs w:val="32"/>
        </w:rPr>
        <w:t>。</w:t>
      </w:r>
    </w:p>
    <w:p w14:paraId="3B267983">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w:t>
      </w:r>
      <w:r>
        <w:rPr>
          <w:rFonts w:ascii="Times New Roman" w:hAnsi="Times New Roman" w:eastAsia="宋体" w:cs="Times New Roman"/>
          <w:color w:val="000000"/>
          <w:kern w:val="0"/>
          <w:sz w:val="32"/>
          <w:szCs w:val="32"/>
        </w:rPr>
        <w:t>Ⅱ</w:t>
      </w:r>
      <w:r>
        <w:rPr>
          <w:rFonts w:ascii="Times New Roman" w:hAnsi="Times New Roman" w:eastAsia="仿宋_GB2312" w:cs="Times New Roman"/>
          <w:color w:val="000000"/>
          <w:kern w:val="0"/>
          <w:sz w:val="32"/>
          <w:szCs w:val="32"/>
        </w:rPr>
        <w:t>级及以上预警：由省政府应急办根据省人民政府授权负责发布。</w:t>
      </w:r>
    </w:p>
    <w:p w14:paraId="08456AD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根据事态发展和专家组的预警建议，应适时调整预警级别并重新发布。</w:t>
      </w:r>
    </w:p>
    <w:p w14:paraId="50FEA5C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预警内容</w:t>
      </w:r>
    </w:p>
    <w:p w14:paraId="0080F90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预警信息应当包括发布机关、发布时间、可能发生的危险化学品事故类别、起始时间、可能影响范围、预警级别、警示事项、事态发展、相关措施、咨询电话等。</w:t>
      </w:r>
    </w:p>
    <w:p w14:paraId="3794826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预警方式</w:t>
      </w:r>
    </w:p>
    <w:p w14:paraId="1F46EB0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预警信息主要通过</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突发事件预警信息发布系统（</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预警信息发布中心）站发布，同时充分利用各种有效通讯手段和传播媒介，如网站、广播、电视、报刊、互联网、手机短信、电子显示屏、有线电视、宣传车或组织人员通知等。</w:t>
      </w:r>
    </w:p>
    <w:p w14:paraId="6A789E4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 xml:space="preserve">  5.</w:t>
      </w:r>
      <w:r>
        <w:rPr>
          <w:rFonts w:ascii="Times New Roman" w:hAnsi="Times New Roman" w:eastAsia="仿宋_GB2312" w:cs="Times New Roman"/>
          <w:color w:val="000000"/>
          <w:kern w:val="0"/>
          <w:sz w:val="32"/>
          <w:szCs w:val="32"/>
        </w:rPr>
        <w:t>预警措施</w:t>
      </w:r>
    </w:p>
    <w:p w14:paraId="1885848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发布Ⅳ级以上预警后，</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危险化学品事故应急指挥部应做好应急救援准备，并组织现场督导组赶赴现场督导。根据实际情况，做好以下预警响应：</w:t>
      </w:r>
    </w:p>
    <w:p w14:paraId="7380B678">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事故未发生时，负有信息报告职责的人员及时收集、报告有关信息，加强事态发展情况的监测、预报和预警工作；组织专业技术人员、有关专家对事态进行分析评估，预测发生事故可能性大小、影响范围和强度，并通知可能发生地</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政府（</w:t>
      </w:r>
      <w:r>
        <w:rPr>
          <w:rFonts w:hint="eastAsia" w:ascii="Times New Roman" w:hAnsi="Times New Roman" w:eastAsia="仿宋_GB2312" w:cs="Times New Roman"/>
          <w:color w:val="000000"/>
          <w:kern w:val="0"/>
          <w:sz w:val="32"/>
          <w:szCs w:val="32"/>
        </w:rPr>
        <w:t>园区</w:t>
      </w:r>
      <w:r>
        <w:rPr>
          <w:rFonts w:hint="eastAsia" w:ascii="Times New Roman" w:hAnsi="Times New Roman" w:eastAsia="仿宋_GB2312" w:cs="Times New Roman"/>
          <w:color w:val="000000"/>
          <w:kern w:val="0"/>
          <w:sz w:val="32"/>
          <w:szCs w:val="32"/>
          <w:lang w:eastAsia="zh-CN"/>
        </w:rPr>
        <w:t>管委会</w:t>
      </w:r>
      <w:r>
        <w:rPr>
          <w:rFonts w:ascii="Times New Roman" w:hAnsi="Times New Roman" w:eastAsia="仿宋_GB2312" w:cs="Times New Roman"/>
          <w:color w:val="000000"/>
          <w:kern w:val="0"/>
          <w:sz w:val="32"/>
          <w:szCs w:val="32"/>
        </w:rPr>
        <w:t>）做好事故应急救援准备。</w:t>
      </w:r>
    </w:p>
    <w:p w14:paraId="61397F2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（2）事故已经发生，但不需要启动</w:t>
      </w:r>
      <w:r>
        <w:rPr>
          <w:rFonts w:hint="eastAsia" w:ascii="Times New Roman" w:hAnsi="Times New Roman" w:eastAsia="仿宋_GB2312" w:cs="Times New Roman"/>
          <w:color w:val="000000"/>
          <w:kern w:val="0"/>
          <w:sz w:val="32"/>
          <w:szCs w:val="32"/>
          <w:lang w:val="en-US" w:eastAsia="zh-CN"/>
        </w:rPr>
        <w:t>县</w:t>
      </w:r>
      <w:r>
        <w:rPr>
          <w:rFonts w:ascii="Times New Roman" w:hAnsi="Times New Roman" w:eastAsia="仿宋_GB2312" w:cs="Times New Roman"/>
          <w:color w:val="000000"/>
          <w:kern w:val="0"/>
          <w:sz w:val="32"/>
          <w:szCs w:val="32"/>
        </w:rPr>
        <w:t>级应急救援时，由现场督导组对现场进行督导，并做好事故扩大、升级后需开展</w:t>
      </w:r>
      <w:r>
        <w:rPr>
          <w:rFonts w:hint="eastAsia" w:ascii="Times New Roman" w:hAnsi="Times New Roman" w:eastAsia="仿宋_GB2312" w:cs="Times New Roman"/>
          <w:color w:val="000000"/>
          <w:kern w:val="0"/>
          <w:sz w:val="32"/>
          <w:szCs w:val="32"/>
          <w:lang w:val="en-US" w:eastAsia="zh-CN"/>
        </w:rPr>
        <w:t>县</w:t>
      </w:r>
      <w:r>
        <w:rPr>
          <w:rFonts w:ascii="Times New Roman" w:hAnsi="Times New Roman" w:eastAsia="仿宋_GB2312" w:cs="Times New Roman"/>
          <w:color w:val="000000"/>
          <w:kern w:val="0"/>
          <w:sz w:val="32"/>
          <w:szCs w:val="32"/>
        </w:rPr>
        <w:t>级事故应急救援的准备。</w:t>
      </w:r>
    </w:p>
    <w:p w14:paraId="475A457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（3）事故升至需要启动</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级事故应急救援时，现场督导组并入现场指挥部，按</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级应急响应程序组织现场救援。</w:t>
      </w:r>
    </w:p>
    <w:p w14:paraId="6DABC4B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w:t>
      </w:r>
      <w:bookmarkStart w:id="15" w:name="_Toc23375"/>
      <w:r>
        <w:rPr>
          <w:rFonts w:hint="eastAsia" w:ascii="Times New Roman" w:hAnsi="Times New Roman" w:eastAsia="黑体" w:cs="Times New Roman"/>
          <w:color w:val="000000"/>
          <w:kern w:val="0"/>
          <w:sz w:val="32"/>
          <w:szCs w:val="32"/>
        </w:rPr>
        <w:t>四、</w:t>
      </w:r>
      <w:r>
        <w:rPr>
          <w:rFonts w:ascii="Times New Roman" w:hAnsi="Times New Roman" w:eastAsia="黑体" w:cs="Times New Roman"/>
          <w:color w:val="000000"/>
          <w:kern w:val="0"/>
          <w:sz w:val="32"/>
          <w:szCs w:val="32"/>
        </w:rPr>
        <w:t>应急处置与救援</w:t>
      </w:r>
      <w:bookmarkEnd w:id="15"/>
    </w:p>
    <w:p w14:paraId="1E570F08">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6" w:name="_Toc170"/>
      <w:r>
        <w:rPr>
          <w:rFonts w:ascii="Times New Roman" w:hAnsi="Times New Roman" w:eastAsia="楷体_GB2312" w:cs="Times New Roman"/>
          <w:b/>
          <w:color w:val="000000"/>
          <w:kern w:val="0"/>
          <w:sz w:val="32"/>
          <w:szCs w:val="32"/>
        </w:rPr>
        <w:t>（</w:t>
      </w:r>
      <w:r>
        <w:rPr>
          <w:rFonts w:hint="eastAsia" w:ascii="Times New Roman" w:hAnsi="Times New Roman" w:eastAsia="楷体_GB2312" w:cs="Times New Roman"/>
          <w:b/>
          <w:color w:val="000000"/>
          <w:kern w:val="0"/>
          <w:sz w:val="32"/>
          <w:szCs w:val="32"/>
        </w:rPr>
        <w:t>一</w:t>
      </w:r>
      <w:r>
        <w:rPr>
          <w:rFonts w:ascii="Times New Roman" w:hAnsi="Times New Roman" w:eastAsia="楷体_GB2312" w:cs="Times New Roman"/>
          <w:b/>
          <w:color w:val="000000"/>
          <w:kern w:val="0"/>
          <w:sz w:val="32"/>
          <w:szCs w:val="32"/>
        </w:rPr>
        <w:t>）信息报告和共享</w:t>
      </w:r>
      <w:bookmarkEnd w:id="16"/>
    </w:p>
    <w:p w14:paraId="1DD3FBE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信息收集</w:t>
      </w:r>
    </w:p>
    <w:p w14:paraId="67AB837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危险化学品事故应急指挥部办公室在日常工作中加强有关信息的管理，在事故发生前后获取有效的应急处置信息，主要关注以下几个方面信息：</w:t>
      </w:r>
    </w:p>
    <w:p w14:paraId="5153943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（1）全</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危险化学品企业分布以及周边环境情况；</w:t>
      </w:r>
    </w:p>
    <w:p w14:paraId="6C682EA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　　（2）危险化学品重大危险源有关信息</w:t>
      </w:r>
      <w:r>
        <w:rPr>
          <w:rFonts w:hint="eastAsia" w:ascii="Times New Roman" w:hAnsi="Times New Roman" w:eastAsia="仿宋_GB2312" w:cs="Times New Roman"/>
          <w:color w:val="000000"/>
          <w:kern w:val="0"/>
          <w:sz w:val="32"/>
          <w:szCs w:val="32"/>
          <w:lang w:eastAsia="zh-CN"/>
        </w:rPr>
        <w:t>；</w:t>
      </w:r>
    </w:p>
    <w:p w14:paraId="213C8F9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（3）有毒有害、易燃易爆危险化学品事故处置技术措施；</w:t>
      </w:r>
    </w:p>
    <w:p w14:paraId="2CF8887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（4）有关危险化学品运输信息；</w:t>
      </w:r>
    </w:p>
    <w:p w14:paraId="158E7B7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（5）人员避难场所及避难生活用品信息；</w:t>
      </w:r>
    </w:p>
    <w:p w14:paraId="129D9518">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（6）应急救援器材装备信息；</w:t>
      </w:r>
    </w:p>
    <w:p w14:paraId="6B5F820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（7）应急救援队伍信息。</w:t>
      </w:r>
    </w:p>
    <w:p w14:paraId="5D9CC17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信息报告</w:t>
      </w:r>
    </w:p>
    <w:p w14:paraId="2196AF01">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发生危化品生产安全事故后，事故现场有关人员应当立即向本单位负责人报告；单位负责人接到报告后，应于1小时内向属地政府应急管理和负有安全生产监督管理职责的部门报告。情况紧急时，事故现场有关人员可直接上报。</w:t>
      </w:r>
    </w:p>
    <w:p w14:paraId="7DD13023">
      <w:pPr>
        <w:keepNext w:val="0"/>
        <w:keepLines w:val="0"/>
        <w:pageBreakBefore w:val="0"/>
        <w:widowControl w:val="0"/>
        <w:suppressAutoHyphens/>
        <w:kinsoku/>
        <w:wordWrap/>
        <w:overflowPunct/>
        <w:topLinePunct w:val="0"/>
        <w:autoSpaceDE/>
        <w:autoSpaceDN w:val="0"/>
        <w:bidi w:val="0"/>
        <w:adjustRightInd/>
        <w:snapToGrid/>
        <w:spacing w:line="580" w:lineRule="exact"/>
        <w:ind w:firstLine="632"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属地政府应急管理和负有安全生产监督管理职责的部门接到事故报告后立即上报，一般事故上报至市应急管理部门和负有安全生产监督管理职责的部门，较大及以上事故由市应急管理和负有安全生产监督管理职责的部门上报至省应急管理和负有安全生产监督管理职责的部门。上报事故情况同时应报告本级人民政府，每级上报时间不得超过2小时，必要时可越级上报。</w:t>
      </w:r>
    </w:p>
    <w:p w14:paraId="30DD7E9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 xml:space="preserve">  3.</w:t>
      </w:r>
      <w:r>
        <w:rPr>
          <w:rFonts w:ascii="Times New Roman" w:hAnsi="Times New Roman" w:eastAsia="仿宋_GB2312" w:cs="Times New Roman"/>
          <w:color w:val="000000"/>
          <w:kern w:val="0"/>
          <w:sz w:val="32"/>
          <w:szCs w:val="32"/>
        </w:rPr>
        <w:t>报告内容</w:t>
      </w:r>
    </w:p>
    <w:p w14:paraId="12F416D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（1）事故发生单位概况；</w:t>
      </w:r>
    </w:p>
    <w:p w14:paraId="483EB1E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（2）事故发生的时间、地点以及事故现场情况；</w:t>
      </w:r>
    </w:p>
    <w:p w14:paraId="55AD395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（3）事故的简要经过；</w:t>
      </w:r>
    </w:p>
    <w:p w14:paraId="73D23F5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（4）事故已经造成或可能造成的伤亡人数（包括下落不明的人数）和初步估计的直接经济损失；</w:t>
      </w:r>
    </w:p>
    <w:p w14:paraId="18B095D7">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（5）已经采取的措施；</w:t>
      </w:r>
    </w:p>
    <w:p w14:paraId="79184D1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（6）其他应当报告的情况。</w:t>
      </w:r>
    </w:p>
    <w:p w14:paraId="6A360DC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使用电话快报，应当包括下列内容：</w:t>
      </w:r>
    </w:p>
    <w:p w14:paraId="388937B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（1）事故发生单位的名称、地址、性质；</w:t>
      </w:r>
    </w:p>
    <w:p w14:paraId="22C9504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（2）事故发生的时间、地点；</w:t>
      </w:r>
    </w:p>
    <w:p w14:paraId="69DCB32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（3）事故已经造成或可能造成的伤亡人数（包括下落不明、涉险的人数）。</w:t>
      </w:r>
    </w:p>
    <w:p w14:paraId="65AB007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报告方式</w:t>
      </w:r>
    </w:p>
    <w:p w14:paraId="641EFE2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（1）书面报送：未建立应急值班信息系统的单位应采用书面报送。</w:t>
      </w:r>
    </w:p>
    <w:p w14:paraId="346A359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（2）电话口头报送：情况紧急时，可以采用电话口头报送方式，但应记录好已报送的内容。</w:t>
      </w:r>
    </w:p>
    <w:p w14:paraId="2AB943D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（3）手机信息、电子邮件等</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在紧急情况下，手机信息、电子邮件等可以作为辅助报送形式。接报单位要核实上报人的身份，做好完整记录。</w:t>
      </w:r>
    </w:p>
    <w:p w14:paraId="51CCB2D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7" w:name="_Toc242"/>
      <w:r>
        <w:rPr>
          <w:rFonts w:hint="eastAsia" w:ascii="Times New Roman" w:hAnsi="Times New Roman" w:eastAsia="楷体_GB2312" w:cs="Times New Roman"/>
          <w:b/>
          <w:color w:val="000000"/>
          <w:kern w:val="0"/>
          <w:sz w:val="32"/>
          <w:szCs w:val="32"/>
        </w:rPr>
        <w:t>（二）</w:t>
      </w:r>
      <w:r>
        <w:rPr>
          <w:rFonts w:ascii="Times New Roman" w:hAnsi="Times New Roman" w:eastAsia="楷体_GB2312" w:cs="Times New Roman"/>
          <w:b/>
          <w:color w:val="000000"/>
          <w:kern w:val="0"/>
          <w:sz w:val="32"/>
          <w:szCs w:val="32"/>
        </w:rPr>
        <w:t>先期处置</w:t>
      </w:r>
      <w:bookmarkEnd w:id="17"/>
    </w:p>
    <w:p w14:paraId="36501D4A">
      <w:pPr>
        <w:keepNext w:val="0"/>
        <w:keepLines w:val="0"/>
        <w:pageBreakBefore w:val="0"/>
        <w:widowControl w:val="0"/>
        <w:kinsoku/>
        <w:wordWrap/>
        <w:overflowPunct w:val="0"/>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事发单位、事发地应当立即启动应急救援响应程序，组织应急救援力量营救受伤害人员，搜寻、疏散、撤离、安置受到威胁的人员；控制、标明危险区域，封锁危险场所，采取其他防止危害扩大的必要措施；向事发地</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政府（</w:t>
      </w:r>
      <w:r>
        <w:rPr>
          <w:rFonts w:hint="eastAsia" w:ascii="Times New Roman" w:hAnsi="Times New Roman" w:eastAsia="仿宋_GB2312" w:cs="Times New Roman"/>
          <w:color w:val="000000"/>
          <w:kern w:val="0"/>
          <w:sz w:val="32"/>
          <w:szCs w:val="32"/>
        </w:rPr>
        <w:t>园区</w:t>
      </w:r>
      <w:r>
        <w:rPr>
          <w:rFonts w:hint="eastAsia" w:ascii="Times New Roman" w:hAnsi="Times New Roman" w:eastAsia="仿宋_GB2312" w:cs="Times New Roman"/>
          <w:color w:val="000000"/>
          <w:kern w:val="0"/>
          <w:sz w:val="32"/>
          <w:szCs w:val="32"/>
          <w:lang w:eastAsia="zh-CN"/>
        </w:rPr>
        <w:t>管委会</w:t>
      </w:r>
      <w:r>
        <w:rPr>
          <w:rFonts w:ascii="Times New Roman" w:hAnsi="Times New Roman" w:eastAsia="仿宋_GB2312" w:cs="Times New Roman"/>
          <w:color w:val="000000"/>
          <w:kern w:val="0"/>
          <w:sz w:val="32"/>
          <w:szCs w:val="32"/>
        </w:rPr>
        <w:t>）报告信息。</w:t>
      </w:r>
    </w:p>
    <w:p w14:paraId="2D460B16">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事发地</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政府（</w:t>
      </w:r>
      <w:r>
        <w:rPr>
          <w:rFonts w:hint="eastAsia" w:ascii="Times New Roman" w:hAnsi="Times New Roman" w:eastAsia="仿宋_GB2312" w:cs="Times New Roman"/>
          <w:color w:val="000000"/>
          <w:kern w:val="0"/>
          <w:sz w:val="32"/>
          <w:szCs w:val="32"/>
        </w:rPr>
        <w:t>园区</w:t>
      </w:r>
      <w:r>
        <w:rPr>
          <w:rFonts w:hint="eastAsia" w:ascii="Times New Roman" w:hAnsi="Times New Roman" w:eastAsia="仿宋_GB2312" w:cs="Times New Roman"/>
          <w:color w:val="000000"/>
          <w:kern w:val="0"/>
          <w:sz w:val="32"/>
          <w:szCs w:val="32"/>
          <w:lang w:eastAsia="zh-CN"/>
        </w:rPr>
        <w:t>管委会</w:t>
      </w:r>
      <w:r>
        <w:rPr>
          <w:rFonts w:ascii="Times New Roman" w:hAnsi="Times New Roman" w:eastAsia="仿宋_GB2312" w:cs="Times New Roman"/>
          <w:color w:val="000000"/>
          <w:kern w:val="0"/>
          <w:sz w:val="32"/>
          <w:szCs w:val="32"/>
        </w:rPr>
        <w:t>）应立即开展先期处置工作，以营救遇险人员为重点；采取必要措施，防止发生次生、衍生事故，避免造成更大的人员伤亡、财产损失。</w:t>
      </w:r>
    </w:p>
    <w:p w14:paraId="5257DC1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 xml:space="preserve">3. </w:t>
      </w:r>
      <w:r>
        <w:rPr>
          <w:rFonts w:ascii="Times New Roman" w:hAnsi="Times New Roman" w:eastAsia="仿宋_GB2312" w:cs="Times New Roman"/>
          <w:color w:val="000000"/>
          <w:kern w:val="0"/>
          <w:sz w:val="32"/>
          <w:szCs w:val="32"/>
        </w:rPr>
        <w:t>事发地村委会、居委会、其他企事业单位等组织应当按照当地政府的决定、命令，进行宣传动员，组织群众开展自救和互救，协助维护社会秩序。</w:t>
      </w:r>
    </w:p>
    <w:p w14:paraId="7CADF84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8" w:name="_Toc27265"/>
      <w:r>
        <w:rPr>
          <w:rFonts w:hint="eastAsia" w:ascii="Times New Roman" w:hAnsi="Times New Roman" w:eastAsia="楷体_GB2312" w:cs="Times New Roman"/>
          <w:b/>
          <w:color w:val="000000"/>
          <w:kern w:val="0"/>
          <w:sz w:val="32"/>
          <w:szCs w:val="32"/>
        </w:rPr>
        <w:t>（三）</w:t>
      </w:r>
      <w:r>
        <w:rPr>
          <w:rFonts w:ascii="Times New Roman" w:hAnsi="Times New Roman" w:eastAsia="楷体_GB2312" w:cs="Times New Roman"/>
          <w:b/>
          <w:color w:val="000000"/>
          <w:kern w:val="0"/>
          <w:sz w:val="32"/>
          <w:szCs w:val="32"/>
        </w:rPr>
        <w:t>应急响应</w:t>
      </w:r>
      <w:bookmarkEnd w:id="18"/>
    </w:p>
    <w:p w14:paraId="5FBEC2C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分级响应</w:t>
      </w:r>
    </w:p>
    <w:p w14:paraId="0DC9ACBF">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级（一般）危险化学品事故由县政府相关专项预案规定启动应急响应程序，组织和指挥辖区各方面力量进行应急救援和事故处置。</w:t>
      </w:r>
    </w:p>
    <w:p w14:paraId="691D670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ascii="Times New Roman" w:hAnsi="Times New Roman" w:eastAsia="宋体" w:cs="Times New Roman"/>
          <w:color w:val="000000"/>
          <w:kern w:val="0"/>
          <w:sz w:val="32"/>
          <w:szCs w:val="32"/>
        </w:rPr>
        <w:t>Ⅲ</w:t>
      </w:r>
      <w:r>
        <w:rPr>
          <w:rFonts w:ascii="Times New Roman" w:hAnsi="Times New Roman" w:eastAsia="仿宋_GB2312" w:cs="Times New Roman"/>
          <w:color w:val="000000"/>
          <w:kern w:val="0"/>
          <w:sz w:val="32"/>
          <w:szCs w:val="32"/>
        </w:rPr>
        <w:t>级（较大）、</w:t>
      </w:r>
      <w:r>
        <w:rPr>
          <w:rFonts w:ascii="Times New Roman" w:hAnsi="Times New Roman" w:eastAsia="宋体" w:cs="Times New Roman"/>
          <w:color w:val="000000"/>
          <w:kern w:val="0"/>
          <w:sz w:val="32"/>
          <w:szCs w:val="32"/>
        </w:rPr>
        <w:t>Ⅱ</w:t>
      </w:r>
      <w:r>
        <w:rPr>
          <w:rFonts w:ascii="Times New Roman" w:hAnsi="Times New Roman" w:eastAsia="仿宋_GB2312" w:cs="Times New Roman"/>
          <w:color w:val="000000"/>
          <w:kern w:val="0"/>
          <w:sz w:val="32"/>
          <w:szCs w:val="32"/>
        </w:rPr>
        <w:t>级（重大）和I级（特别重大）危险化学品事故由市危险化学品事故应急指挥部启动市级应急响应</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县政府相关专项预案</w:t>
      </w:r>
      <w:r>
        <w:rPr>
          <w:rFonts w:hint="eastAsia" w:ascii="Times New Roman" w:hAnsi="Times New Roman" w:eastAsia="仿宋_GB2312" w:cs="Times New Roman"/>
          <w:color w:val="000000"/>
          <w:kern w:val="0"/>
          <w:sz w:val="32"/>
          <w:szCs w:val="32"/>
        </w:rPr>
        <w:t>予以配合。</w:t>
      </w:r>
    </w:p>
    <w:p w14:paraId="2DA774F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启动条件</w:t>
      </w:r>
    </w:p>
    <w:p w14:paraId="44923D1D">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符合下列情况之一的，由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危险化学品事故应急指挥部决定启动应急响应：</w:t>
      </w:r>
    </w:p>
    <w:p w14:paraId="6C9E52E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（1）发</w:t>
      </w:r>
      <w:r>
        <w:rPr>
          <w:rFonts w:hint="eastAsia" w:ascii="Times New Roman" w:hAnsi="Times New Roman" w:eastAsia="仿宋_GB2312" w:cs="Times New Roman"/>
          <w:color w:val="000000"/>
          <w:kern w:val="0"/>
          <w:sz w:val="32"/>
          <w:szCs w:val="32"/>
        </w:rPr>
        <w:t>生</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级以上危险化学品事故的；</w:t>
      </w:r>
    </w:p>
    <w:p w14:paraId="7234740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（2）发生涉及跨</w:t>
      </w:r>
      <w:r>
        <w:rPr>
          <w:rFonts w:hint="eastAsia" w:ascii="Times New Roman" w:hAnsi="Times New Roman" w:eastAsia="仿宋_GB2312" w:cs="Times New Roman"/>
          <w:color w:val="000000"/>
          <w:kern w:val="0"/>
          <w:sz w:val="32"/>
          <w:szCs w:val="32"/>
        </w:rPr>
        <w:t>镇（园区）</w:t>
      </w:r>
      <w:r>
        <w:rPr>
          <w:rFonts w:ascii="Times New Roman" w:hAnsi="Times New Roman" w:eastAsia="仿宋_GB2312" w:cs="Times New Roman"/>
          <w:color w:val="000000"/>
          <w:kern w:val="0"/>
          <w:sz w:val="32"/>
          <w:szCs w:val="32"/>
        </w:rPr>
        <w:t>的</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级危险化学品事故的；</w:t>
      </w:r>
    </w:p>
    <w:p w14:paraId="4859CEF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（3）发生需要</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级应急力量进行增援的危险化学品事故的；</w:t>
      </w:r>
    </w:p>
    <w:p w14:paraId="608EC49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（4）危险化学品事故应急救援指挥部认为需要启动本级应急响应的。</w:t>
      </w:r>
    </w:p>
    <w:p w14:paraId="08BE1EF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基本响应</w:t>
      </w:r>
    </w:p>
    <w:p w14:paraId="43FEC15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危险化学品事故所在地</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）政府作为第一响应责任单位，应在事发后10分钟内启动本辖区</w:t>
      </w:r>
      <w:r>
        <w:rPr>
          <w:rFonts w:hint="eastAsia" w:ascii="Times New Roman" w:hAnsi="Times New Roman" w:eastAsia="仿宋_GB2312" w:cs="Times New Roman"/>
          <w:color w:val="000000"/>
          <w:kern w:val="0"/>
          <w:sz w:val="32"/>
          <w:szCs w:val="32"/>
        </w:rPr>
        <w:t>应急</w:t>
      </w:r>
      <w:r>
        <w:rPr>
          <w:rFonts w:ascii="Times New Roman" w:hAnsi="Times New Roman" w:eastAsia="仿宋_GB2312" w:cs="Times New Roman"/>
          <w:color w:val="000000"/>
          <w:kern w:val="0"/>
          <w:sz w:val="32"/>
          <w:szCs w:val="32"/>
        </w:rPr>
        <w:t>、公安、消防、卫生、环保为主体的先期处置机制。有关人员第一时间赶赴现场开展现场控制、人员疏散、警戒、人员救护等基础处置工作；第一响应责任单位应收集事故现场动态信息，对初步判断属于</w:t>
      </w:r>
      <w:r>
        <w:rPr>
          <w:rFonts w:hint="eastAsia" w:ascii="Times New Roman" w:hAnsi="Times New Roman" w:eastAsia="仿宋_GB2312" w:cs="Times New Roman"/>
          <w:color w:val="000000"/>
          <w:kern w:val="0"/>
          <w:sz w:val="32"/>
          <w:szCs w:val="32"/>
        </w:rPr>
        <w:t>一般</w:t>
      </w:r>
      <w:r>
        <w:rPr>
          <w:rFonts w:ascii="Times New Roman" w:hAnsi="Times New Roman" w:eastAsia="仿宋_GB2312" w:cs="Times New Roman"/>
          <w:color w:val="000000"/>
          <w:kern w:val="0"/>
          <w:sz w:val="32"/>
          <w:szCs w:val="32"/>
        </w:rPr>
        <w:t>以上级别的危险化学品事故，应立即报告</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危险化学品事故应急指挥部办公室。</w:t>
      </w:r>
    </w:p>
    <w:p w14:paraId="5E7EF85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危险化学品事故应急指挥部接报后立即通知指挥部领导并在30分钟内作出综合分析，按照分级响应权限通知相关单位，组织专业人员前往事发现场。经现场确认为</w:t>
      </w:r>
      <w:r>
        <w:rPr>
          <w:rFonts w:hint="eastAsia" w:ascii="Times New Roman" w:hAnsi="Times New Roman" w:eastAsia="仿宋_GB2312" w:cs="Times New Roman"/>
          <w:color w:val="000000"/>
          <w:kern w:val="0"/>
          <w:sz w:val="32"/>
          <w:szCs w:val="32"/>
        </w:rPr>
        <w:t>一般</w:t>
      </w:r>
      <w:r>
        <w:rPr>
          <w:rFonts w:ascii="Times New Roman" w:hAnsi="Times New Roman" w:eastAsia="仿宋_GB2312" w:cs="Times New Roman"/>
          <w:color w:val="000000"/>
          <w:kern w:val="0"/>
          <w:sz w:val="32"/>
          <w:szCs w:val="32"/>
        </w:rPr>
        <w:t>以上危险化学品事故的，在指定地点立即成立现场指挥部。</w:t>
      </w:r>
    </w:p>
    <w:p w14:paraId="67A4251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19" w:name="_Toc31821"/>
      <w:r>
        <w:rPr>
          <w:rFonts w:hint="eastAsia" w:ascii="Times New Roman" w:hAnsi="Times New Roman" w:eastAsia="楷体_GB2312" w:cs="Times New Roman"/>
          <w:b/>
          <w:color w:val="000000"/>
          <w:kern w:val="0"/>
          <w:sz w:val="32"/>
          <w:szCs w:val="32"/>
        </w:rPr>
        <w:t>（四）</w:t>
      </w:r>
      <w:r>
        <w:rPr>
          <w:rFonts w:ascii="Times New Roman" w:hAnsi="Times New Roman" w:eastAsia="楷体_GB2312" w:cs="Times New Roman"/>
          <w:b/>
          <w:color w:val="000000"/>
          <w:kern w:val="0"/>
          <w:sz w:val="32"/>
          <w:szCs w:val="32"/>
        </w:rPr>
        <w:t>指挥协调</w:t>
      </w:r>
      <w:bookmarkEnd w:id="19"/>
    </w:p>
    <w:p w14:paraId="58A7959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启动</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w:t>
      </w:r>
      <w:r>
        <w:rPr>
          <w:rFonts w:hint="eastAsia" w:ascii="Times New Roman" w:hAnsi="Times New Roman" w:eastAsia="仿宋_GB2312" w:cs="Times New Roman"/>
          <w:color w:val="000000"/>
          <w:kern w:val="0"/>
          <w:sz w:val="32"/>
          <w:szCs w:val="32"/>
        </w:rPr>
        <w:t>、</w:t>
      </w:r>
      <w:r>
        <w:rPr>
          <w:rFonts w:ascii="Times New Roman" w:hAnsi="Times New Roman" w:eastAsia="宋体" w:cs="Times New Roman"/>
          <w:color w:val="000000"/>
          <w:kern w:val="0"/>
          <w:sz w:val="32"/>
          <w:szCs w:val="32"/>
        </w:rPr>
        <w:t>Ⅲ</w:t>
      </w:r>
      <w:r>
        <w:rPr>
          <w:rFonts w:ascii="Times New Roman" w:hAnsi="Times New Roman" w:eastAsia="仿宋_GB2312" w:cs="Times New Roman"/>
          <w:color w:val="000000"/>
          <w:kern w:val="0"/>
          <w:sz w:val="32"/>
          <w:szCs w:val="32"/>
        </w:rPr>
        <w:t>级、</w:t>
      </w:r>
      <w:r>
        <w:rPr>
          <w:rFonts w:ascii="Times New Roman" w:hAnsi="Times New Roman" w:eastAsia="宋体" w:cs="Times New Roman"/>
          <w:color w:val="000000"/>
          <w:kern w:val="0"/>
          <w:sz w:val="32"/>
          <w:szCs w:val="32"/>
        </w:rPr>
        <w:t>Ⅱ</w:t>
      </w:r>
      <w:r>
        <w:rPr>
          <w:rFonts w:ascii="Times New Roman" w:hAnsi="Times New Roman" w:eastAsia="仿宋_GB2312" w:cs="Times New Roman"/>
          <w:color w:val="000000"/>
          <w:kern w:val="0"/>
          <w:sz w:val="32"/>
          <w:szCs w:val="32"/>
        </w:rPr>
        <w:t>级和I级应急响应时，</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危险化学品事故应急指挥部按照“统一指挥，属地为主，专业处置”的要求，组织开展应急处置工作。</w:t>
      </w:r>
    </w:p>
    <w:p w14:paraId="502D821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应急指挥部指挥协调的主要内容包括：</w:t>
      </w:r>
    </w:p>
    <w:p w14:paraId="4860AC4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提出现场应急行动原则要求；</w:t>
      </w:r>
    </w:p>
    <w:p w14:paraId="1E62E948">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派出有关专家和人员参与现场指挥部的应急指挥工作；</w:t>
      </w:r>
    </w:p>
    <w:p w14:paraId="3220C14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协调各级、各专业应急力量实施应急救援行动；</w:t>
      </w:r>
    </w:p>
    <w:p w14:paraId="4999226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协调开展受威胁的周边地区危险源的监控工作；</w:t>
      </w:r>
    </w:p>
    <w:p w14:paraId="7F52ACE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协调建立现场警戒区和交通管制区域，确定重点防护区域；</w:t>
      </w:r>
    </w:p>
    <w:p w14:paraId="35F8F61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6.</w:t>
      </w:r>
      <w:r>
        <w:rPr>
          <w:rFonts w:ascii="Times New Roman" w:hAnsi="Times New Roman" w:eastAsia="仿宋_GB2312" w:cs="Times New Roman"/>
          <w:color w:val="000000"/>
          <w:kern w:val="0"/>
          <w:sz w:val="32"/>
          <w:szCs w:val="32"/>
        </w:rPr>
        <w:t>根据现场评估，确定被转移、疏散群众返回时间；</w:t>
      </w:r>
    </w:p>
    <w:p w14:paraId="4CF8E1B7">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7.</w:t>
      </w:r>
      <w:r>
        <w:rPr>
          <w:rFonts w:ascii="Times New Roman" w:hAnsi="Times New Roman" w:eastAsia="仿宋_GB2312" w:cs="Times New Roman"/>
          <w:color w:val="000000"/>
          <w:kern w:val="0"/>
          <w:sz w:val="32"/>
          <w:szCs w:val="32"/>
        </w:rPr>
        <w:t>必要时请求武警</w:t>
      </w:r>
      <w:r>
        <w:rPr>
          <w:rFonts w:hint="eastAsia" w:ascii="Times New Roman" w:hAnsi="Times New Roman" w:eastAsia="仿宋_GB2312" w:cs="Times New Roman"/>
          <w:color w:val="000000"/>
          <w:kern w:val="0"/>
          <w:sz w:val="32"/>
          <w:szCs w:val="32"/>
        </w:rPr>
        <w:t>中</w:t>
      </w:r>
      <w:r>
        <w:rPr>
          <w:rFonts w:ascii="Times New Roman" w:hAnsi="Times New Roman" w:eastAsia="仿宋_GB2312" w:cs="Times New Roman"/>
          <w:color w:val="000000"/>
          <w:kern w:val="0"/>
          <w:sz w:val="32"/>
          <w:szCs w:val="32"/>
        </w:rPr>
        <w:t>队应急增援。</w:t>
      </w:r>
    </w:p>
    <w:p w14:paraId="48818D0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0" w:name="_Toc29294"/>
      <w:r>
        <w:rPr>
          <w:rFonts w:hint="eastAsia" w:ascii="Times New Roman" w:hAnsi="Times New Roman" w:eastAsia="楷体_GB2312" w:cs="Times New Roman"/>
          <w:b/>
          <w:color w:val="000000"/>
          <w:kern w:val="0"/>
          <w:sz w:val="32"/>
          <w:szCs w:val="32"/>
        </w:rPr>
        <w:t>（五）</w:t>
      </w:r>
      <w:r>
        <w:rPr>
          <w:rFonts w:ascii="Times New Roman" w:hAnsi="Times New Roman" w:eastAsia="楷体_GB2312" w:cs="Times New Roman"/>
          <w:b/>
          <w:color w:val="000000"/>
          <w:kern w:val="0"/>
          <w:sz w:val="32"/>
          <w:szCs w:val="32"/>
        </w:rPr>
        <w:t>现场指挥部与现场指挥长</w:t>
      </w:r>
      <w:bookmarkEnd w:id="20"/>
    </w:p>
    <w:p w14:paraId="222FD86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启动</w:t>
      </w:r>
      <w:r>
        <w:rPr>
          <w:rFonts w:ascii="Times New Roman" w:hAnsi="Times New Roman" w:eastAsia="宋体" w:cs="Times New Roman"/>
          <w:color w:val="000000"/>
          <w:kern w:val="0"/>
          <w:sz w:val="32"/>
          <w:szCs w:val="32"/>
        </w:rPr>
        <w:t>Ⅳ</w:t>
      </w:r>
      <w:r>
        <w:rPr>
          <w:rFonts w:ascii="Times New Roman" w:hAnsi="Times New Roman" w:eastAsia="仿宋_GB2312" w:cs="Times New Roman"/>
          <w:color w:val="000000"/>
          <w:kern w:val="0"/>
          <w:sz w:val="32"/>
          <w:szCs w:val="32"/>
        </w:rPr>
        <w:t>级以上应急响应时，</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应急指挥部牵头，组织有关部门（单位）成立现场指挥部。现场指挥部实行现场指挥长负责制。现场指挥长由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危险化学品事故应急指挥部执行总指挥兼任。</w:t>
      </w:r>
    </w:p>
    <w:p w14:paraId="36CEDFF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现场指挥长统一组织、指挥现场应急救援工作。现场指挥长有权决定现场处置方案，协调有关单位和部门的现场应急处置工作，指挥调度现场应急队伍和应急资源。</w:t>
      </w:r>
    </w:p>
    <w:p w14:paraId="71DCB308">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现场指挥部吸收涉事地政府和涉事单位负责人以及相关专家为成员，参加现场应急救援的队伍和人员在现场指挥部统一协调下进行应急救援和处置工作。与事故有关的部门和单位应当主动向现场指挥部提供与应急处置有关的信息资料，为实施应急处置工作提供各种便利条件。</w:t>
      </w:r>
    </w:p>
    <w:p w14:paraId="79004288">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根据现场情况设置有关应急处置小组。各应急处置小组在现场指挥部统一领导下，各尽其</w:t>
      </w:r>
      <w:r>
        <w:rPr>
          <w:rFonts w:hint="eastAsia" w:ascii="Times New Roman" w:hAnsi="Times New Roman" w:eastAsia="仿宋_GB2312" w:cs="Times New Roman"/>
          <w:color w:val="000000"/>
          <w:kern w:val="0"/>
          <w:sz w:val="32"/>
          <w:szCs w:val="32"/>
          <w:lang w:eastAsia="zh-CN"/>
        </w:rPr>
        <w:t>职</w:t>
      </w:r>
      <w:r>
        <w:rPr>
          <w:rFonts w:ascii="Times New Roman" w:hAnsi="Times New Roman" w:eastAsia="仿宋_GB2312" w:cs="Times New Roman"/>
          <w:color w:val="000000"/>
          <w:kern w:val="0"/>
          <w:sz w:val="32"/>
          <w:szCs w:val="32"/>
        </w:rPr>
        <w:t>完成现场各项应急处置工作。</w:t>
      </w:r>
    </w:p>
    <w:p w14:paraId="40A11258">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1" w:name="_Toc2221"/>
      <w:r>
        <w:rPr>
          <w:rFonts w:hint="eastAsia" w:ascii="Times New Roman" w:hAnsi="Times New Roman" w:eastAsia="楷体_GB2312" w:cs="Times New Roman"/>
          <w:b/>
          <w:color w:val="000000"/>
          <w:kern w:val="0"/>
          <w:sz w:val="32"/>
          <w:szCs w:val="32"/>
        </w:rPr>
        <w:t>（六）</w:t>
      </w:r>
      <w:r>
        <w:rPr>
          <w:rFonts w:ascii="Times New Roman" w:hAnsi="Times New Roman" w:eastAsia="楷体_GB2312" w:cs="Times New Roman"/>
          <w:b/>
          <w:color w:val="000000"/>
          <w:kern w:val="0"/>
          <w:sz w:val="32"/>
          <w:szCs w:val="32"/>
        </w:rPr>
        <w:t>处置措施</w:t>
      </w:r>
      <w:bookmarkEnd w:id="21"/>
    </w:p>
    <w:p w14:paraId="308B11C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事故情况比较复杂，各种危险化学品危险特性不同，理化性能存在差异。根据其毒害性、消防要求，个人防护条件、救援人员专业知识、应急器材、周边环境等不同情况，现场处置需专家组进行针对性指导，提出具体处置措施。</w:t>
      </w:r>
    </w:p>
    <w:p w14:paraId="608C900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现场处置注意事项包括：</w:t>
      </w:r>
    </w:p>
    <w:p w14:paraId="338C2FC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佩戴个人防护器具方面的注意事项；</w:t>
      </w:r>
    </w:p>
    <w:p w14:paraId="19B75E27">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使用抢险救援器材方面的注意事项；</w:t>
      </w:r>
    </w:p>
    <w:p w14:paraId="63F787E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采取救援对策或措施方面的注意事项；</w:t>
      </w:r>
    </w:p>
    <w:p w14:paraId="15AEF93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 xml:space="preserve">  4.</w:t>
      </w:r>
      <w:r>
        <w:rPr>
          <w:rFonts w:ascii="Times New Roman" w:hAnsi="Times New Roman" w:eastAsia="仿宋_GB2312" w:cs="Times New Roman"/>
          <w:color w:val="000000"/>
          <w:kern w:val="0"/>
          <w:sz w:val="32"/>
          <w:szCs w:val="32"/>
        </w:rPr>
        <w:t>现场自救和互救注意事项；</w:t>
      </w:r>
    </w:p>
    <w:p w14:paraId="597DF93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现场应急处置能力确认和人员安全防护等事项；</w:t>
      </w:r>
    </w:p>
    <w:p w14:paraId="63E9D910">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6.</w:t>
      </w:r>
      <w:r>
        <w:rPr>
          <w:rFonts w:ascii="Times New Roman" w:hAnsi="Times New Roman" w:eastAsia="仿宋_GB2312" w:cs="Times New Roman"/>
          <w:color w:val="000000"/>
          <w:kern w:val="0"/>
          <w:sz w:val="32"/>
          <w:szCs w:val="32"/>
        </w:rPr>
        <w:t>应急救援结束后的注意事项；</w:t>
      </w:r>
    </w:p>
    <w:p w14:paraId="111B164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7.</w:t>
      </w:r>
      <w:r>
        <w:rPr>
          <w:rFonts w:ascii="Times New Roman" w:hAnsi="Times New Roman" w:eastAsia="仿宋_GB2312" w:cs="Times New Roman"/>
          <w:color w:val="000000"/>
          <w:kern w:val="0"/>
          <w:sz w:val="32"/>
          <w:szCs w:val="32"/>
        </w:rPr>
        <w:t>其他需要特别警示的事项。</w:t>
      </w:r>
    </w:p>
    <w:p w14:paraId="678B784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2" w:name="_Toc10877"/>
      <w:r>
        <w:rPr>
          <w:rFonts w:hint="eastAsia" w:ascii="Times New Roman" w:hAnsi="Times New Roman" w:eastAsia="楷体_GB2312" w:cs="Times New Roman"/>
          <w:b/>
          <w:color w:val="000000"/>
          <w:kern w:val="0"/>
          <w:sz w:val="32"/>
          <w:szCs w:val="32"/>
        </w:rPr>
        <w:t>（七）</w:t>
      </w:r>
      <w:r>
        <w:rPr>
          <w:rFonts w:ascii="Times New Roman" w:hAnsi="Times New Roman" w:eastAsia="楷体_GB2312" w:cs="Times New Roman"/>
          <w:b/>
          <w:color w:val="000000"/>
          <w:kern w:val="0"/>
          <w:sz w:val="32"/>
          <w:szCs w:val="32"/>
        </w:rPr>
        <w:t>响应升级</w:t>
      </w:r>
      <w:bookmarkEnd w:id="22"/>
    </w:p>
    <w:p w14:paraId="6E5D9FA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因危险化学品事故次生或衍生其他突发事件，已经采取的应急措施不足以控制事态发展，需要其他专业应急指挥部参与应急处置的，</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危险化学品事故应急指挥部应及时报告市应急指挥部。如果波及周边城市或地区的，应以</w:t>
      </w:r>
      <w:r>
        <w:rPr>
          <w:rFonts w:hint="eastAsia" w:ascii="Times New Roman" w:hAnsi="Times New Roman" w:eastAsia="仿宋_GB2312" w:cs="Times New Roman"/>
          <w:color w:val="000000"/>
          <w:kern w:val="0"/>
          <w:sz w:val="32"/>
          <w:szCs w:val="32"/>
        </w:rPr>
        <w:t>市</w:t>
      </w:r>
      <w:r>
        <w:rPr>
          <w:rFonts w:ascii="Times New Roman" w:hAnsi="Times New Roman" w:eastAsia="仿宋_GB2312" w:cs="Times New Roman"/>
          <w:color w:val="000000"/>
          <w:kern w:val="0"/>
          <w:sz w:val="32"/>
          <w:szCs w:val="32"/>
        </w:rPr>
        <w:t>政府的名义，协调周边城市启动应急联动机制。</w:t>
      </w:r>
    </w:p>
    <w:p w14:paraId="6D1D8A1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当危险化学品事故造成的危害程度超出本</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自身控制能力，由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政府报请省</w:t>
      </w:r>
      <w:r>
        <w:rPr>
          <w:rFonts w:hint="eastAsia" w:ascii="Times New Roman" w:hAnsi="Times New Roman" w:eastAsia="仿宋_GB2312" w:cs="Times New Roman"/>
          <w:color w:val="000000"/>
          <w:kern w:val="0"/>
          <w:sz w:val="32"/>
          <w:szCs w:val="32"/>
        </w:rPr>
        <w:t>、市</w:t>
      </w:r>
      <w:r>
        <w:rPr>
          <w:rFonts w:ascii="Times New Roman" w:hAnsi="Times New Roman" w:eastAsia="仿宋_GB2312" w:cs="Times New Roman"/>
          <w:color w:val="000000"/>
          <w:kern w:val="0"/>
          <w:sz w:val="32"/>
          <w:szCs w:val="32"/>
        </w:rPr>
        <w:t>政府协调相关资源的支持。</w:t>
      </w:r>
    </w:p>
    <w:p w14:paraId="5D642CD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3" w:name="_Toc27668"/>
      <w:r>
        <w:rPr>
          <w:rFonts w:hint="eastAsia" w:ascii="Times New Roman" w:hAnsi="Times New Roman" w:eastAsia="楷体_GB2312" w:cs="Times New Roman"/>
          <w:b/>
          <w:color w:val="000000"/>
          <w:kern w:val="0"/>
          <w:sz w:val="32"/>
          <w:szCs w:val="32"/>
        </w:rPr>
        <w:t>（八）</w:t>
      </w:r>
      <w:r>
        <w:rPr>
          <w:rFonts w:ascii="Times New Roman" w:hAnsi="Times New Roman" w:eastAsia="楷体_GB2312" w:cs="Times New Roman"/>
          <w:b/>
          <w:color w:val="000000"/>
          <w:kern w:val="0"/>
          <w:sz w:val="32"/>
          <w:szCs w:val="32"/>
        </w:rPr>
        <w:t>社会动员</w:t>
      </w:r>
      <w:bookmarkEnd w:id="23"/>
    </w:p>
    <w:p w14:paraId="3963018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根据危险化学品事故的危险程度、影响范围、人员伤亡等情况和应对工作需要，县</w:t>
      </w:r>
      <w:r>
        <w:rPr>
          <w:rFonts w:hint="eastAsia" w:ascii="Times New Roman" w:hAnsi="Times New Roman" w:eastAsia="仿宋_GB2312" w:cs="Times New Roman"/>
          <w:color w:val="000000"/>
          <w:kern w:val="0"/>
          <w:sz w:val="32"/>
          <w:szCs w:val="32"/>
        </w:rPr>
        <w:t>、镇（园区）</w:t>
      </w:r>
      <w:r>
        <w:rPr>
          <w:rFonts w:ascii="Times New Roman" w:hAnsi="Times New Roman" w:eastAsia="仿宋_GB2312" w:cs="Times New Roman"/>
          <w:color w:val="000000"/>
          <w:kern w:val="0"/>
          <w:sz w:val="32"/>
          <w:szCs w:val="32"/>
        </w:rPr>
        <w:t>政府可发布社会动员令，动员有专业知识和技能的公民、具备应急救援资源的企事业单位、社会团体、基层群众自治组织和其他力量，协助政府及有关部门做好事故预防、自救互救、紧急救援、秩序维护、后勤保障、恢复重建等处置工作。</w:t>
      </w:r>
    </w:p>
    <w:p w14:paraId="1999D99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4" w:name="_Toc29736"/>
      <w:r>
        <w:rPr>
          <w:rFonts w:hint="eastAsia" w:ascii="Times New Roman" w:hAnsi="Times New Roman" w:eastAsia="楷体_GB2312" w:cs="Times New Roman"/>
          <w:b/>
          <w:color w:val="000000"/>
          <w:kern w:val="0"/>
          <w:sz w:val="32"/>
          <w:szCs w:val="32"/>
        </w:rPr>
        <w:t>（九）</w:t>
      </w:r>
      <w:r>
        <w:rPr>
          <w:rFonts w:ascii="Times New Roman" w:hAnsi="Times New Roman" w:eastAsia="楷体_GB2312" w:cs="Times New Roman"/>
          <w:b/>
          <w:color w:val="000000"/>
          <w:kern w:val="0"/>
          <w:sz w:val="32"/>
          <w:szCs w:val="32"/>
        </w:rPr>
        <w:t>信息发布</w:t>
      </w:r>
      <w:bookmarkEnd w:id="24"/>
    </w:p>
    <w:p w14:paraId="2B492E0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发生</w:t>
      </w:r>
      <w:r>
        <w:rPr>
          <w:rFonts w:hint="eastAsia" w:ascii="Times New Roman" w:hAnsi="Times New Roman" w:eastAsia="仿宋_GB2312" w:cs="Times New Roman"/>
          <w:color w:val="000000"/>
          <w:kern w:val="0"/>
          <w:sz w:val="32"/>
          <w:szCs w:val="32"/>
        </w:rPr>
        <w:t>一般</w:t>
      </w:r>
      <w:r>
        <w:rPr>
          <w:rFonts w:ascii="Times New Roman" w:hAnsi="Times New Roman" w:eastAsia="仿宋_GB2312" w:cs="Times New Roman"/>
          <w:color w:val="000000"/>
          <w:kern w:val="0"/>
          <w:sz w:val="32"/>
          <w:szCs w:val="32"/>
        </w:rPr>
        <w:t>以上生产安全事故，以及有可能影响公众生产生活的</w:t>
      </w:r>
      <w:r>
        <w:rPr>
          <w:rFonts w:hint="eastAsia" w:ascii="Times New Roman" w:hAnsi="Times New Roman" w:eastAsia="仿宋_GB2312" w:cs="Times New Roman"/>
          <w:color w:val="000000"/>
          <w:kern w:val="0"/>
          <w:sz w:val="32"/>
          <w:szCs w:val="32"/>
        </w:rPr>
        <w:t>危险化学品</w:t>
      </w:r>
      <w:r>
        <w:rPr>
          <w:rFonts w:ascii="Times New Roman" w:hAnsi="Times New Roman" w:eastAsia="仿宋_GB2312" w:cs="Times New Roman"/>
          <w:color w:val="000000"/>
          <w:kern w:val="0"/>
          <w:sz w:val="32"/>
          <w:szCs w:val="32"/>
        </w:rPr>
        <w:t>事件，</w:t>
      </w:r>
      <w:r>
        <w:rPr>
          <w:rFonts w:hint="eastAsia" w:ascii="Times New Roman" w:hAnsi="Times New Roman" w:eastAsia="仿宋_GB2312" w:cs="Times New Roman"/>
          <w:color w:val="000000"/>
          <w:kern w:val="0"/>
          <w:sz w:val="32"/>
          <w:szCs w:val="32"/>
          <w:highlight w:val="none"/>
        </w:rPr>
        <w:t>县</w:t>
      </w:r>
      <w:r>
        <w:rPr>
          <w:rFonts w:ascii="Times New Roman" w:hAnsi="Times New Roman" w:eastAsia="仿宋_GB2312" w:cs="Times New Roman"/>
          <w:color w:val="000000"/>
          <w:kern w:val="0"/>
          <w:sz w:val="32"/>
          <w:szCs w:val="32"/>
          <w:highlight w:val="none"/>
        </w:rPr>
        <w:t>政府新闻办</w:t>
      </w:r>
      <w:r>
        <w:rPr>
          <w:rFonts w:ascii="Times New Roman" w:hAnsi="Times New Roman" w:eastAsia="仿宋_GB2312" w:cs="Times New Roman"/>
          <w:color w:val="000000"/>
          <w:kern w:val="0"/>
          <w:sz w:val="32"/>
          <w:szCs w:val="32"/>
        </w:rPr>
        <w:t>负责协调和指导有关部门（单位），在启动应急响应2小时之内发布</w:t>
      </w:r>
      <w:r>
        <w:rPr>
          <w:rFonts w:hint="eastAsia" w:ascii="Times New Roman" w:hAnsi="Times New Roman" w:eastAsia="仿宋_GB2312" w:cs="Times New Roman"/>
          <w:color w:val="000000"/>
          <w:kern w:val="0"/>
          <w:sz w:val="32"/>
          <w:szCs w:val="32"/>
        </w:rPr>
        <w:t>危险化学品</w:t>
      </w:r>
      <w:r>
        <w:rPr>
          <w:rFonts w:ascii="Times New Roman" w:hAnsi="Times New Roman" w:eastAsia="仿宋_GB2312" w:cs="Times New Roman"/>
          <w:color w:val="000000"/>
          <w:kern w:val="0"/>
          <w:sz w:val="32"/>
          <w:szCs w:val="32"/>
        </w:rPr>
        <w:t>事件基本信息。随后发布初步核实情况、政府处置措施和公众防范措施等，并根据事件处置情况做好后续发布工作，直至发布应急结束信息。</w:t>
      </w:r>
    </w:p>
    <w:p w14:paraId="43B38CC9">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5" w:name="_Toc28562"/>
      <w:r>
        <w:rPr>
          <w:rFonts w:hint="eastAsia" w:ascii="Times New Roman" w:hAnsi="Times New Roman" w:eastAsia="楷体_GB2312" w:cs="Times New Roman"/>
          <w:b/>
          <w:color w:val="000000"/>
          <w:kern w:val="0"/>
          <w:sz w:val="32"/>
          <w:szCs w:val="32"/>
        </w:rPr>
        <w:t>（十）</w:t>
      </w:r>
      <w:r>
        <w:rPr>
          <w:rFonts w:ascii="Times New Roman" w:hAnsi="Times New Roman" w:eastAsia="楷体_GB2312" w:cs="Times New Roman"/>
          <w:b/>
          <w:color w:val="000000"/>
          <w:kern w:val="0"/>
          <w:sz w:val="32"/>
          <w:szCs w:val="32"/>
        </w:rPr>
        <w:t>应急结束</w:t>
      </w:r>
      <w:bookmarkEnd w:id="25"/>
    </w:p>
    <w:p w14:paraId="3F66FD7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危险化学品事故处置工作已基本完成，发生次生、衍生事故的隐患和事故危害基本消除，</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危险化学品事故应急指挥部根据各部门上报情况决定应急处置工作结束。应急处置结束后，</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危险化学品事故应急指挥部应将情况及时通知参与事故处置的各相关单位，并向市应急指挥部报告。</w:t>
      </w:r>
    </w:p>
    <w:p w14:paraId="41E6B1E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w:t>
      </w:r>
      <w:bookmarkStart w:id="26" w:name="_Toc5077"/>
      <w:r>
        <w:rPr>
          <w:rFonts w:hint="eastAsia" w:ascii="Times New Roman" w:hAnsi="Times New Roman" w:eastAsia="黑体" w:cs="Times New Roman"/>
          <w:color w:val="000000"/>
          <w:kern w:val="0"/>
          <w:sz w:val="32"/>
          <w:szCs w:val="32"/>
        </w:rPr>
        <w:t>五、</w:t>
      </w:r>
      <w:r>
        <w:rPr>
          <w:rFonts w:ascii="Times New Roman" w:hAnsi="Times New Roman" w:eastAsia="黑体" w:cs="Times New Roman"/>
          <w:color w:val="000000"/>
          <w:kern w:val="0"/>
          <w:sz w:val="32"/>
          <w:szCs w:val="32"/>
        </w:rPr>
        <w:t>后期处置</w:t>
      </w:r>
      <w:bookmarkEnd w:id="26"/>
    </w:p>
    <w:p w14:paraId="3F5BBBA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7" w:name="_Toc12094"/>
      <w:r>
        <w:rPr>
          <w:rFonts w:hint="eastAsia" w:ascii="Times New Roman" w:hAnsi="Times New Roman" w:eastAsia="楷体_GB2312" w:cs="Times New Roman"/>
          <w:b/>
          <w:color w:val="000000"/>
          <w:kern w:val="0"/>
          <w:sz w:val="32"/>
          <w:szCs w:val="32"/>
        </w:rPr>
        <w:t>（一）</w:t>
      </w:r>
      <w:r>
        <w:rPr>
          <w:rFonts w:ascii="Times New Roman" w:hAnsi="Times New Roman" w:eastAsia="楷体_GB2312" w:cs="Times New Roman"/>
          <w:b/>
          <w:color w:val="000000"/>
          <w:kern w:val="0"/>
          <w:sz w:val="32"/>
          <w:szCs w:val="32"/>
        </w:rPr>
        <w:t>善后处置</w:t>
      </w:r>
      <w:bookmarkEnd w:id="27"/>
    </w:p>
    <w:p w14:paraId="29A11F7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危险化学品事故事发地</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政府以及民政等部门具体负责各项善后处置工作，包括：人员安置与补偿、污染物收集、清理和处理等，要及时消除事故影响，妥善安置和慰问受害和受影响人员，尽快恢复正常秩序，保证社会稳定。</w:t>
      </w:r>
    </w:p>
    <w:p w14:paraId="359A7153">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r>
        <w:rPr>
          <w:rFonts w:hint="eastAsia" w:ascii="Times New Roman" w:hAnsi="Times New Roman" w:eastAsia="楷体_GB2312" w:cs="Times New Roman"/>
          <w:b/>
          <w:color w:val="000000"/>
          <w:kern w:val="0"/>
          <w:sz w:val="32"/>
          <w:szCs w:val="32"/>
        </w:rPr>
        <w:t xml:space="preserve">  </w:t>
      </w:r>
      <w:bookmarkStart w:id="28" w:name="_Toc8539"/>
      <w:r>
        <w:rPr>
          <w:rFonts w:hint="eastAsia" w:ascii="Times New Roman" w:hAnsi="Times New Roman" w:eastAsia="楷体_GB2312" w:cs="Times New Roman"/>
          <w:b/>
          <w:color w:val="000000"/>
          <w:kern w:val="0"/>
          <w:sz w:val="32"/>
          <w:szCs w:val="32"/>
        </w:rPr>
        <w:t>（二）</w:t>
      </w:r>
      <w:r>
        <w:rPr>
          <w:rFonts w:ascii="Times New Roman" w:hAnsi="Times New Roman" w:eastAsia="楷体_GB2312" w:cs="Times New Roman"/>
          <w:b/>
          <w:color w:val="000000"/>
          <w:kern w:val="0"/>
          <w:sz w:val="32"/>
          <w:szCs w:val="32"/>
        </w:rPr>
        <w:t>社会救助</w:t>
      </w:r>
      <w:bookmarkEnd w:id="28"/>
    </w:p>
    <w:p w14:paraId="6EC228D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危险化学品事故发生后，事发地</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政府（</w:t>
      </w:r>
      <w:r>
        <w:rPr>
          <w:rFonts w:hint="eastAsia" w:ascii="Times New Roman" w:hAnsi="Times New Roman" w:eastAsia="仿宋_GB2312" w:cs="Times New Roman"/>
          <w:color w:val="000000"/>
          <w:kern w:val="0"/>
          <w:sz w:val="32"/>
          <w:szCs w:val="32"/>
        </w:rPr>
        <w:t>园区</w:t>
      </w:r>
      <w:r>
        <w:rPr>
          <w:rFonts w:hint="eastAsia" w:ascii="Times New Roman" w:hAnsi="Times New Roman" w:eastAsia="仿宋_GB2312" w:cs="Times New Roman"/>
          <w:color w:val="000000"/>
          <w:kern w:val="0"/>
          <w:sz w:val="32"/>
          <w:szCs w:val="32"/>
          <w:lang w:eastAsia="zh-CN"/>
        </w:rPr>
        <w:t>管委会</w:t>
      </w:r>
      <w:r>
        <w:rPr>
          <w:rFonts w:ascii="Times New Roman" w:hAnsi="Times New Roman" w:eastAsia="仿宋_GB2312" w:cs="Times New Roman"/>
          <w:color w:val="000000"/>
          <w:kern w:val="0"/>
          <w:sz w:val="32"/>
          <w:szCs w:val="32"/>
        </w:rPr>
        <w:t>）以及民政等部门负责做好对困难家庭的救助工作，做好社会各界提供的救援物资及资金的接收、分配和使用等工作。</w:t>
      </w:r>
    </w:p>
    <w:p w14:paraId="0E8633B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29" w:name="_Toc10027"/>
      <w:r>
        <w:rPr>
          <w:rFonts w:hint="eastAsia" w:ascii="Times New Roman" w:hAnsi="Times New Roman" w:eastAsia="楷体_GB2312" w:cs="Times New Roman"/>
          <w:b/>
          <w:color w:val="000000"/>
          <w:kern w:val="0"/>
          <w:sz w:val="32"/>
          <w:szCs w:val="32"/>
        </w:rPr>
        <w:t>（三）</w:t>
      </w:r>
      <w:r>
        <w:rPr>
          <w:rFonts w:ascii="Times New Roman" w:hAnsi="Times New Roman" w:eastAsia="楷体_GB2312" w:cs="Times New Roman"/>
          <w:b/>
          <w:color w:val="000000"/>
          <w:kern w:val="0"/>
          <w:sz w:val="32"/>
          <w:szCs w:val="32"/>
        </w:rPr>
        <w:t>保险</w:t>
      </w:r>
      <w:bookmarkEnd w:id="29"/>
    </w:p>
    <w:p w14:paraId="1BFA2C2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危险化学品事故发生后，保险机构要及时开展应急救援人员保险受理和受灾人员保险理赔工作。相关机构要督促有关承保单位快速勘察并及时理赔。</w:t>
      </w:r>
    </w:p>
    <w:p w14:paraId="7DD39776">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30" w:name="_Toc17847"/>
      <w:r>
        <w:rPr>
          <w:rFonts w:hint="eastAsia" w:ascii="Times New Roman" w:hAnsi="Times New Roman" w:eastAsia="楷体_GB2312" w:cs="Times New Roman"/>
          <w:b/>
          <w:color w:val="000000"/>
          <w:kern w:val="0"/>
          <w:sz w:val="32"/>
          <w:szCs w:val="32"/>
        </w:rPr>
        <w:t>（四）</w:t>
      </w:r>
      <w:r>
        <w:rPr>
          <w:rFonts w:ascii="Times New Roman" w:hAnsi="Times New Roman" w:eastAsia="楷体_GB2312" w:cs="Times New Roman"/>
          <w:b/>
          <w:color w:val="000000"/>
          <w:kern w:val="0"/>
          <w:sz w:val="32"/>
          <w:szCs w:val="32"/>
        </w:rPr>
        <w:t>调查评估</w:t>
      </w:r>
      <w:bookmarkEnd w:id="30"/>
    </w:p>
    <w:p w14:paraId="748D920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特别重大、重大危险化学品生产安全事故，按照国家有关规定由国务院、省人民政府组成调查组进行调查。</w:t>
      </w:r>
    </w:p>
    <w:p w14:paraId="3CEDBE24">
      <w:pPr>
        <w:keepNext w:val="0"/>
        <w:keepLines w:val="0"/>
        <w:pageBreakBefore w:val="0"/>
        <w:widowControl w:val="0"/>
        <w:kinsoku/>
        <w:wordWrap/>
        <w:overflowPunct/>
        <w:topLinePunct w:val="0"/>
        <w:autoSpaceDE/>
        <w:autoSpaceDN w:val="0"/>
        <w:bidi w:val="0"/>
        <w:adjustRightInd/>
        <w:snapToGrid/>
        <w:spacing w:line="580" w:lineRule="exact"/>
        <w:ind w:firstLine="631"/>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较大危险化学品生产安全事故，由市人民政府组成调查组进行调查。</w:t>
      </w:r>
    </w:p>
    <w:p w14:paraId="13A7C742">
      <w:pPr>
        <w:keepNext w:val="0"/>
        <w:keepLines w:val="0"/>
        <w:pageBreakBefore w:val="0"/>
        <w:widowControl w:val="0"/>
        <w:kinsoku/>
        <w:wordWrap/>
        <w:overflowPunct/>
        <w:topLinePunct w:val="0"/>
        <w:autoSpaceDE/>
        <w:autoSpaceDN w:val="0"/>
        <w:bidi w:val="0"/>
        <w:adjustRightInd/>
        <w:snapToGrid/>
        <w:spacing w:line="580" w:lineRule="exact"/>
        <w:ind w:firstLine="631"/>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一般</w:t>
      </w:r>
      <w:r>
        <w:rPr>
          <w:rFonts w:ascii="Times New Roman" w:hAnsi="Times New Roman" w:eastAsia="仿宋_GB2312" w:cs="Times New Roman"/>
          <w:color w:val="000000"/>
          <w:kern w:val="0"/>
          <w:sz w:val="32"/>
          <w:szCs w:val="32"/>
        </w:rPr>
        <w:t>危险化学品生产安全事故，由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人民政府组成调查组进行调查。</w:t>
      </w:r>
    </w:p>
    <w:p w14:paraId="510B0F00">
      <w:pPr>
        <w:keepNext w:val="0"/>
        <w:keepLines w:val="0"/>
        <w:pageBreakBefore w:val="0"/>
        <w:kinsoku/>
        <w:wordWrap/>
        <w:overflowPunct/>
        <w:topLinePunct w:val="0"/>
        <w:autoSpaceDE/>
        <w:autoSpaceDN/>
        <w:bidi w:val="0"/>
        <w:spacing w:line="560" w:lineRule="exact"/>
        <w:ind w:firstLine="632"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危险化学品事故处置工作结束后，</w:t>
      </w:r>
      <w:r>
        <w:rPr>
          <w:rFonts w:hint="eastAsia" w:ascii="Times New Roman" w:hAnsi="Times New Roman" w:eastAsia="仿宋_GB2312" w:cs="Times New Roman"/>
          <w:color w:val="000000"/>
          <w:kern w:val="0"/>
          <w:sz w:val="32"/>
          <w:szCs w:val="32"/>
          <w:highlight w:val="none"/>
          <w:lang w:val="en-US" w:eastAsia="zh-CN"/>
        </w:rPr>
        <w:t>县</w:t>
      </w:r>
      <w:r>
        <w:rPr>
          <w:rFonts w:hint="default" w:ascii="Times New Roman" w:hAnsi="Times New Roman" w:eastAsia="仿宋_GB2312" w:cs="Times New Roman"/>
          <w:color w:val="000000"/>
          <w:kern w:val="0"/>
          <w:sz w:val="32"/>
          <w:szCs w:val="32"/>
          <w:highlight w:val="none"/>
        </w:rPr>
        <w:t>应急指挥部会同事发地</w:t>
      </w:r>
      <w:r>
        <w:rPr>
          <w:rFonts w:hint="eastAsia" w:ascii="Times New Roman" w:hAnsi="Times New Roman" w:eastAsia="仿宋_GB2312" w:cs="Times New Roman"/>
          <w:color w:val="000000"/>
          <w:kern w:val="0"/>
          <w:sz w:val="32"/>
          <w:szCs w:val="32"/>
          <w:highlight w:val="none"/>
          <w:lang w:val="en-US" w:eastAsia="zh-CN"/>
        </w:rPr>
        <w:t>镇</w:t>
      </w:r>
      <w:r>
        <w:rPr>
          <w:rFonts w:hint="default" w:ascii="Times New Roman" w:hAnsi="Times New Roman" w:eastAsia="仿宋_GB2312" w:cs="Times New Roman"/>
          <w:color w:val="000000"/>
          <w:kern w:val="0"/>
          <w:sz w:val="32"/>
          <w:szCs w:val="32"/>
          <w:highlight w:val="none"/>
        </w:rPr>
        <w:t>政府（</w:t>
      </w:r>
      <w:r>
        <w:rPr>
          <w:rFonts w:hint="eastAsia" w:ascii="Times New Roman" w:hAnsi="Times New Roman" w:eastAsia="仿宋_GB2312" w:cs="Times New Roman"/>
          <w:color w:val="000000"/>
          <w:kern w:val="0"/>
          <w:sz w:val="32"/>
          <w:szCs w:val="32"/>
          <w:highlight w:val="none"/>
          <w:lang w:val="en-US" w:eastAsia="zh-CN"/>
        </w:rPr>
        <w:t>园区</w:t>
      </w:r>
      <w:r>
        <w:rPr>
          <w:rFonts w:hint="default" w:ascii="Times New Roman" w:hAnsi="Times New Roman" w:eastAsia="仿宋_GB2312" w:cs="Times New Roman"/>
          <w:color w:val="000000"/>
          <w:kern w:val="0"/>
          <w:sz w:val="32"/>
          <w:szCs w:val="32"/>
          <w:highlight w:val="none"/>
        </w:rPr>
        <w:t>管委会）及有关部门分析总结应急救援经验教训，提出改进应急救援工作的建议，编制应急救援总结报告，报送</w:t>
      </w:r>
      <w:r>
        <w:rPr>
          <w:rFonts w:hint="eastAsia" w:ascii="Times New Roman" w:hAnsi="Times New Roman" w:eastAsia="仿宋_GB2312" w:cs="Times New Roman"/>
          <w:color w:val="000000"/>
          <w:kern w:val="0"/>
          <w:sz w:val="32"/>
          <w:szCs w:val="32"/>
          <w:highlight w:val="none"/>
          <w:lang w:val="en-US" w:eastAsia="zh-CN"/>
        </w:rPr>
        <w:t>县委、县政府</w:t>
      </w:r>
      <w:r>
        <w:rPr>
          <w:rFonts w:hint="default" w:ascii="Times New Roman" w:hAnsi="Times New Roman" w:eastAsia="仿宋_GB2312" w:cs="Times New Roman"/>
          <w:color w:val="000000"/>
          <w:kern w:val="0"/>
          <w:sz w:val="32"/>
          <w:szCs w:val="32"/>
          <w:highlight w:val="none"/>
        </w:rPr>
        <w:t>。根据现场指挥部提交的应急救援总结报告，</w:t>
      </w:r>
      <w:r>
        <w:rPr>
          <w:rFonts w:hint="eastAsia" w:ascii="Times New Roman" w:hAnsi="Times New Roman" w:eastAsia="仿宋_GB2312" w:cs="Times New Roman"/>
          <w:color w:val="000000"/>
          <w:kern w:val="0"/>
          <w:sz w:val="32"/>
          <w:szCs w:val="32"/>
          <w:highlight w:val="none"/>
          <w:lang w:val="en-US" w:eastAsia="zh-CN"/>
        </w:rPr>
        <w:t>县</w:t>
      </w:r>
      <w:r>
        <w:rPr>
          <w:rFonts w:hint="default" w:ascii="Times New Roman" w:hAnsi="Times New Roman" w:eastAsia="仿宋_GB2312" w:cs="Times New Roman"/>
          <w:color w:val="000000"/>
          <w:kern w:val="0"/>
          <w:sz w:val="32"/>
          <w:szCs w:val="32"/>
          <w:highlight w:val="none"/>
        </w:rPr>
        <w:t>应急指挥部组织分析、研究，提出改进应急救援工作的意见，并抄送有关单位。</w:t>
      </w:r>
    </w:p>
    <w:p w14:paraId="3D705E58">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outlineLvl w:val="1"/>
        <w:rPr>
          <w:rFonts w:ascii="Times New Roman" w:hAnsi="Times New Roman" w:eastAsia="楷体_GB2312" w:cs="Times New Roman"/>
          <w:b/>
          <w:color w:val="000000"/>
          <w:kern w:val="0"/>
          <w:sz w:val="32"/>
          <w:szCs w:val="32"/>
        </w:rPr>
      </w:pPr>
      <w:bookmarkStart w:id="31" w:name="_Toc19659"/>
      <w:r>
        <w:rPr>
          <w:rFonts w:hint="eastAsia" w:ascii="Times New Roman" w:hAnsi="Times New Roman" w:eastAsia="楷体_GB2312" w:cs="Times New Roman"/>
          <w:b/>
          <w:color w:val="000000"/>
          <w:kern w:val="0"/>
          <w:sz w:val="32"/>
          <w:szCs w:val="32"/>
        </w:rPr>
        <w:t>（五）</w:t>
      </w:r>
      <w:r>
        <w:rPr>
          <w:rFonts w:ascii="Times New Roman" w:hAnsi="Times New Roman" w:eastAsia="楷体_GB2312" w:cs="Times New Roman"/>
          <w:b/>
          <w:color w:val="000000"/>
          <w:kern w:val="0"/>
          <w:sz w:val="32"/>
          <w:szCs w:val="32"/>
        </w:rPr>
        <w:t>恢复与重建</w:t>
      </w:r>
      <w:bookmarkEnd w:id="31"/>
    </w:p>
    <w:p w14:paraId="138CC0C2">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危险化学品事故处置工作结束后，受到影响的</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政府（</w:t>
      </w:r>
      <w:r>
        <w:rPr>
          <w:rFonts w:hint="eastAsia" w:ascii="Times New Roman" w:hAnsi="Times New Roman" w:eastAsia="仿宋_GB2312" w:cs="Times New Roman"/>
          <w:color w:val="000000"/>
          <w:kern w:val="0"/>
          <w:sz w:val="32"/>
          <w:szCs w:val="32"/>
        </w:rPr>
        <w:t>园区</w:t>
      </w:r>
      <w:r>
        <w:rPr>
          <w:rFonts w:hint="eastAsia" w:ascii="Times New Roman" w:hAnsi="Times New Roman" w:eastAsia="仿宋_GB2312" w:cs="Times New Roman"/>
          <w:color w:val="000000"/>
          <w:kern w:val="0"/>
          <w:sz w:val="32"/>
          <w:szCs w:val="32"/>
          <w:lang w:eastAsia="zh-CN"/>
        </w:rPr>
        <w:t>管委会</w:t>
      </w:r>
      <w:r>
        <w:rPr>
          <w:rFonts w:ascii="Times New Roman" w:hAnsi="Times New Roman" w:eastAsia="仿宋_GB2312" w:cs="Times New Roman"/>
          <w:color w:val="000000"/>
          <w:kern w:val="0"/>
          <w:sz w:val="32"/>
          <w:szCs w:val="32"/>
        </w:rPr>
        <w:t>）应结合调查评估情况，立即组织制定恢复与重建计划，及时恢复社会秩序，修复被破坏的城市运行、生产经营等基础设施。</w:t>
      </w:r>
    </w:p>
    <w:p w14:paraId="4897A25C">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w:t>
      </w:r>
      <w:bookmarkStart w:id="32" w:name="_Toc30548"/>
      <w:r>
        <w:rPr>
          <w:rFonts w:hint="eastAsia" w:ascii="Times New Roman" w:hAnsi="Times New Roman" w:eastAsia="黑体" w:cs="Times New Roman"/>
          <w:color w:val="000000"/>
          <w:kern w:val="0"/>
          <w:sz w:val="32"/>
          <w:szCs w:val="32"/>
        </w:rPr>
        <w:t>六、</w:t>
      </w:r>
      <w:r>
        <w:rPr>
          <w:rFonts w:ascii="Times New Roman" w:hAnsi="Times New Roman" w:eastAsia="黑体" w:cs="Times New Roman"/>
          <w:color w:val="000000"/>
          <w:kern w:val="0"/>
          <w:sz w:val="32"/>
          <w:szCs w:val="32"/>
        </w:rPr>
        <w:t>应急保障</w:t>
      </w:r>
      <w:bookmarkEnd w:id="32"/>
    </w:p>
    <w:p w14:paraId="0572496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33" w:name="_Toc16540"/>
      <w:r>
        <w:rPr>
          <w:rFonts w:hint="eastAsia" w:ascii="Times New Roman" w:hAnsi="Times New Roman" w:eastAsia="楷体_GB2312" w:cs="Times New Roman"/>
          <w:b/>
          <w:color w:val="000000"/>
          <w:kern w:val="0"/>
          <w:sz w:val="32"/>
          <w:szCs w:val="32"/>
        </w:rPr>
        <w:t>（一）</w:t>
      </w:r>
      <w:r>
        <w:rPr>
          <w:rFonts w:ascii="Times New Roman" w:hAnsi="Times New Roman" w:eastAsia="楷体_GB2312" w:cs="Times New Roman"/>
          <w:b/>
          <w:color w:val="000000"/>
          <w:kern w:val="0"/>
          <w:sz w:val="32"/>
          <w:szCs w:val="32"/>
        </w:rPr>
        <w:t>指挥系统保障</w:t>
      </w:r>
      <w:bookmarkEnd w:id="33"/>
    </w:p>
    <w:p w14:paraId="6991E597">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建立和完善危险化学品事故应急指挥技术支撑体系，以满足各种复杂情况下处置危险化学品事故的指挥要求。</w:t>
      </w:r>
      <w:r>
        <w:rPr>
          <w:rFonts w:hint="eastAsia" w:ascii="Times New Roman" w:hAnsi="Times New Roman" w:eastAsia="仿宋_GB2312" w:cs="Times New Roman"/>
          <w:color w:val="000000"/>
          <w:kern w:val="0"/>
          <w:sz w:val="32"/>
          <w:szCs w:val="32"/>
        </w:rPr>
        <w:t>建立应急值班制度，配备应急值班人员，实行24小时应急值班。</w:t>
      </w:r>
      <w:r>
        <w:rPr>
          <w:rFonts w:ascii="Times New Roman" w:hAnsi="Times New Roman" w:eastAsia="仿宋_GB2312" w:cs="Times New Roman"/>
          <w:color w:val="000000"/>
          <w:kern w:val="0"/>
          <w:sz w:val="32"/>
          <w:szCs w:val="32"/>
        </w:rPr>
        <w:t>主要包括：有线通信、无线指挥调度、图像监控、信息报告、基于地理信息的分析决策支撑、视频会议和信息发布等。指挥系统可以和其他指挥系统合并使用。</w:t>
      </w:r>
    </w:p>
    <w:p w14:paraId="79B7019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34" w:name="_Toc12684"/>
      <w:r>
        <w:rPr>
          <w:rFonts w:hint="eastAsia" w:ascii="Times New Roman" w:hAnsi="Times New Roman" w:eastAsia="楷体_GB2312" w:cs="Times New Roman"/>
          <w:b/>
          <w:color w:val="000000"/>
          <w:kern w:val="0"/>
          <w:sz w:val="32"/>
          <w:szCs w:val="32"/>
        </w:rPr>
        <w:t>（二）</w:t>
      </w:r>
      <w:r>
        <w:rPr>
          <w:rFonts w:ascii="Times New Roman" w:hAnsi="Times New Roman" w:eastAsia="楷体_GB2312" w:cs="Times New Roman"/>
          <w:b/>
          <w:color w:val="000000"/>
          <w:kern w:val="0"/>
          <w:sz w:val="32"/>
          <w:szCs w:val="32"/>
        </w:rPr>
        <w:t>人力资源保障</w:t>
      </w:r>
      <w:bookmarkEnd w:id="34"/>
    </w:p>
    <w:p w14:paraId="2261E197">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以</w:t>
      </w:r>
      <w:r>
        <w:rPr>
          <w:rFonts w:hint="default" w:ascii="Times New Roman" w:hAnsi="Times New Roman" w:eastAsia="仿宋_GB2312" w:cs="Times New Roman"/>
          <w:color w:val="000000"/>
          <w:kern w:val="0"/>
          <w:sz w:val="32"/>
          <w:szCs w:val="32"/>
          <w:highlight w:val="none"/>
          <w:lang w:eastAsia="zh-CN"/>
        </w:rPr>
        <w:t>国家综合性消防救援队伍</w:t>
      </w:r>
      <w:r>
        <w:rPr>
          <w:rFonts w:ascii="Times New Roman" w:hAnsi="Times New Roman" w:eastAsia="仿宋_GB2312" w:cs="Times New Roman"/>
          <w:color w:val="000000"/>
          <w:kern w:val="0"/>
          <w:sz w:val="32"/>
          <w:szCs w:val="32"/>
        </w:rPr>
        <w:t>为综合应急救援队伍，承担综合应急救援任务。驻</w:t>
      </w:r>
      <w:r>
        <w:rPr>
          <w:rFonts w:hint="eastAsia" w:ascii="Times New Roman" w:hAnsi="Times New Roman" w:eastAsia="仿宋_GB2312" w:cs="Times New Roman"/>
          <w:color w:val="000000"/>
          <w:kern w:val="0"/>
          <w:sz w:val="32"/>
          <w:szCs w:val="32"/>
        </w:rPr>
        <w:t>濉</w:t>
      </w:r>
      <w:r>
        <w:rPr>
          <w:rFonts w:ascii="Times New Roman" w:hAnsi="Times New Roman" w:eastAsia="仿宋_GB2312" w:cs="Times New Roman"/>
          <w:color w:val="000000"/>
          <w:kern w:val="0"/>
          <w:sz w:val="32"/>
          <w:szCs w:val="32"/>
        </w:rPr>
        <w:t>武警部队作为骨干和突击力量，依法参与应对重特大事故灾难的应急救援和处置任务。</w:t>
      </w:r>
    </w:p>
    <w:p w14:paraId="2B0A7BEB">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以公安、环保、医疗及相关专业应急救援队为专业队伍主体，其他相关事故处置单位为辅助。</w:t>
      </w:r>
    </w:p>
    <w:p w14:paraId="6CF3BFA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充分发动企事业单位、公益团体及有一定专业技能的志愿者等社会力量，必要时协助实施应急处置工作。</w:t>
      </w:r>
    </w:p>
    <w:p w14:paraId="773BE75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应急指挥部办公室</w:t>
      </w:r>
      <w:r>
        <w:rPr>
          <w:rFonts w:hint="eastAsia" w:ascii="Times New Roman" w:hAnsi="Times New Roman" w:eastAsia="仿宋_GB2312" w:cs="Times New Roman"/>
          <w:color w:val="000000"/>
          <w:kern w:val="0"/>
          <w:sz w:val="32"/>
          <w:szCs w:val="32"/>
        </w:rPr>
        <w:t>依托市</w:t>
      </w:r>
      <w:r>
        <w:rPr>
          <w:rFonts w:ascii="Times New Roman" w:hAnsi="Times New Roman" w:eastAsia="仿宋_GB2312" w:cs="Times New Roman"/>
          <w:color w:val="000000"/>
          <w:kern w:val="0"/>
          <w:sz w:val="32"/>
          <w:szCs w:val="32"/>
        </w:rPr>
        <w:t>专家库</w:t>
      </w:r>
      <w:r>
        <w:rPr>
          <w:rFonts w:hint="eastAsia" w:ascii="Times New Roman" w:hAnsi="Times New Roman" w:eastAsia="仿宋_GB2312" w:cs="Times New Roman"/>
          <w:color w:val="000000"/>
          <w:kern w:val="0"/>
          <w:sz w:val="32"/>
          <w:szCs w:val="32"/>
        </w:rPr>
        <w:t>提供技术支持</w:t>
      </w:r>
      <w:r>
        <w:rPr>
          <w:rFonts w:ascii="Times New Roman" w:hAnsi="Times New Roman" w:eastAsia="仿宋_GB2312" w:cs="Times New Roman"/>
          <w:color w:val="000000"/>
          <w:kern w:val="0"/>
          <w:sz w:val="32"/>
          <w:szCs w:val="32"/>
        </w:rPr>
        <w:t>，并及时更新有关内容，确保需要时能及时找到相应的专家为应急救援提供技术支持和保障。</w:t>
      </w:r>
    </w:p>
    <w:p w14:paraId="38A729B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35" w:name="_Toc16918"/>
      <w:r>
        <w:rPr>
          <w:rFonts w:hint="eastAsia" w:ascii="Times New Roman" w:hAnsi="Times New Roman" w:eastAsia="楷体_GB2312" w:cs="Times New Roman"/>
          <w:b/>
          <w:color w:val="000000"/>
          <w:kern w:val="0"/>
          <w:sz w:val="32"/>
          <w:szCs w:val="32"/>
        </w:rPr>
        <w:t>（三）</w:t>
      </w:r>
      <w:r>
        <w:rPr>
          <w:rFonts w:ascii="Times New Roman" w:hAnsi="Times New Roman" w:eastAsia="楷体_GB2312" w:cs="Times New Roman"/>
          <w:b/>
          <w:color w:val="000000"/>
          <w:kern w:val="0"/>
          <w:sz w:val="32"/>
          <w:szCs w:val="32"/>
        </w:rPr>
        <w:t>经费保障</w:t>
      </w:r>
      <w:bookmarkEnd w:id="35"/>
    </w:p>
    <w:p w14:paraId="68AEC07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发生危险化学品事故后，根据实际情况安排经费应对突发事件，所需资金由</w:t>
      </w:r>
      <w:r>
        <w:rPr>
          <w:rFonts w:hint="eastAsia" w:ascii="Times New Roman" w:hAnsi="Times New Roman" w:eastAsia="仿宋_GB2312" w:cs="Times New Roman"/>
          <w:color w:val="000000"/>
          <w:kern w:val="0"/>
          <w:sz w:val="32"/>
          <w:szCs w:val="32"/>
        </w:rPr>
        <w:t>县财政局</w:t>
      </w:r>
      <w:r>
        <w:rPr>
          <w:rFonts w:ascii="Times New Roman" w:hAnsi="Times New Roman" w:eastAsia="仿宋_GB2312" w:cs="Times New Roman"/>
          <w:color w:val="000000"/>
          <w:kern w:val="0"/>
          <w:sz w:val="32"/>
          <w:szCs w:val="32"/>
        </w:rPr>
        <w:t>按规定程序报</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政府审定后，从年度预算安排的预备费中的应急专项经费列支。</w:t>
      </w:r>
      <w:r>
        <w:rPr>
          <w:rFonts w:hint="eastAsia" w:ascii="Times New Roman" w:hAnsi="Times New Roman" w:eastAsia="仿宋_GB2312" w:cs="Times New Roman"/>
          <w:color w:val="000000"/>
          <w:kern w:val="0"/>
          <w:sz w:val="32"/>
          <w:szCs w:val="32"/>
        </w:rPr>
        <w:t>县财政局</w:t>
      </w:r>
      <w:r>
        <w:rPr>
          <w:rFonts w:ascii="Times New Roman" w:hAnsi="Times New Roman" w:eastAsia="仿宋_GB2312" w:cs="Times New Roman"/>
          <w:color w:val="000000"/>
          <w:kern w:val="0"/>
          <w:sz w:val="32"/>
          <w:szCs w:val="32"/>
        </w:rPr>
        <w:t>和</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）财政部门负责应急专项经费的管理。各级财政部门要对危险化学品事故财政应急资金的使用和效果进行监督和评估。</w:t>
      </w:r>
    </w:p>
    <w:p w14:paraId="5F30869F">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36" w:name="_Toc18773"/>
      <w:r>
        <w:rPr>
          <w:rFonts w:hint="eastAsia" w:ascii="Times New Roman" w:hAnsi="Times New Roman" w:eastAsia="楷体_GB2312" w:cs="Times New Roman"/>
          <w:b/>
          <w:color w:val="000000"/>
          <w:kern w:val="0"/>
          <w:sz w:val="32"/>
          <w:szCs w:val="32"/>
        </w:rPr>
        <w:t>（四）</w:t>
      </w:r>
      <w:r>
        <w:rPr>
          <w:rFonts w:ascii="Times New Roman" w:hAnsi="Times New Roman" w:eastAsia="楷体_GB2312" w:cs="Times New Roman"/>
          <w:b/>
          <w:color w:val="000000"/>
          <w:kern w:val="0"/>
          <w:sz w:val="32"/>
          <w:szCs w:val="32"/>
        </w:rPr>
        <w:t>物资保障</w:t>
      </w:r>
      <w:bookmarkEnd w:id="36"/>
    </w:p>
    <w:p w14:paraId="1D23DBF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危险化学品事故应急指挥部及</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政府（</w:t>
      </w:r>
      <w:r>
        <w:rPr>
          <w:rFonts w:hint="eastAsia" w:ascii="Times New Roman" w:hAnsi="Times New Roman" w:eastAsia="仿宋_GB2312" w:cs="Times New Roman"/>
          <w:color w:val="000000"/>
          <w:kern w:val="0"/>
          <w:sz w:val="32"/>
          <w:szCs w:val="32"/>
        </w:rPr>
        <w:t>园区</w:t>
      </w:r>
      <w:r>
        <w:rPr>
          <w:rFonts w:hint="eastAsia" w:ascii="Times New Roman" w:hAnsi="Times New Roman" w:eastAsia="仿宋_GB2312" w:cs="Times New Roman"/>
          <w:color w:val="000000"/>
          <w:kern w:val="0"/>
          <w:sz w:val="32"/>
          <w:szCs w:val="32"/>
          <w:lang w:eastAsia="zh-CN"/>
        </w:rPr>
        <w:t>管委会</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县有关部门分区域</w:t>
      </w:r>
      <w:r>
        <w:rPr>
          <w:rFonts w:hint="eastAsia" w:ascii="Times New Roman" w:hAnsi="Times New Roman" w:eastAsia="仿宋_GB2312" w:cs="Times New Roman"/>
          <w:color w:val="000000"/>
          <w:kern w:val="0"/>
          <w:sz w:val="32"/>
          <w:szCs w:val="32"/>
          <w:lang w:val="en-US" w:eastAsia="zh-CN"/>
        </w:rPr>
        <w:t>、</w:t>
      </w:r>
      <w:r>
        <w:rPr>
          <w:rFonts w:ascii="Times New Roman" w:hAnsi="Times New Roman" w:eastAsia="仿宋_GB2312" w:cs="Times New Roman"/>
          <w:color w:val="000000"/>
          <w:kern w:val="0"/>
          <w:sz w:val="32"/>
          <w:szCs w:val="32"/>
        </w:rPr>
        <w:t>分部门合理储备危险化学品事故应急救援物资。</w:t>
      </w:r>
    </w:p>
    <w:p w14:paraId="4334D69A">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必要时，县</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园区</w:t>
      </w:r>
      <w:r>
        <w:rPr>
          <w:rFonts w:ascii="Times New Roman" w:hAnsi="Times New Roman" w:eastAsia="仿宋_GB2312" w:cs="Times New Roman"/>
          <w:color w:val="000000"/>
          <w:kern w:val="0"/>
          <w:sz w:val="32"/>
          <w:szCs w:val="32"/>
        </w:rPr>
        <w:t>）两级危险化学品事故应急指挥部可以以本级政府名义向企事业单位和个人征用应急处置与救援所需设备、场地和其他物资，或要求相关企业组织生产、供应应急救援物资。</w:t>
      </w:r>
    </w:p>
    <w:p w14:paraId="630D644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应急物资的使用按照“各级储备、应急共享、自救互救、政府补助”的原则，建立应急物资共享平台。事故状态下有关各方有义务为事故应急救援提供自身储备的应急物资，事后进行原物或经济回补。</w:t>
      </w:r>
    </w:p>
    <w:p w14:paraId="33626734">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37" w:name="_Toc8243"/>
      <w:r>
        <w:rPr>
          <w:rFonts w:hint="eastAsia" w:ascii="Times New Roman" w:hAnsi="Times New Roman" w:eastAsia="楷体_GB2312" w:cs="Times New Roman"/>
          <w:b/>
          <w:color w:val="000000"/>
          <w:kern w:val="0"/>
          <w:sz w:val="32"/>
          <w:szCs w:val="32"/>
        </w:rPr>
        <w:t>（五）</w:t>
      </w:r>
      <w:r>
        <w:rPr>
          <w:rFonts w:ascii="Times New Roman" w:hAnsi="Times New Roman" w:eastAsia="楷体_GB2312" w:cs="Times New Roman"/>
          <w:b/>
          <w:color w:val="000000"/>
          <w:kern w:val="0"/>
          <w:sz w:val="32"/>
          <w:szCs w:val="32"/>
        </w:rPr>
        <w:t>医疗卫生保障</w:t>
      </w:r>
      <w:bookmarkEnd w:id="37"/>
    </w:p>
    <w:p w14:paraId="047D313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县卫健委</w:t>
      </w:r>
      <w:r>
        <w:rPr>
          <w:rFonts w:ascii="Times New Roman" w:hAnsi="Times New Roman" w:eastAsia="仿宋_GB2312" w:cs="Times New Roman"/>
          <w:color w:val="000000"/>
          <w:kern w:val="0"/>
          <w:sz w:val="32"/>
          <w:szCs w:val="32"/>
        </w:rPr>
        <w:t>建立和完善全</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卫生应急预案体系、卫生应急指挥体系和医疗卫生救援体系，针对危险化学品事故可能造成的健康危害，组建医疗专家队伍和应急医疗救援队伍，组织储备医疗救治应急物资，开展医疗救援演练和公众自救、互救医疗常识宣传教育。</w:t>
      </w:r>
    </w:p>
    <w:p w14:paraId="057BEB8D">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危险化学品生产经营单位应针对本单位可能发生事故的类别，加强员工自救、互救知识和技能培训，最大限</w:t>
      </w:r>
      <w:r>
        <w:rPr>
          <w:rFonts w:hint="eastAsia" w:ascii="Times New Roman" w:hAnsi="Times New Roman" w:eastAsia="仿宋_GB2312" w:cs="Times New Roman"/>
          <w:color w:val="000000"/>
          <w:kern w:val="0"/>
          <w:sz w:val="32"/>
          <w:szCs w:val="32"/>
          <w:lang w:eastAsia="zh-CN"/>
        </w:rPr>
        <w:t>度地</w:t>
      </w:r>
      <w:r>
        <w:rPr>
          <w:rFonts w:ascii="Times New Roman" w:hAnsi="Times New Roman" w:eastAsia="仿宋_GB2312" w:cs="Times New Roman"/>
          <w:color w:val="000000"/>
          <w:kern w:val="0"/>
          <w:sz w:val="32"/>
          <w:szCs w:val="32"/>
        </w:rPr>
        <w:t>降低事故造成的人员伤害和健康危害。</w:t>
      </w:r>
    </w:p>
    <w:p w14:paraId="79ABD075">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r>
        <w:rPr>
          <w:rFonts w:hint="eastAsia" w:ascii="Times New Roman" w:hAnsi="Times New Roman" w:eastAsia="楷体_GB2312" w:cs="Times New Roman"/>
          <w:b/>
          <w:color w:val="000000"/>
          <w:kern w:val="0"/>
          <w:sz w:val="32"/>
          <w:szCs w:val="32"/>
        </w:rPr>
        <w:t xml:space="preserve">  </w:t>
      </w:r>
      <w:bookmarkStart w:id="38" w:name="_Toc20534"/>
      <w:r>
        <w:rPr>
          <w:rFonts w:hint="eastAsia" w:ascii="Times New Roman" w:hAnsi="Times New Roman" w:eastAsia="楷体_GB2312" w:cs="Times New Roman"/>
          <w:b/>
          <w:color w:val="000000"/>
          <w:kern w:val="0"/>
          <w:sz w:val="32"/>
          <w:szCs w:val="32"/>
        </w:rPr>
        <w:t>（六）</w:t>
      </w:r>
      <w:r>
        <w:rPr>
          <w:rFonts w:ascii="Times New Roman" w:hAnsi="Times New Roman" w:eastAsia="楷体_GB2312" w:cs="Times New Roman"/>
          <w:b/>
          <w:color w:val="000000"/>
          <w:kern w:val="0"/>
          <w:sz w:val="32"/>
          <w:szCs w:val="32"/>
        </w:rPr>
        <w:t>交通运输保障</w:t>
      </w:r>
      <w:bookmarkEnd w:id="38"/>
    </w:p>
    <w:p w14:paraId="5C50578A">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交通运输局负责制定各类交通运输工具的调用方案，做好应急状态下的人员疏运、物资运输等交通运输保障工作。</w:t>
      </w:r>
    </w:p>
    <w:p w14:paraId="6D9FF191">
      <w:pPr>
        <w:keepNext w:val="0"/>
        <w:keepLines w:val="0"/>
        <w:pageBreakBefore w:val="0"/>
        <w:widowControl w:val="0"/>
        <w:kinsoku/>
        <w:wordWrap/>
        <w:overflowPunct/>
        <w:topLinePunct w:val="0"/>
        <w:autoSpaceDE/>
        <w:autoSpaceDN w:val="0"/>
        <w:bidi w:val="0"/>
        <w:adjustRightInd/>
        <w:snapToGrid/>
        <w:spacing w:line="58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事发地公安交</w:t>
      </w:r>
      <w:r>
        <w:rPr>
          <w:rFonts w:hint="eastAsia" w:ascii="Times New Roman" w:hAnsi="Times New Roman" w:eastAsia="仿宋_GB2312" w:cs="Times New Roman"/>
          <w:color w:val="000000"/>
          <w:kern w:val="0"/>
          <w:sz w:val="32"/>
          <w:szCs w:val="32"/>
          <w:lang w:val="en-US" w:eastAsia="zh-CN"/>
        </w:rPr>
        <w:t>管</w:t>
      </w:r>
      <w:r>
        <w:rPr>
          <w:rFonts w:ascii="Times New Roman" w:hAnsi="Times New Roman" w:eastAsia="仿宋_GB2312" w:cs="Times New Roman"/>
          <w:color w:val="000000"/>
          <w:kern w:val="0"/>
          <w:sz w:val="32"/>
          <w:szCs w:val="32"/>
        </w:rPr>
        <w:t>部门组织对事故现场进行交通管制，开设应急救援“绿色通道”。</w:t>
      </w:r>
    </w:p>
    <w:p w14:paraId="3CA726C9">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如有道路设施受损，</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交通或城乡建设部门要迅速组织有关专业队伍进行抢修，尽快恢复良好状态；必要时，可紧急动员和征用其他部门及社会交通设施装备。</w:t>
      </w:r>
    </w:p>
    <w:p w14:paraId="0A8ADA8E">
      <w:pPr>
        <w:keepNext w:val="0"/>
        <w:keepLines w:val="0"/>
        <w:pageBreakBefore w:val="0"/>
        <w:widowControl w:val="0"/>
        <w:kinsoku/>
        <w:wordWrap/>
        <w:overflowPunct/>
        <w:topLinePunct w:val="0"/>
        <w:autoSpaceDE/>
        <w:autoSpaceDN w:val="0"/>
        <w:bidi w:val="0"/>
        <w:adjustRightInd/>
        <w:snapToGrid/>
        <w:spacing w:line="580" w:lineRule="exact"/>
        <w:jc w:val="left"/>
        <w:textAlignment w:val="auto"/>
        <w:outlineLvl w:val="1"/>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　　</w:t>
      </w:r>
      <w:bookmarkStart w:id="39" w:name="_Toc29447"/>
      <w:r>
        <w:rPr>
          <w:rFonts w:hint="eastAsia" w:ascii="Times New Roman" w:hAnsi="Times New Roman" w:eastAsia="楷体_GB2312" w:cs="Times New Roman"/>
          <w:b/>
          <w:color w:val="000000"/>
          <w:kern w:val="0"/>
          <w:sz w:val="32"/>
          <w:szCs w:val="32"/>
        </w:rPr>
        <w:t>（七）</w:t>
      </w:r>
      <w:r>
        <w:rPr>
          <w:rFonts w:ascii="Times New Roman" w:hAnsi="Times New Roman" w:eastAsia="楷体_GB2312" w:cs="Times New Roman"/>
          <w:b/>
          <w:color w:val="000000"/>
          <w:kern w:val="0"/>
          <w:sz w:val="32"/>
          <w:szCs w:val="32"/>
        </w:rPr>
        <w:t>其他应急保障</w:t>
      </w:r>
      <w:bookmarkEnd w:id="39"/>
    </w:p>
    <w:p w14:paraId="51F42B1A">
      <w:pPr>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危险化学品事故应急救援所需的其他保障，如治安、电力、环保、避难场所、气象等由</w:t>
      </w:r>
      <w:r>
        <w:rPr>
          <w:rFonts w:hint="eastAsia" w:ascii="Times New Roman" w:hAnsi="Times New Roman" w:eastAsia="仿宋_GB2312" w:cs="Times New Roman"/>
          <w:color w:val="000000"/>
          <w:kern w:val="0"/>
          <w:sz w:val="32"/>
          <w:szCs w:val="32"/>
        </w:rPr>
        <w:t>县</w:t>
      </w:r>
      <w:r>
        <w:rPr>
          <w:rFonts w:ascii="Times New Roman" w:hAnsi="Times New Roman" w:eastAsia="仿宋_GB2312" w:cs="Times New Roman"/>
          <w:color w:val="000000"/>
          <w:kern w:val="0"/>
          <w:sz w:val="32"/>
          <w:szCs w:val="32"/>
        </w:rPr>
        <w:t>有关部门按照《</w:t>
      </w:r>
      <w:r>
        <w:rPr>
          <w:rFonts w:hint="eastAsia" w:ascii="Times New Roman" w:hAnsi="Times New Roman" w:eastAsia="仿宋_GB2312" w:cs="Times New Roman"/>
          <w:color w:val="000000"/>
          <w:kern w:val="0"/>
          <w:sz w:val="32"/>
          <w:szCs w:val="32"/>
        </w:rPr>
        <w:t>濉溪县</w:t>
      </w:r>
      <w:r>
        <w:rPr>
          <w:rFonts w:ascii="Times New Roman" w:hAnsi="Times New Roman" w:eastAsia="仿宋_GB2312" w:cs="Times New Roman"/>
          <w:color w:val="000000"/>
          <w:kern w:val="0"/>
          <w:sz w:val="32"/>
          <w:szCs w:val="32"/>
        </w:rPr>
        <w:t>突发事件总体应急预案》确定的职责，依据各部门的预案进行保障。</w:t>
      </w:r>
    </w:p>
    <w:p w14:paraId="1E95719E">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outlineLvl w:val="0"/>
        <w:rPr>
          <w:rFonts w:ascii="Times New Roman" w:hAnsi="Times New Roman" w:eastAsia="黑体" w:cs="Times New Roman"/>
          <w:color w:val="000000"/>
          <w:kern w:val="0"/>
          <w:sz w:val="32"/>
          <w:szCs w:val="32"/>
        </w:rPr>
      </w:pPr>
      <w:bookmarkStart w:id="40" w:name="_Toc16371"/>
      <w:r>
        <w:rPr>
          <w:rFonts w:hint="eastAsia" w:ascii="Times New Roman" w:hAnsi="Times New Roman" w:eastAsia="黑体" w:cs="Times New Roman"/>
          <w:color w:val="000000"/>
          <w:kern w:val="0"/>
          <w:sz w:val="32"/>
          <w:szCs w:val="32"/>
        </w:rPr>
        <w:t>七、</w:t>
      </w:r>
      <w:r>
        <w:rPr>
          <w:rFonts w:ascii="Times New Roman" w:hAnsi="Times New Roman" w:eastAsia="黑体" w:cs="Times New Roman"/>
          <w:color w:val="000000"/>
          <w:kern w:val="0"/>
          <w:sz w:val="32"/>
          <w:szCs w:val="32"/>
        </w:rPr>
        <w:t>附则</w:t>
      </w:r>
      <w:bookmarkEnd w:id="40"/>
    </w:p>
    <w:p w14:paraId="0AEDF81F">
      <w:pPr>
        <w:keepNext w:val="0"/>
        <w:keepLines w:val="0"/>
        <w:pageBreakBefore w:val="0"/>
        <w:widowControl w:val="0"/>
        <w:kinsoku/>
        <w:wordWrap/>
        <w:overflowPunct/>
        <w:topLinePunct w:val="0"/>
        <w:autoSpaceDE/>
        <w:autoSpaceDN w:val="0"/>
        <w:bidi w:val="0"/>
        <w:adjustRightInd/>
        <w:snapToGrid/>
        <w:spacing w:line="580" w:lineRule="exact"/>
        <w:ind w:firstLine="623" w:firstLineChars="197"/>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本预案由</w:t>
      </w:r>
      <w:r>
        <w:rPr>
          <w:rFonts w:hint="eastAsia" w:ascii="Times New Roman" w:hAnsi="Times New Roman" w:eastAsia="仿宋_GB2312" w:cs="Times New Roman"/>
          <w:color w:val="000000"/>
          <w:kern w:val="0"/>
          <w:sz w:val="32"/>
          <w:szCs w:val="32"/>
        </w:rPr>
        <w:t>县应急</w:t>
      </w:r>
      <w:r>
        <w:rPr>
          <w:rFonts w:hint="eastAsia" w:ascii="Times New Roman" w:hAnsi="Times New Roman" w:eastAsia="仿宋_GB2312" w:cs="Times New Roman"/>
          <w:color w:val="000000"/>
          <w:kern w:val="0"/>
          <w:sz w:val="32"/>
          <w:szCs w:val="32"/>
          <w:lang w:eastAsia="zh-CN"/>
        </w:rPr>
        <w:t>管理</w:t>
      </w:r>
      <w:r>
        <w:rPr>
          <w:rFonts w:ascii="Times New Roman" w:hAnsi="Times New Roman" w:eastAsia="仿宋_GB2312" w:cs="Times New Roman"/>
          <w:color w:val="000000"/>
          <w:kern w:val="0"/>
          <w:sz w:val="32"/>
          <w:szCs w:val="32"/>
        </w:rPr>
        <w:t>局负责解释，每年进行一次演练，及时评估、修订。</w:t>
      </w:r>
    </w:p>
    <w:p w14:paraId="0CE0F046">
      <w:pPr>
        <w:keepNext w:val="0"/>
        <w:keepLines w:val="0"/>
        <w:pageBreakBefore w:val="0"/>
        <w:widowControl w:val="0"/>
        <w:kinsoku/>
        <w:wordWrap/>
        <w:overflowPunct/>
        <w:topLinePunct w:val="0"/>
        <w:autoSpaceDE/>
        <w:autoSpaceDN w:val="0"/>
        <w:bidi w:val="0"/>
        <w:adjustRightInd/>
        <w:snapToGrid/>
        <w:spacing w:line="580" w:lineRule="exact"/>
        <w:ind w:firstLine="631"/>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本预案自发布之日起施行。原《</w:t>
      </w:r>
      <w:r>
        <w:rPr>
          <w:rFonts w:hint="eastAsia" w:ascii="Times New Roman" w:hAnsi="Times New Roman" w:eastAsia="仿宋_GB2312" w:cs="Times New Roman"/>
          <w:color w:val="000000"/>
          <w:kern w:val="0"/>
          <w:sz w:val="32"/>
          <w:szCs w:val="32"/>
        </w:rPr>
        <w:t>濉溪县</w:t>
      </w:r>
      <w:r>
        <w:rPr>
          <w:rFonts w:ascii="Times New Roman" w:hAnsi="Times New Roman" w:eastAsia="仿宋_GB2312" w:cs="Times New Roman"/>
          <w:color w:val="000000"/>
          <w:kern w:val="0"/>
          <w:sz w:val="32"/>
          <w:szCs w:val="32"/>
        </w:rPr>
        <w:t>危险化学品事故应急救援预案》（2021年版）同时废止。</w:t>
      </w:r>
    </w:p>
    <w:p w14:paraId="0DC104D4">
      <w:pPr>
        <w:keepNext w:val="0"/>
        <w:keepLines w:val="0"/>
        <w:pageBreakBefore w:val="0"/>
        <w:widowControl w:val="0"/>
        <w:kinsoku/>
        <w:wordWrap/>
        <w:overflowPunct/>
        <w:topLinePunct w:val="0"/>
        <w:autoSpaceDE/>
        <w:autoSpaceDN w:val="0"/>
        <w:bidi w:val="0"/>
        <w:adjustRightInd/>
        <w:snapToGrid/>
        <w:spacing w:line="580" w:lineRule="exact"/>
        <w:ind w:firstLine="631"/>
        <w:jc w:val="left"/>
        <w:textAlignment w:val="auto"/>
        <w:rPr>
          <w:rFonts w:ascii="Times New Roman" w:hAnsi="Times New Roman" w:eastAsia="仿宋_GB2312" w:cs="Times New Roman"/>
          <w:color w:val="000000"/>
          <w:kern w:val="0"/>
          <w:sz w:val="32"/>
          <w:szCs w:val="32"/>
        </w:rPr>
      </w:pPr>
    </w:p>
    <w:p w14:paraId="5A871218">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濉溪县</w:t>
      </w:r>
      <w:r>
        <w:rPr>
          <w:rFonts w:hint="eastAsia" w:ascii="Times New Roman" w:hAnsi="Times New Roman" w:eastAsia="仿宋_GB2312" w:cs="Times New Roman"/>
          <w:color w:val="000000"/>
          <w:kern w:val="0"/>
          <w:sz w:val="32"/>
          <w:szCs w:val="32"/>
        </w:rPr>
        <w:t>危险化学品事故应急指挥部</w:t>
      </w:r>
      <w:r>
        <w:rPr>
          <w:rFonts w:hint="eastAsia" w:ascii="Times New Roman" w:hAnsi="Times New Roman" w:eastAsia="仿宋_GB2312" w:cs="Times New Roman"/>
          <w:color w:val="000000"/>
          <w:kern w:val="0"/>
          <w:sz w:val="32"/>
          <w:szCs w:val="32"/>
          <w:lang w:val="en-US" w:eastAsia="zh-CN"/>
        </w:rPr>
        <w:t>成员</w:t>
      </w:r>
    </w:p>
    <w:p w14:paraId="23D4BD39">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left="1579" w:leftChars="0"/>
        <w:jc w:val="lef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2.淮北市危险化学品事故应急指挥部专家组名单</w:t>
      </w:r>
    </w:p>
    <w:p w14:paraId="1C4128C8">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宋体" w:cs="Times New Roman"/>
          <w:color w:val="000000"/>
          <w:sz w:val="32"/>
          <w:szCs w:val="32"/>
        </w:rPr>
      </w:pPr>
      <w:r>
        <w:rPr>
          <w:rFonts w:hint="eastAsia"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.濉溪县</w:t>
      </w:r>
      <w:r>
        <w:rPr>
          <w:rFonts w:ascii="Times New Roman" w:hAnsi="Times New Roman" w:eastAsia="仿宋_GB2312" w:cs="Times New Roman"/>
          <w:color w:val="000000"/>
          <w:kern w:val="0"/>
          <w:sz w:val="32"/>
          <w:szCs w:val="32"/>
        </w:rPr>
        <w:t>危险化学品事故应急处置工作流程图</w:t>
      </w:r>
    </w:p>
    <w:p w14:paraId="117B69C4">
      <w:pPr>
        <w:keepNext w:val="0"/>
        <w:keepLines w:val="0"/>
        <w:pageBreakBefore w:val="0"/>
        <w:widowControl w:val="0"/>
        <w:kinsoku/>
        <w:wordWrap/>
        <w:overflowPunct/>
        <w:topLinePunct w:val="0"/>
        <w:autoSpaceDE/>
        <w:autoSpaceDN w:val="0"/>
        <w:bidi w:val="0"/>
        <w:adjustRightInd/>
        <w:snapToGrid/>
        <w:spacing w:line="580" w:lineRule="exact"/>
        <w:ind w:firstLine="632" w:firstLineChars="200"/>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构成重大危险源企业统计表</w:t>
      </w:r>
    </w:p>
    <w:p w14:paraId="2788C5A5">
      <w:pPr>
        <w:keepNext w:val="0"/>
        <w:keepLines w:val="0"/>
        <w:pageBreakBefore w:val="0"/>
        <w:widowControl w:val="0"/>
        <w:kinsoku/>
        <w:wordWrap/>
        <w:overflowPunct/>
        <w:topLinePunct w:val="0"/>
        <w:autoSpaceDE/>
        <w:autoSpaceDN w:val="0"/>
        <w:bidi w:val="0"/>
        <w:adjustRightInd/>
        <w:snapToGrid/>
        <w:spacing w:line="580" w:lineRule="exact"/>
        <w:ind w:firstLine="480"/>
        <w:jc w:val="left"/>
        <w:textAlignment w:val="auto"/>
        <w:rPr>
          <w:rFonts w:ascii="Times New Roman" w:hAnsi="Times New Roman"/>
          <w:color w:val="000000"/>
          <w:kern w:val="0"/>
          <w:sz w:val="32"/>
          <w:szCs w:val="32"/>
        </w:rPr>
        <w:sectPr>
          <w:pgSz w:w="11906" w:h="16838"/>
          <w:pgMar w:top="2098" w:right="1474" w:bottom="1984" w:left="1588" w:header="851" w:footer="1588" w:gutter="0"/>
          <w:pgNumType w:fmt="decimal"/>
          <w:cols w:space="720" w:num="1"/>
          <w:titlePg/>
          <w:docGrid w:type="linesAndChars" w:linePitch="590" w:charSpace="-849"/>
        </w:sectPr>
      </w:pPr>
    </w:p>
    <w:p w14:paraId="48AEE4E9">
      <w:pPr>
        <w:spacing w:line="580" w:lineRule="exact"/>
        <w:rPr>
          <w:rFonts w:hint="eastAsia" w:ascii="黑体" w:hAnsi="黑体" w:eastAsia="黑体" w:cs="黑体"/>
          <w:color w:val="000000"/>
          <w:spacing w:val="-8"/>
          <w:sz w:val="32"/>
          <w:szCs w:val="32"/>
          <w:highlight w:val="none"/>
          <w:lang w:val="en-US" w:eastAsia="zh-CN"/>
        </w:rPr>
      </w:pPr>
      <w:r>
        <w:rPr>
          <w:rFonts w:hint="eastAsia" w:ascii="黑体" w:hAnsi="黑体" w:eastAsia="黑体" w:cs="黑体"/>
          <w:color w:val="000000"/>
          <w:sz w:val="32"/>
          <w:szCs w:val="32"/>
        </w:rPr>
        <w:t>附件1</w:t>
      </w:r>
    </w:p>
    <w:p w14:paraId="0F156899">
      <w:pPr>
        <w:spacing w:line="580" w:lineRule="exact"/>
        <w:jc w:val="center"/>
        <w:rPr>
          <w:rFonts w:hint="eastAsia" w:ascii="Times New Roman" w:hAnsi="Times New Roman" w:eastAsia="方正小标宋简体" w:cs="方正小标宋简体"/>
          <w:color w:val="000000"/>
          <w:spacing w:val="-8"/>
          <w:sz w:val="44"/>
          <w:szCs w:val="44"/>
          <w:highlight w:val="none"/>
          <w:lang w:eastAsia="zh-CN"/>
        </w:rPr>
      </w:pPr>
      <w:r>
        <w:rPr>
          <w:rFonts w:hint="eastAsia" w:ascii="Times New Roman" w:hAnsi="Times New Roman" w:eastAsia="方正小标宋简体" w:cs="方正小标宋简体"/>
          <w:color w:val="000000"/>
          <w:spacing w:val="-8"/>
          <w:sz w:val="44"/>
          <w:szCs w:val="44"/>
          <w:highlight w:val="none"/>
          <w:lang w:val="en-US" w:eastAsia="zh-CN"/>
        </w:rPr>
        <w:t>濉溪县</w:t>
      </w:r>
      <w:r>
        <w:rPr>
          <w:rFonts w:hint="eastAsia" w:ascii="Times New Roman" w:hAnsi="Times New Roman" w:eastAsia="方正小标宋简体" w:cs="方正小标宋简体"/>
          <w:color w:val="000000"/>
          <w:spacing w:val="-8"/>
          <w:sz w:val="44"/>
          <w:szCs w:val="44"/>
          <w:highlight w:val="none"/>
        </w:rPr>
        <w:t>危险化学品事故应急指挥部</w:t>
      </w:r>
      <w:r>
        <w:rPr>
          <w:rFonts w:hint="eastAsia" w:ascii="Times New Roman" w:hAnsi="Times New Roman" w:eastAsia="方正小标宋简体" w:cs="方正小标宋简体"/>
          <w:color w:val="000000"/>
          <w:spacing w:val="-8"/>
          <w:sz w:val="44"/>
          <w:szCs w:val="44"/>
          <w:highlight w:val="none"/>
          <w:lang w:val="en-US" w:eastAsia="zh-CN"/>
        </w:rPr>
        <w:t>成员</w:t>
      </w:r>
    </w:p>
    <w:tbl>
      <w:tblPr>
        <w:tblStyle w:val="2"/>
        <w:tblpPr w:leftFromText="180" w:rightFromText="180" w:vertAnchor="text" w:horzAnchor="page" w:tblpXSpec="center" w:tblpY="204"/>
        <w:tblOverlap w:val="never"/>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4262"/>
        <w:gridCol w:w="2810"/>
      </w:tblGrid>
      <w:tr w14:paraId="2A7D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0E79104D">
            <w:pPr>
              <w:spacing w:line="560" w:lineRule="exact"/>
              <w:jc w:val="center"/>
              <w:rPr>
                <w:rFonts w:ascii="Times New Roman" w:hAnsi="Times New Roman" w:eastAsia="黑体" w:cs="Times New Roman"/>
                <w:color w:val="000000"/>
                <w:sz w:val="24"/>
                <w:highlight w:val="none"/>
              </w:rPr>
            </w:pPr>
            <w:r>
              <w:rPr>
                <w:rFonts w:ascii="Times New Roman" w:hAnsi="Times New Roman" w:eastAsia="黑体" w:cs="Times New Roman"/>
                <w:color w:val="000000"/>
                <w:sz w:val="24"/>
                <w:highlight w:val="none"/>
              </w:rPr>
              <w:t>指挥部职务</w:t>
            </w:r>
          </w:p>
        </w:tc>
        <w:tc>
          <w:tcPr>
            <w:tcW w:w="4262" w:type="dxa"/>
            <w:vAlign w:val="center"/>
          </w:tcPr>
          <w:p w14:paraId="3FB9482E">
            <w:pPr>
              <w:spacing w:line="560" w:lineRule="exact"/>
              <w:jc w:val="center"/>
              <w:rPr>
                <w:rFonts w:ascii="Times New Roman" w:hAnsi="Times New Roman" w:eastAsia="黑体" w:cs="Times New Roman"/>
                <w:color w:val="000000"/>
                <w:sz w:val="24"/>
                <w:highlight w:val="none"/>
              </w:rPr>
            </w:pPr>
            <w:r>
              <w:rPr>
                <w:rFonts w:ascii="Times New Roman" w:hAnsi="Times New Roman" w:eastAsia="黑体" w:cs="Times New Roman"/>
                <w:color w:val="000000"/>
                <w:sz w:val="24"/>
                <w:highlight w:val="none"/>
              </w:rPr>
              <w:t>工作单位及职务</w:t>
            </w:r>
          </w:p>
        </w:tc>
        <w:tc>
          <w:tcPr>
            <w:tcW w:w="2810" w:type="dxa"/>
            <w:vAlign w:val="center"/>
          </w:tcPr>
          <w:p w14:paraId="05BF9625">
            <w:pPr>
              <w:spacing w:line="560" w:lineRule="exact"/>
              <w:jc w:val="center"/>
              <w:rPr>
                <w:rFonts w:ascii="Times New Roman" w:hAnsi="Times New Roman" w:eastAsia="黑体" w:cs="Times New Roman"/>
                <w:color w:val="000000"/>
                <w:sz w:val="24"/>
                <w:highlight w:val="none"/>
              </w:rPr>
            </w:pPr>
            <w:r>
              <w:rPr>
                <w:rFonts w:hint="eastAsia" w:ascii="Times New Roman" w:hAnsi="Times New Roman" w:eastAsia="黑体" w:cs="Times New Roman"/>
                <w:color w:val="000000"/>
                <w:sz w:val="24"/>
                <w:highlight w:val="none"/>
              </w:rPr>
              <w:t>姓名及</w:t>
            </w:r>
            <w:r>
              <w:rPr>
                <w:rFonts w:ascii="Times New Roman" w:hAnsi="Times New Roman" w:eastAsia="黑体" w:cs="Times New Roman"/>
                <w:color w:val="000000"/>
                <w:sz w:val="24"/>
                <w:highlight w:val="none"/>
              </w:rPr>
              <w:t>联系电话</w:t>
            </w:r>
          </w:p>
        </w:tc>
      </w:tr>
      <w:tr w14:paraId="34AB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036" w:type="dxa"/>
            <w:vAlign w:val="center"/>
          </w:tcPr>
          <w:p w14:paraId="35EC6F0C">
            <w:pPr>
              <w:spacing w:line="5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总指挥</w:t>
            </w:r>
          </w:p>
        </w:tc>
        <w:tc>
          <w:tcPr>
            <w:tcW w:w="4262" w:type="dxa"/>
            <w:vAlign w:val="center"/>
          </w:tcPr>
          <w:p w14:paraId="2C1E329E">
            <w:pPr>
              <w:spacing w:line="560" w:lineRule="exact"/>
              <w:jc w:val="center"/>
              <w:rPr>
                <w:rFonts w:hint="eastAsia" w:ascii="Times New Roman" w:hAnsi="Times New Roman" w:eastAsia="仿宋_GB2312" w:cs="仿宋_GB2312"/>
                <w:color w:val="000000"/>
                <w:sz w:val="24"/>
                <w:highlight w:val="none"/>
              </w:rPr>
            </w:pPr>
            <w:r>
              <w:rPr>
                <w:rFonts w:hint="eastAsia" w:ascii="Times New Roman" w:hAnsi="Times New Roman" w:eastAsia="仿宋_GB2312" w:cs="仿宋_GB2312"/>
                <w:color w:val="000000"/>
                <w:sz w:val="24"/>
                <w:highlight w:val="none"/>
              </w:rPr>
              <w:t>分管应急管理的副</w:t>
            </w:r>
            <w:r>
              <w:rPr>
                <w:rFonts w:hint="eastAsia" w:ascii="Times New Roman" w:hAnsi="Times New Roman" w:eastAsia="仿宋_GB2312" w:cs="仿宋_GB2312"/>
                <w:color w:val="000000"/>
                <w:sz w:val="24"/>
                <w:highlight w:val="none"/>
                <w:lang w:val="en-US" w:eastAsia="zh-CN"/>
              </w:rPr>
              <w:t>县</w:t>
            </w:r>
            <w:r>
              <w:rPr>
                <w:rFonts w:hint="eastAsia" w:ascii="Times New Roman" w:hAnsi="Times New Roman" w:eastAsia="仿宋_GB2312" w:cs="仿宋_GB2312"/>
                <w:color w:val="000000"/>
                <w:sz w:val="24"/>
                <w:highlight w:val="none"/>
              </w:rPr>
              <w:t>长</w:t>
            </w:r>
          </w:p>
        </w:tc>
        <w:tc>
          <w:tcPr>
            <w:tcW w:w="2810" w:type="dxa"/>
            <w:vAlign w:val="center"/>
          </w:tcPr>
          <w:p w14:paraId="5632AD47">
            <w:pPr>
              <w:spacing w:line="560" w:lineRule="exact"/>
              <w:jc w:val="center"/>
              <w:rPr>
                <w:rFonts w:hint="default" w:ascii="Times New Roman" w:hAnsi="Times New Roman" w:eastAsia="仿宋_GB2312" w:cs="仿宋_GB2312"/>
                <w:color w:val="000000"/>
                <w:sz w:val="24"/>
                <w:highlight w:val="none"/>
                <w:lang w:val="en-US" w:eastAsia="zh-CN"/>
              </w:rPr>
            </w:pPr>
            <w:r>
              <w:rPr>
                <w:rFonts w:hint="eastAsia" w:ascii="Times New Roman" w:hAnsi="Times New Roman" w:eastAsia="仿宋_GB2312" w:cs="仿宋_GB2312"/>
                <w:color w:val="000000"/>
                <w:sz w:val="24"/>
                <w:highlight w:val="none"/>
                <w:lang w:val="en-US" w:eastAsia="zh-CN"/>
              </w:rPr>
              <w:t>孙啸 13966753577</w:t>
            </w:r>
          </w:p>
        </w:tc>
      </w:tr>
      <w:tr w14:paraId="2C0B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2036" w:type="dxa"/>
            <w:vAlign w:val="center"/>
          </w:tcPr>
          <w:p w14:paraId="642615D3">
            <w:pPr>
              <w:spacing w:line="5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副总指挥</w:t>
            </w:r>
          </w:p>
        </w:tc>
        <w:tc>
          <w:tcPr>
            <w:tcW w:w="4262" w:type="dxa"/>
            <w:vAlign w:val="center"/>
          </w:tcPr>
          <w:p w14:paraId="4153EEA9">
            <w:pPr>
              <w:spacing w:line="560" w:lineRule="exact"/>
              <w:jc w:val="center"/>
              <w:rPr>
                <w:rFonts w:hint="default" w:ascii="Times New Roman" w:hAnsi="Times New Roman" w:eastAsia="仿宋_GB2312" w:cs="仿宋_GB2312"/>
                <w:color w:val="000000"/>
                <w:sz w:val="24"/>
                <w:highlight w:val="none"/>
                <w:lang w:val="en-US" w:eastAsia="zh-CN"/>
              </w:rPr>
            </w:pPr>
            <w:r>
              <w:rPr>
                <w:rFonts w:hint="eastAsia" w:ascii="Times New Roman" w:hAnsi="Times New Roman" w:eastAsia="仿宋_GB2312" w:cs="仿宋_GB2312"/>
                <w:color w:val="000000"/>
                <w:sz w:val="24"/>
                <w:highlight w:val="none"/>
                <w:lang w:val="en-US" w:eastAsia="zh-CN"/>
              </w:rPr>
              <w:t>县政府办副主任</w:t>
            </w:r>
          </w:p>
        </w:tc>
        <w:tc>
          <w:tcPr>
            <w:tcW w:w="2810" w:type="dxa"/>
            <w:vAlign w:val="center"/>
          </w:tcPr>
          <w:p w14:paraId="67178CE6">
            <w:pPr>
              <w:spacing w:line="560" w:lineRule="exact"/>
              <w:jc w:val="center"/>
              <w:rPr>
                <w:rFonts w:hint="default" w:ascii="Times New Roman" w:hAnsi="Times New Roman" w:eastAsia="仿宋_GB2312" w:cs="仿宋_GB2312"/>
                <w:color w:val="000000"/>
                <w:sz w:val="24"/>
                <w:highlight w:val="none"/>
                <w:lang w:val="en-US" w:eastAsia="zh-CN"/>
              </w:rPr>
            </w:pPr>
            <w:r>
              <w:rPr>
                <w:rFonts w:hint="eastAsia" w:ascii="Times New Roman" w:hAnsi="Times New Roman" w:eastAsia="仿宋_GB2312" w:cs="仿宋_GB2312"/>
                <w:color w:val="000000"/>
                <w:sz w:val="24"/>
                <w:highlight w:val="none"/>
                <w:lang w:val="en-US" w:eastAsia="zh-CN"/>
              </w:rPr>
              <w:t>盛红雷 19909613669</w:t>
            </w:r>
          </w:p>
        </w:tc>
      </w:tr>
      <w:tr w14:paraId="7F7F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exact"/>
          <w:jc w:val="center"/>
        </w:trPr>
        <w:tc>
          <w:tcPr>
            <w:tcW w:w="2036" w:type="dxa"/>
            <w:vAlign w:val="center"/>
          </w:tcPr>
          <w:p w14:paraId="04F1B4C4">
            <w:pPr>
              <w:spacing w:line="3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副总指挥兼现场指挥长</w:t>
            </w:r>
          </w:p>
        </w:tc>
        <w:tc>
          <w:tcPr>
            <w:tcW w:w="4262" w:type="dxa"/>
            <w:vAlign w:val="center"/>
          </w:tcPr>
          <w:p w14:paraId="6AAC2B97">
            <w:pPr>
              <w:spacing w:line="560" w:lineRule="exact"/>
              <w:jc w:val="center"/>
              <w:rPr>
                <w:rFonts w:hint="eastAsia" w:ascii="Times New Roman" w:hAnsi="Times New Roman" w:eastAsia="仿宋_GB2312" w:cs="仿宋_GB2312"/>
                <w:color w:val="000000"/>
                <w:sz w:val="24"/>
                <w:highlight w:val="none"/>
              </w:rPr>
            </w:pPr>
            <w:r>
              <w:rPr>
                <w:rFonts w:hint="eastAsia" w:ascii="Times New Roman" w:hAnsi="Times New Roman" w:eastAsia="仿宋_GB2312" w:cs="仿宋_GB2312"/>
                <w:color w:val="000000"/>
                <w:sz w:val="24"/>
                <w:highlight w:val="none"/>
                <w:lang w:val="en-US" w:eastAsia="zh-CN"/>
              </w:rPr>
              <w:t>县</w:t>
            </w:r>
            <w:r>
              <w:rPr>
                <w:rFonts w:hint="eastAsia" w:ascii="Times New Roman" w:hAnsi="Times New Roman" w:eastAsia="仿宋_GB2312" w:cs="仿宋_GB2312"/>
                <w:color w:val="000000"/>
                <w:sz w:val="24"/>
                <w:highlight w:val="none"/>
              </w:rPr>
              <w:t>应急管理局局长</w:t>
            </w:r>
          </w:p>
        </w:tc>
        <w:tc>
          <w:tcPr>
            <w:tcW w:w="2810" w:type="dxa"/>
            <w:vAlign w:val="center"/>
          </w:tcPr>
          <w:p w14:paraId="77129CD3">
            <w:pPr>
              <w:spacing w:line="560" w:lineRule="exact"/>
              <w:jc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陈龙远 18056138585</w:t>
            </w:r>
          </w:p>
        </w:tc>
      </w:tr>
      <w:tr w14:paraId="6BA5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036" w:type="dxa"/>
            <w:vAlign w:val="center"/>
          </w:tcPr>
          <w:p w14:paraId="198680CF">
            <w:pPr>
              <w:spacing w:line="560" w:lineRule="exact"/>
              <w:jc w:val="center"/>
              <w:rPr>
                <w:rFonts w:hint="eastAsia"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rPr>
              <w:t>副总指挥</w:t>
            </w:r>
          </w:p>
        </w:tc>
        <w:tc>
          <w:tcPr>
            <w:tcW w:w="4262" w:type="dxa"/>
            <w:vAlign w:val="center"/>
          </w:tcPr>
          <w:p w14:paraId="009AB11C">
            <w:pPr>
              <w:spacing w:line="560" w:lineRule="exact"/>
              <w:jc w:val="center"/>
              <w:rPr>
                <w:rFonts w:hint="eastAsia" w:ascii="Times New Roman" w:hAnsi="Times New Roman" w:eastAsia="仿宋_GB2312" w:cs="仿宋_GB2312"/>
                <w:color w:val="000000"/>
                <w:sz w:val="24"/>
                <w:highlight w:val="none"/>
                <w:lang w:eastAsia="zh-CN"/>
              </w:rPr>
            </w:pPr>
            <w:r>
              <w:rPr>
                <w:rFonts w:hint="eastAsia" w:ascii="Times New Roman" w:hAnsi="Times New Roman" w:eastAsia="仿宋_GB2312" w:cs="仿宋_GB2312"/>
                <w:color w:val="000000"/>
                <w:sz w:val="24"/>
                <w:highlight w:val="none"/>
                <w:lang w:val="en-US" w:eastAsia="zh-CN"/>
              </w:rPr>
              <w:t>县</w:t>
            </w:r>
            <w:r>
              <w:rPr>
                <w:rFonts w:hint="eastAsia" w:ascii="Times New Roman" w:hAnsi="Times New Roman" w:eastAsia="仿宋_GB2312" w:cs="仿宋_GB2312"/>
                <w:color w:val="000000"/>
                <w:sz w:val="24"/>
                <w:highlight w:val="none"/>
              </w:rPr>
              <w:t>消防救援局政治</w:t>
            </w:r>
            <w:r>
              <w:rPr>
                <w:rFonts w:hint="eastAsia" w:ascii="Times New Roman" w:hAnsi="Times New Roman" w:eastAsia="仿宋_GB2312" w:cs="仿宋_GB2312"/>
                <w:color w:val="000000"/>
                <w:sz w:val="24"/>
                <w:highlight w:val="none"/>
                <w:lang w:val="en-US" w:eastAsia="zh-CN"/>
              </w:rPr>
              <w:t>教导员</w:t>
            </w:r>
          </w:p>
        </w:tc>
        <w:tc>
          <w:tcPr>
            <w:tcW w:w="2810" w:type="dxa"/>
            <w:vAlign w:val="center"/>
          </w:tcPr>
          <w:p w14:paraId="1F0F0E4F">
            <w:pPr>
              <w:spacing w:line="560" w:lineRule="exact"/>
              <w:jc w:val="center"/>
              <w:rPr>
                <w:rFonts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 xml:space="preserve"> 冯 涛</w:t>
            </w:r>
            <w:r>
              <w:rPr>
                <w:rFonts w:hint="eastAsia" w:ascii="Times New Roman" w:hAnsi="Times New Roman" w:eastAsia="仿宋_GB2312" w:cs="Times New Roman"/>
                <w:color w:val="000000"/>
                <w:sz w:val="24"/>
                <w:highlight w:val="none"/>
              </w:rPr>
              <w:t>13856130371</w:t>
            </w:r>
          </w:p>
        </w:tc>
      </w:tr>
      <w:tr w14:paraId="423A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jc w:val="center"/>
        </w:trPr>
        <w:tc>
          <w:tcPr>
            <w:tcW w:w="2036" w:type="dxa"/>
            <w:vAlign w:val="center"/>
          </w:tcPr>
          <w:p w14:paraId="6128367B">
            <w:pPr>
              <w:spacing w:line="5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成员</w:t>
            </w:r>
          </w:p>
        </w:tc>
        <w:tc>
          <w:tcPr>
            <w:tcW w:w="4262" w:type="dxa"/>
            <w:vAlign w:val="center"/>
          </w:tcPr>
          <w:p w14:paraId="60C1A893">
            <w:pPr>
              <w:spacing w:line="560" w:lineRule="exact"/>
              <w:jc w:val="center"/>
              <w:rPr>
                <w:rFonts w:hint="eastAsia" w:ascii="Times New Roman" w:hAnsi="Times New Roman" w:eastAsia="仿宋_GB2312" w:cs="仿宋_GB2312"/>
                <w:color w:val="000000"/>
                <w:sz w:val="24"/>
                <w:highlight w:val="none"/>
                <w:lang w:eastAsia="zh-CN"/>
              </w:rPr>
            </w:pPr>
            <w:r>
              <w:rPr>
                <w:rFonts w:hint="eastAsia" w:ascii="Times New Roman" w:hAnsi="Times New Roman" w:eastAsia="仿宋_GB2312" w:cs="仿宋_GB2312"/>
                <w:color w:val="000000"/>
                <w:sz w:val="24"/>
                <w:highlight w:val="none"/>
                <w:lang w:val="en-US" w:eastAsia="zh-CN"/>
              </w:rPr>
              <w:t>县</w:t>
            </w:r>
            <w:r>
              <w:rPr>
                <w:rFonts w:hint="eastAsia" w:ascii="Times New Roman" w:hAnsi="Times New Roman" w:eastAsia="仿宋_GB2312" w:cs="仿宋_GB2312"/>
                <w:color w:val="000000"/>
                <w:sz w:val="24"/>
                <w:highlight w:val="none"/>
              </w:rPr>
              <w:t>应急管理局</w:t>
            </w:r>
            <w:r>
              <w:rPr>
                <w:rFonts w:hint="eastAsia" w:ascii="Times New Roman" w:hAnsi="Times New Roman" w:eastAsia="仿宋_GB2312" w:cs="仿宋_GB2312"/>
                <w:color w:val="000000"/>
                <w:sz w:val="24"/>
                <w:highlight w:val="none"/>
                <w:lang w:val="en-US" w:eastAsia="zh-CN"/>
              </w:rPr>
              <w:t>党委委员</w:t>
            </w:r>
          </w:p>
        </w:tc>
        <w:tc>
          <w:tcPr>
            <w:tcW w:w="2810" w:type="dxa"/>
            <w:vAlign w:val="center"/>
          </w:tcPr>
          <w:p w14:paraId="0BFD8DD4">
            <w:pPr>
              <w:spacing w:line="560" w:lineRule="exact"/>
              <w:jc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刘 峰18905617213</w:t>
            </w:r>
          </w:p>
        </w:tc>
      </w:tr>
      <w:tr w14:paraId="3415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036" w:type="dxa"/>
            <w:vAlign w:val="center"/>
          </w:tcPr>
          <w:p w14:paraId="3DB80119">
            <w:pPr>
              <w:spacing w:line="5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成员</w:t>
            </w:r>
          </w:p>
        </w:tc>
        <w:tc>
          <w:tcPr>
            <w:tcW w:w="4262" w:type="dxa"/>
            <w:vAlign w:val="center"/>
          </w:tcPr>
          <w:p w14:paraId="497906A4">
            <w:pPr>
              <w:spacing w:line="560" w:lineRule="exact"/>
              <w:jc w:val="center"/>
              <w:rPr>
                <w:rFonts w:hint="eastAsia" w:ascii="Times New Roman" w:hAnsi="Times New Roman" w:eastAsia="仿宋_GB2312" w:cs="仿宋_GB2312"/>
                <w:color w:val="000000"/>
                <w:sz w:val="24"/>
                <w:highlight w:val="none"/>
              </w:rPr>
            </w:pPr>
            <w:r>
              <w:rPr>
                <w:rFonts w:hint="eastAsia" w:ascii="Times New Roman" w:hAnsi="Times New Roman" w:eastAsia="仿宋_GB2312" w:cs="仿宋_GB2312"/>
                <w:bCs/>
                <w:color w:val="000000"/>
                <w:sz w:val="24"/>
                <w:highlight w:val="none"/>
                <w:lang w:val="en-US" w:eastAsia="zh-CN"/>
              </w:rPr>
              <w:t>县</w:t>
            </w:r>
            <w:r>
              <w:rPr>
                <w:rFonts w:hint="eastAsia" w:ascii="Times New Roman" w:hAnsi="Times New Roman" w:eastAsia="仿宋_GB2312" w:cs="仿宋_GB2312"/>
                <w:bCs/>
                <w:color w:val="000000"/>
                <w:sz w:val="24"/>
                <w:highlight w:val="none"/>
              </w:rPr>
              <w:t>委宣传部副部长</w:t>
            </w:r>
          </w:p>
        </w:tc>
        <w:tc>
          <w:tcPr>
            <w:tcW w:w="2810" w:type="dxa"/>
            <w:vAlign w:val="center"/>
          </w:tcPr>
          <w:p w14:paraId="6A8DCBF4">
            <w:pPr>
              <w:spacing w:line="560" w:lineRule="exact"/>
              <w:jc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李莹 18109617288</w:t>
            </w:r>
          </w:p>
        </w:tc>
      </w:tr>
      <w:tr w14:paraId="4777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2036" w:type="dxa"/>
            <w:vAlign w:val="center"/>
          </w:tcPr>
          <w:p w14:paraId="3D3EED56">
            <w:pPr>
              <w:spacing w:line="5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成员</w:t>
            </w:r>
          </w:p>
        </w:tc>
        <w:tc>
          <w:tcPr>
            <w:tcW w:w="4262" w:type="dxa"/>
            <w:vAlign w:val="center"/>
          </w:tcPr>
          <w:p w14:paraId="1A604519">
            <w:pPr>
              <w:spacing w:line="560" w:lineRule="exact"/>
              <w:jc w:val="center"/>
              <w:rPr>
                <w:rFonts w:hint="eastAsia" w:ascii="Times New Roman" w:hAnsi="Times New Roman" w:eastAsia="仿宋_GB2312" w:cs="仿宋_GB2312"/>
                <w:color w:val="000000"/>
                <w:sz w:val="24"/>
                <w:highlight w:val="none"/>
              </w:rPr>
            </w:pPr>
            <w:r>
              <w:rPr>
                <w:rFonts w:hint="eastAsia" w:ascii="Times New Roman" w:hAnsi="Times New Roman" w:eastAsia="仿宋_GB2312" w:cs="仿宋_GB2312"/>
                <w:bCs/>
                <w:color w:val="000000"/>
                <w:sz w:val="24"/>
                <w:highlight w:val="none"/>
                <w:lang w:val="en-US" w:eastAsia="zh-CN"/>
              </w:rPr>
              <w:t>县</w:t>
            </w:r>
            <w:r>
              <w:rPr>
                <w:rFonts w:hint="eastAsia" w:ascii="Times New Roman" w:hAnsi="Times New Roman" w:eastAsia="仿宋_GB2312" w:cs="仿宋_GB2312"/>
                <w:bCs/>
                <w:color w:val="000000"/>
                <w:sz w:val="24"/>
                <w:highlight w:val="none"/>
              </w:rPr>
              <w:t>工信局副局长</w:t>
            </w:r>
          </w:p>
        </w:tc>
        <w:tc>
          <w:tcPr>
            <w:tcW w:w="2810" w:type="dxa"/>
            <w:vAlign w:val="center"/>
          </w:tcPr>
          <w:p w14:paraId="36312193">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谢麒麟 13696660856</w:t>
            </w:r>
          </w:p>
        </w:tc>
      </w:tr>
      <w:tr w14:paraId="34B2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2036" w:type="dxa"/>
            <w:vAlign w:val="center"/>
          </w:tcPr>
          <w:p w14:paraId="2CB2BC98">
            <w:pPr>
              <w:spacing w:line="5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成员</w:t>
            </w:r>
          </w:p>
        </w:tc>
        <w:tc>
          <w:tcPr>
            <w:tcW w:w="4262" w:type="dxa"/>
            <w:vAlign w:val="center"/>
          </w:tcPr>
          <w:p w14:paraId="2232DB06">
            <w:pPr>
              <w:spacing w:line="560" w:lineRule="exact"/>
              <w:jc w:val="center"/>
              <w:rPr>
                <w:rFonts w:hint="eastAsia" w:ascii="Times New Roman" w:hAnsi="Times New Roman" w:eastAsia="仿宋_GB2312" w:cs="仿宋_GB2312"/>
                <w:color w:val="000000"/>
                <w:sz w:val="24"/>
                <w:highlight w:val="none"/>
                <w:lang w:eastAsia="zh-CN"/>
              </w:rPr>
            </w:pPr>
            <w:r>
              <w:rPr>
                <w:rFonts w:hint="eastAsia" w:ascii="Times New Roman" w:hAnsi="Times New Roman" w:eastAsia="仿宋_GB2312" w:cs="仿宋_GB2312"/>
                <w:bCs/>
                <w:color w:val="000000"/>
                <w:sz w:val="24"/>
                <w:highlight w:val="none"/>
                <w:lang w:val="en-US" w:eastAsia="zh-CN"/>
              </w:rPr>
              <w:t>县</w:t>
            </w:r>
            <w:r>
              <w:rPr>
                <w:rFonts w:hint="eastAsia" w:ascii="Times New Roman" w:hAnsi="Times New Roman" w:eastAsia="仿宋_GB2312" w:cs="仿宋_GB2312"/>
                <w:bCs/>
                <w:color w:val="000000"/>
                <w:sz w:val="24"/>
                <w:highlight w:val="none"/>
              </w:rPr>
              <w:t>财政局</w:t>
            </w:r>
            <w:r>
              <w:rPr>
                <w:rFonts w:hint="eastAsia" w:ascii="Times New Roman" w:hAnsi="Times New Roman" w:eastAsia="仿宋_GB2312" w:cs="仿宋_GB2312"/>
                <w:color w:val="000000"/>
                <w:sz w:val="24"/>
                <w:highlight w:val="none"/>
                <w:lang w:val="en-US" w:eastAsia="zh-CN"/>
              </w:rPr>
              <w:t>副局长</w:t>
            </w:r>
          </w:p>
        </w:tc>
        <w:tc>
          <w:tcPr>
            <w:tcW w:w="2810" w:type="dxa"/>
            <w:vAlign w:val="center"/>
          </w:tcPr>
          <w:p w14:paraId="72A8BA22">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徐东旭 15156177688</w:t>
            </w:r>
          </w:p>
        </w:tc>
      </w:tr>
      <w:tr w14:paraId="21A6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2036" w:type="dxa"/>
            <w:vAlign w:val="center"/>
          </w:tcPr>
          <w:p w14:paraId="0626D3D9">
            <w:pPr>
              <w:spacing w:line="5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成员</w:t>
            </w:r>
          </w:p>
        </w:tc>
        <w:tc>
          <w:tcPr>
            <w:tcW w:w="4262" w:type="dxa"/>
            <w:vAlign w:val="center"/>
          </w:tcPr>
          <w:p w14:paraId="1F178913">
            <w:pPr>
              <w:spacing w:line="560" w:lineRule="exact"/>
              <w:jc w:val="center"/>
              <w:rPr>
                <w:rFonts w:hint="eastAsia" w:ascii="Times New Roman" w:hAnsi="Times New Roman" w:eastAsia="仿宋_GB2312" w:cs="仿宋_GB2312"/>
                <w:color w:val="000000"/>
                <w:sz w:val="24"/>
                <w:highlight w:val="none"/>
                <w:lang w:eastAsia="zh-CN"/>
              </w:rPr>
            </w:pPr>
            <w:r>
              <w:rPr>
                <w:rFonts w:hint="eastAsia" w:ascii="Times New Roman" w:hAnsi="Times New Roman" w:eastAsia="仿宋_GB2312" w:cs="仿宋_GB2312"/>
                <w:bCs/>
                <w:color w:val="000000"/>
                <w:sz w:val="24"/>
                <w:highlight w:val="none"/>
                <w:lang w:val="en-US" w:eastAsia="zh-CN"/>
              </w:rPr>
              <w:t>县</w:t>
            </w:r>
            <w:r>
              <w:rPr>
                <w:rFonts w:hint="eastAsia" w:ascii="Times New Roman" w:hAnsi="Times New Roman" w:eastAsia="仿宋_GB2312" w:cs="仿宋_GB2312"/>
                <w:bCs/>
                <w:color w:val="000000"/>
                <w:sz w:val="24"/>
                <w:highlight w:val="none"/>
              </w:rPr>
              <w:t>生态环境</w:t>
            </w:r>
            <w:r>
              <w:rPr>
                <w:rFonts w:hint="eastAsia" w:ascii="Times New Roman" w:hAnsi="Times New Roman" w:eastAsia="仿宋_GB2312" w:cs="仿宋_GB2312"/>
                <w:bCs/>
                <w:color w:val="000000"/>
                <w:sz w:val="24"/>
                <w:highlight w:val="none"/>
                <w:lang w:val="en-US" w:eastAsia="zh-CN"/>
              </w:rPr>
              <w:t>分</w:t>
            </w:r>
            <w:r>
              <w:rPr>
                <w:rFonts w:hint="eastAsia" w:ascii="Times New Roman" w:hAnsi="Times New Roman" w:eastAsia="仿宋_GB2312" w:cs="仿宋_GB2312"/>
                <w:bCs/>
                <w:color w:val="000000"/>
                <w:sz w:val="24"/>
                <w:highlight w:val="none"/>
              </w:rPr>
              <w:t>局</w:t>
            </w:r>
            <w:r>
              <w:rPr>
                <w:rFonts w:hint="eastAsia" w:ascii="Times New Roman" w:hAnsi="Times New Roman" w:eastAsia="仿宋_GB2312" w:cs="仿宋_GB2312"/>
                <w:color w:val="000000"/>
                <w:sz w:val="24"/>
                <w:highlight w:val="none"/>
                <w:lang w:val="en-US" w:eastAsia="zh-CN"/>
              </w:rPr>
              <w:t>副局长</w:t>
            </w:r>
          </w:p>
        </w:tc>
        <w:tc>
          <w:tcPr>
            <w:tcW w:w="2810" w:type="dxa"/>
            <w:vAlign w:val="center"/>
          </w:tcPr>
          <w:p w14:paraId="78722722">
            <w:pPr>
              <w:spacing w:line="56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祖峰19356150818</w:t>
            </w:r>
          </w:p>
        </w:tc>
      </w:tr>
      <w:tr w14:paraId="0718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036" w:type="dxa"/>
            <w:vAlign w:val="center"/>
          </w:tcPr>
          <w:p w14:paraId="07C6147D">
            <w:pPr>
              <w:spacing w:line="560" w:lineRule="exact"/>
              <w:jc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成员</w:t>
            </w:r>
          </w:p>
        </w:tc>
        <w:tc>
          <w:tcPr>
            <w:tcW w:w="4262" w:type="dxa"/>
            <w:vAlign w:val="center"/>
          </w:tcPr>
          <w:p w14:paraId="19E76B11">
            <w:pPr>
              <w:spacing w:line="560" w:lineRule="exact"/>
              <w:jc w:val="center"/>
              <w:rPr>
                <w:rFonts w:hint="eastAsia" w:ascii="Times New Roman" w:hAnsi="Times New Roman" w:eastAsia="仿宋_GB2312" w:cs="仿宋_GB2312"/>
                <w:color w:val="000000"/>
                <w:sz w:val="24"/>
                <w:highlight w:val="none"/>
              </w:rPr>
            </w:pPr>
            <w:r>
              <w:rPr>
                <w:rFonts w:hint="eastAsia" w:ascii="Times New Roman" w:hAnsi="Times New Roman" w:eastAsia="仿宋_GB2312" w:cs="仿宋_GB2312"/>
                <w:color w:val="000000"/>
                <w:sz w:val="24"/>
                <w:highlight w:val="none"/>
                <w:lang w:val="en-US" w:eastAsia="zh-CN"/>
              </w:rPr>
              <w:t>县</w:t>
            </w:r>
            <w:r>
              <w:rPr>
                <w:rFonts w:hint="eastAsia" w:ascii="Times New Roman" w:hAnsi="Times New Roman" w:eastAsia="仿宋_GB2312" w:cs="仿宋_GB2312"/>
                <w:color w:val="000000"/>
                <w:sz w:val="24"/>
                <w:highlight w:val="none"/>
              </w:rPr>
              <w:t>交通运输局副局长</w:t>
            </w:r>
          </w:p>
        </w:tc>
        <w:tc>
          <w:tcPr>
            <w:tcW w:w="2810" w:type="dxa"/>
            <w:vAlign w:val="center"/>
          </w:tcPr>
          <w:p w14:paraId="5D248518">
            <w:pPr>
              <w:spacing w:line="56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王志超 18905613812</w:t>
            </w:r>
          </w:p>
        </w:tc>
      </w:tr>
      <w:tr w14:paraId="675D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4DC189B5">
            <w:pPr>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成员</w:t>
            </w:r>
          </w:p>
        </w:tc>
        <w:tc>
          <w:tcPr>
            <w:tcW w:w="4262" w:type="dxa"/>
            <w:vAlign w:val="center"/>
          </w:tcPr>
          <w:p w14:paraId="51E6DBB8">
            <w:pPr>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卫健委副主任</w:t>
            </w:r>
          </w:p>
        </w:tc>
        <w:tc>
          <w:tcPr>
            <w:tcW w:w="2810" w:type="dxa"/>
            <w:vAlign w:val="center"/>
          </w:tcPr>
          <w:p w14:paraId="7B2C8A93">
            <w:pPr>
              <w:spacing w:line="56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孟引 13731865599</w:t>
            </w:r>
          </w:p>
        </w:tc>
      </w:tr>
      <w:tr w14:paraId="71D8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1EA7AA96">
            <w:pPr>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成员</w:t>
            </w:r>
          </w:p>
        </w:tc>
        <w:tc>
          <w:tcPr>
            <w:tcW w:w="4262" w:type="dxa"/>
            <w:vAlign w:val="center"/>
          </w:tcPr>
          <w:p w14:paraId="50F318B8">
            <w:pPr>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公安局副局长</w:t>
            </w:r>
          </w:p>
        </w:tc>
        <w:tc>
          <w:tcPr>
            <w:tcW w:w="2810" w:type="dxa"/>
            <w:vAlign w:val="center"/>
          </w:tcPr>
          <w:p w14:paraId="07A71728">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李勇13605619299</w:t>
            </w:r>
          </w:p>
        </w:tc>
      </w:tr>
      <w:tr w14:paraId="0BFB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319C1D1D">
            <w:pPr>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成员</w:t>
            </w:r>
          </w:p>
        </w:tc>
        <w:tc>
          <w:tcPr>
            <w:tcW w:w="4262" w:type="dxa"/>
            <w:vAlign w:val="center"/>
          </w:tcPr>
          <w:p w14:paraId="36772BBC">
            <w:pPr>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民政局副局长</w:t>
            </w:r>
          </w:p>
        </w:tc>
        <w:tc>
          <w:tcPr>
            <w:tcW w:w="2810" w:type="dxa"/>
            <w:vAlign w:val="center"/>
          </w:tcPr>
          <w:p w14:paraId="635FD3D6">
            <w:pPr>
              <w:spacing w:line="56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胡朝利13965856813</w:t>
            </w:r>
          </w:p>
        </w:tc>
      </w:tr>
      <w:tr w14:paraId="6435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24623876">
            <w:pPr>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成员</w:t>
            </w:r>
          </w:p>
        </w:tc>
        <w:tc>
          <w:tcPr>
            <w:tcW w:w="4262" w:type="dxa"/>
            <w:vAlign w:val="center"/>
          </w:tcPr>
          <w:p w14:paraId="1610B5FC">
            <w:pPr>
              <w:spacing w:line="560" w:lineRule="exact"/>
              <w:jc w:val="center"/>
              <w:rPr>
                <w:rFonts w:hint="eastAsia" w:ascii="Times New Roman" w:hAnsi="Times New Roman" w:eastAsia="仿宋_GB2312" w:cs="仿宋_GB2312"/>
                <w:color w:val="000000"/>
                <w:sz w:val="24"/>
                <w:lang w:eastAsia="zh-CN"/>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市监局</w:t>
            </w:r>
            <w:r>
              <w:rPr>
                <w:rFonts w:hint="eastAsia" w:ascii="Times New Roman" w:hAnsi="Times New Roman" w:eastAsia="仿宋_GB2312" w:cs="仿宋_GB2312"/>
                <w:color w:val="000000"/>
                <w:sz w:val="24"/>
                <w:lang w:val="en-US" w:eastAsia="zh-CN"/>
              </w:rPr>
              <w:t>党委委员</w:t>
            </w:r>
          </w:p>
        </w:tc>
        <w:tc>
          <w:tcPr>
            <w:tcW w:w="2810" w:type="dxa"/>
            <w:vAlign w:val="center"/>
          </w:tcPr>
          <w:p w14:paraId="28C9BADC">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rPr>
              <w:t>徐敬东</w:t>
            </w:r>
            <w:r>
              <w:rPr>
                <w:rFonts w:hint="eastAsia" w:ascii="Times New Roman" w:hAnsi="Times New Roman" w:eastAsia="仿宋_GB2312" w:cs="Times New Roman"/>
                <w:color w:val="000000"/>
                <w:sz w:val="24"/>
                <w:lang w:val="en-US" w:eastAsia="zh-CN"/>
              </w:rPr>
              <w:t xml:space="preserve"> 13605618880</w:t>
            </w:r>
          </w:p>
        </w:tc>
      </w:tr>
      <w:tr w14:paraId="597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5B154D2B">
            <w:pPr>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成员</w:t>
            </w:r>
          </w:p>
        </w:tc>
        <w:tc>
          <w:tcPr>
            <w:tcW w:w="4262" w:type="dxa"/>
            <w:vAlign w:val="center"/>
          </w:tcPr>
          <w:p w14:paraId="495E5878">
            <w:pPr>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城管局副局长</w:t>
            </w:r>
          </w:p>
        </w:tc>
        <w:tc>
          <w:tcPr>
            <w:tcW w:w="2810" w:type="dxa"/>
            <w:vAlign w:val="center"/>
          </w:tcPr>
          <w:p w14:paraId="0BEF06FE">
            <w:pPr>
              <w:keepNext w:val="0"/>
              <w:keepLines w:val="0"/>
              <w:widowControl/>
              <w:suppressLineNumbers w:val="0"/>
              <w:spacing w:before="0" w:beforeAutospacing="0" w:after="0" w:afterAutospacing="0" w:line="560" w:lineRule="exact"/>
              <w:ind w:left="0" w:right="0"/>
              <w:jc w:val="center"/>
              <w:rPr>
                <w:rFonts w:ascii="Times New Roman" w:hAnsi="Times New Roman" w:eastAsia="宋体" w:cs="Times New Roman"/>
                <w:color w:val="000000"/>
                <w:kern w:val="0"/>
                <w:sz w:val="24"/>
                <w:szCs w:val="24"/>
                <w:lang w:val="en-US" w:eastAsia="zh-CN" w:bidi="ar"/>
              </w:rPr>
            </w:pPr>
            <w:r>
              <w:rPr>
                <w:rFonts w:ascii="Times New Roman" w:hAnsi="Times New Roman" w:eastAsia="仿宋" w:cs="仿宋"/>
                <w:b w:val="0"/>
                <w:bCs w:val="0"/>
                <w:i w:val="0"/>
                <w:iCs w:val="0"/>
                <w:color w:val="000000"/>
                <w:spacing w:val="0"/>
                <w:w w:val="100"/>
                <w:kern w:val="0"/>
                <w:sz w:val="24"/>
                <w:szCs w:val="24"/>
                <w:vertAlign w:val="baseline"/>
                <w:lang w:val="en-US" w:eastAsia="zh-CN" w:bidi="ar"/>
              </w:rPr>
              <w:t>郑万彬 13966123444</w:t>
            </w:r>
          </w:p>
          <w:p w14:paraId="2AEDECDF">
            <w:pPr>
              <w:spacing w:line="560" w:lineRule="exact"/>
              <w:jc w:val="center"/>
              <w:rPr>
                <w:rFonts w:ascii="Times New Roman" w:hAnsi="Times New Roman" w:eastAsia="仿宋_GB2312" w:cs="Times New Roman"/>
                <w:color w:val="000000"/>
                <w:sz w:val="24"/>
              </w:rPr>
            </w:pPr>
          </w:p>
        </w:tc>
      </w:tr>
      <w:tr w14:paraId="65BA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7668950D">
            <w:pPr>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成员</w:t>
            </w:r>
          </w:p>
        </w:tc>
        <w:tc>
          <w:tcPr>
            <w:tcW w:w="4262" w:type="dxa"/>
            <w:vAlign w:val="center"/>
          </w:tcPr>
          <w:p w14:paraId="1A7939E7">
            <w:pPr>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气象局副局长</w:t>
            </w:r>
          </w:p>
        </w:tc>
        <w:tc>
          <w:tcPr>
            <w:tcW w:w="2810" w:type="dxa"/>
            <w:vAlign w:val="center"/>
          </w:tcPr>
          <w:p w14:paraId="6708E27E">
            <w:pPr>
              <w:spacing w:line="56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袁野 18056162707</w:t>
            </w:r>
          </w:p>
        </w:tc>
      </w:tr>
      <w:tr w14:paraId="3EF3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7692BF83">
            <w:pPr>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成员</w:t>
            </w:r>
          </w:p>
        </w:tc>
        <w:tc>
          <w:tcPr>
            <w:tcW w:w="4262" w:type="dxa"/>
            <w:vAlign w:val="center"/>
          </w:tcPr>
          <w:p w14:paraId="43C94A18">
            <w:pPr>
              <w:spacing w:line="560" w:lineRule="exact"/>
              <w:jc w:val="center"/>
              <w:rPr>
                <w:rFonts w:hint="default"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消防救援局</w:t>
            </w:r>
            <w:r>
              <w:rPr>
                <w:rFonts w:hint="eastAsia" w:ascii="Times New Roman" w:hAnsi="Times New Roman" w:eastAsia="仿宋_GB2312" w:cs="仿宋_GB2312"/>
                <w:color w:val="000000"/>
                <w:sz w:val="24"/>
                <w:lang w:val="en-US" w:eastAsia="zh-CN"/>
              </w:rPr>
              <w:t>党委委员、站长</w:t>
            </w:r>
          </w:p>
        </w:tc>
        <w:tc>
          <w:tcPr>
            <w:tcW w:w="2810" w:type="dxa"/>
            <w:vAlign w:val="center"/>
          </w:tcPr>
          <w:p w14:paraId="3736F52B">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张一驰13956480495</w:t>
            </w:r>
          </w:p>
          <w:p w14:paraId="4CBF31A5">
            <w:pPr>
              <w:spacing w:line="560" w:lineRule="exact"/>
              <w:jc w:val="center"/>
              <w:rPr>
                <w:rFonts w:hint="eastAsia" w:ascii="Times New Roman" w:hAnsi="Times New Roman" w:eastAsia="仿宋_GB2312" w:cs="Times New Roman"/>
                <w:color w:val="000000"/>
                <w:sz w:val="24"/>
                <w:lang w:val="en-US" w:eastAsia="zh-CN"/>
              </w:rPr>
            </w:pPr>
          </w:p>
        </w:tc>
      </w:tr>
      <w:tr w14:paraId="65DA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22F0B984">
            <w:pPr>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成员</w:t>
            </w:r>
          </w:p>
        </w:tc>
        <w:tc>
          <w:tcPr>
            <w:tcW w:w="4262" w:type="dxa"/>
            <w:vAlign w:val="center"/>
          </w:tcPr>
          <w:p w14:paraId="04BAD8F2">
            <w:pPr>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武警</w:t>
            </w:r>
            <w:r>
              <w:rPr>
                <w:rFonts w:hint="eastAsia" w:ascii="Times New Roman" w:hAnsi="Times New Roman" w:eastAsia="仿宋_GB2312" w:cs="仿宋_GB2312"/>
                <w:color w:val="000000"/>
                <w:sz w:val="24"/>
                <w:lang w:val="en-US" w:eastAsia="zh-CN"/>
              </w:rPr>
              <w:t>中</w:t>
            </w:r>
            <w:r>
              <w:rPr>
                <w:rFonts w:hint="eastAsia" w:ascii="Times New Roman" w:hAnsi="Times New Roman" w:eastAsia="仿宋_GB2312" w:cs="仿宋_GB2312"/>
                <w:color w:val="000000"/>
                <w:sz w:val="24"/>
              </w:rPr>
              <w:t>队</w:t>
            </w:r>
            <w:r>
              <w:rPr>
                <w:rFonts w:hint="eastAsia" w:ascii="Times New Roman" w:hAnsi="Times New Roman" w:eastAsia="仿宋_GB2312" w:cs="仿宋_GB2312"/>
                <w:color w:val="000000"/>
                <w:sz w:val="24"/>
                <w:lang w:val="en-US" w:eastAsia="zh-CN"/>
              </w:rPr>
              <w:t>中</w:t>
            </w:r>
            <w:r>
              <w:rPr>
                <w:rFonts w:hint="eastAsia" w:ascii="Times New Roman" w:hAnsi="Times New Roman" w:eastAsia="仿宋_GB2312" w:cs="仿宋_GB2312"/>
                <w:color w:val="000000"/>
                <w:sz w:val="24"/>
              </w:rPr>
              <w:t>队长</w:t>
            </w:r>
          </w:p>
        </w:tc>
        <w:tc>
          <w:tcPr>
            <w:tcW w:w="2810" w:type="dxa"/>
            <w:vAlign w:val="center"/>
          </w:tcPr>
          <w:p w14:paraId="5984B147">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范翱翔 19156502225</w:t>
            </w:r>
          </w:p>
        </w:tc>
      </w:tr>
      <w:tr w14:paraId="3180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36" w:type="dxa"/>
            <w:vAlign w:val="center"/>
          </w:tcPr>
          <w:p w14:paraId="4ED5ABD6">
            <w:pPr>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成员</w:t>
            </w:r>
          </w:p>
        </w:tc>
        <w:tc>
          <w:tcPr>
            <w:tcW w:w="4262" w:type="dxa"/>
            <w:vAlign w:val="center"/>
          </w:tcPr>
          <w:p w14:paraId="0C680EB5">
            <w:pPr>
              <w:adjustRightInd w:val="0"/>
              <w:snapToGrid w:val="0"/>
              <w:spacing w:line="560" w:lineRule="exact"/>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县</w:t>
            </w:r>
            <w:r>
              <w:rPr>
                <w:rFonts w:hint="eastAsia" w:ascii="Times New Roman" w:hAnsi="Times New Roman" w:eastAsia="仿宋_GB2312" w:cs="仿宋_GB2312"/>
                <w:color w:val="000000"/>
                <w:sz w:val="24"/>
              </w:rPr>
              <w:t>公安</w:t>
            </w:r>
            <w:r>
              <w:rPr>
                <w:rFonts w:hint="eastAsia" w:ascii="Times New Roman" w:hAnsi="Times New Roman" w:eastAsia="仿宋_GB2312" w:cs="仿宋_GB2312"/>
                <w:color w:val="000000"/>
                <w:sz w:val="24"/>
                <w:lang w:eastAsia="zh-CN"/>
              </w:rPr>
              <w:t>局交管</w:t>
            </w:r>
            <w:r>
              <w:rPr>
                <w:rFonts w:hint="eastAsia" w:ascii="Times New Roman" w:hAnsi="Times New Roman" w:eastAsia="仿宋_GB2312" w:cs="仿宋_GB2312"/>
                <w:color w:val="000000"/>
                <w:sz w:val="24"/>
                <w:lang w:val="en-US" w:eastAsia="zh-CN"/>
              </w:rPr>
              <w:t>大</w:t>
            </w:r>
            <w:r>
              <w:rPr>
                <w:rFonts w:hint="eastAsia" w:ascii="Times New Roman" w:hAnsi="Times New Roman" w:eastAsia="仿宋_GB2312" w:cs="仿宋_GB2312"/>
                <w:color w:val="000000"/>
                <w:sz w:val="24"/>
              </w:rPr>
              <w:t>队</w:t>
            </w:r>
            <w:r>
              <w:rPr>
                <w:rFonts w:hint="eastAsia" w:ascii="Times New Roman" w:hAnsi="Times New Roman" w:eastAsia="仿宋_GB2312" w:cs="仿宋_GB2312"/>
                <w:color w:val="000000"/>
                <w:sz w:val="24"/>
                <w:lang w:val="en-US" w:eastAsia="zh-CN"/>
              </w:rPr>
              <w:t>大</w:t>
            </w:r>
            <w:r>
              <w:rPr>
                <w:rFonts w:hint="eastAsia" w:ascii="Times New Roman" w:hAnsi="Times New Roman" w:eastAsia="仿宋_GB2312" w:cs="仿宋_GB2312"/>
                <w:color w:val="000000"/>
                <w:sz w:val="24"/>
              </w:rPr>
              <w:t>队长</w:t>
            </w:r>
          </w:p>
        </w:tc>
        <w:tc>
          <w:tcPr>
            <w:tcW w:w="2810" w:type="dxa"/>
            <w:vAlign w:val="center"/>
          </w:tcPr>
          <w:p w14:paraId="154BE5E3">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李保龙 15156199393</w:t>
            </w:r>
          </w:p>
        </w:tc>
      </w:tr>
    </w:tbl>
    <w:p w14:paraId="2B072163">
      <w:pPr>
        <w:ind w:left="0" w:leftChars="0"/>
        <w:rPr>
          <w:rFonts w:hint="eastAsia" w:ascii="Times New Roman" w:hAnsi="Times New Roman"/>
          <w:color w:val="000000"/>
        </w:rPr>
        <w:sectPr>
          <w:pgSz w:w="11906" w:h="16838"/>
          <w:pgMar w:top="2098" w:right="1474" w:bottom="1984" w:left="1587" w:header="851" w:footer="992" w:gutter="0"/>
          <w:pgNumType w:fmt="decimal"/>
          <w:cols w:space="425" w:num="1"/>
          <w:docGrid w:type="lines" w:linePitch="312" w:charSpace="0"/>
        </w:sectPr>
      </w:pPr>
    </w:p>
    <w:p w14:paraId="092A04F2">
      <w:pPr>
        <w:spacing w:line="560" w:lineRule="exact"/>
        <w:rPr>
          <w:rFonts w:hint="eastAsia" w:ascii="黑体" w:hAnsi="黑体" w:eastAsia="黑体" w:cs="黑体"/>
          <w:color w:val="000000"/>
          <w:sz w:val="32"/>
          <w:szCs w:val="48"/>
          <w:highlight w:val="none"/>
        </w:rPr>
      </w:pPr>
      <w:r>
        <w:rPr>
          <w:rFonts w:hint="eastAsia" w:ascii="黑体" w:hAnsi="黑体" w:eastAsia="黑体" w:cs="黑体"/>
          <w:color w:val="000000"/>
          <w:sz w:val="32"/>
          <w:szCs w:val="48"/>
          <w:highlight w:val="none"/>
        </w:rPr>
        <w:t>附件2</w:t>
      </w:r>
    </w:p>
    <w:p w14:paraId="43B65463">
      <w:pPr>
        <w:spacing w:line="580" w:lineRule="exact"/>
        <w:jc w:val="center"/>
        <w:rPr>
          <w:rFonts w:hint="eastAsia" w:ascii="Times New Roman" w:hAnsi="Times New Roman" w:eastAsia="方正小标宋简体" w:cs="方正小标宋简体"/>
          <w:color w:val="000000"/>
          <w:spacing w:val="-8"/>
          <w:sz w:val="44"/>
          <w:szCs w:val="44"/>
          <w:highlight w:val="none"/>
          <w:lang w:val="en-US" w:eastAsia="zh-CN"/>
        </w:rPr>
      </w:pPr>
      <w:r>
        <w:rPr>
          <w:rFonts w:hint="eastAsia" w:ascii="Times New Roman" w:hAnsi="Times New Roman" w:eastAsia="方正小标宋简体" w:cs="方正小标宋简体"/>
          <w:color w:val="000000"/>
          <w:spacing w:val="-8"/>
          <w:sz w:val="44"/>
          <w:szCs w:val="44"/>
          <w:highlight w:val="none"/>
          <w:lang w:val="en-US" w:eastAsia="zh-CN"/>
        </w:rPr>
        <w:t>淮北市危险化学品事故应急指挥部专家组名单</w:t>
      </w:r>
    </w:p>
    <w:tbl>
      <w:tblPr>
        <w:tblStyle w:val="2"/>
        <w:tblW w:w="13997" w:type="dxa"/>
        <w:tblInd w:w="93" w:type="dxa"/>
        <w:tblLayout w:type="fixed"/>
        <w:tblCellMar>
          <w:top w:w="0" w:type="dxa"/>
          <w:left w:w="108" w:type="dxa"/>
          <w:bottom w:w="0" w:type="dxa"/>
          <w:right w:w="108" w:type="dxa"/>
        </w:tblCellMar>
      </w:tblPr>
      <w:tblGrid>
        <w:gridCol w:w="840"/>
        <w:gridCol w:w="964"/>
        <w:gridCol w:w="4591"/>
        <w:gridCol w:w="3144"/>
        <w:gridCol w:w="2961"/>
        <w:gridCol w:w="1497"/>
      </w:tblGrid>
      <w:tr w14:paraId="7A811364">
        <w:tblPrEx>
          <w:tblCellMar>
            <w:top w:w="0" w:type="dxa"/>
            <w:left w:w="108" w:type="dxa"/>
            <w:bottom w:w="0" w:type="dxa"/>
            <w:right w:w="108" w:type="dxa"/>
          </w:tblCellMar>
        </w:tblPrEx>
        <w:trPr>
          <w:trHeight w:val="46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18C39B5">
            <w:pPr>
              <w:widowControl/>
              <w:jc w:val="center"/>
              <w:textAlignment w:val="center"/>
              <w:rPr>
                <w:rFonts w:hint="eastAsia" w:ascii="Times New Roman" w:hAnsi="Times New Roman" w:eastAsia="黑体" w:cs="黑体"/>
                <w:b/>
                <w:bCs w:val="0"/>
                <w:color w:val="000000"/>
                <w:sz w:val="24"/>
              </w:rPr>
            </w:pPr>
            <w:r>
              <w:rPr>
                <w:rFonts w:hint="eastAsia" w:ascii="Times New Roman" w:hAnsi="Times New Roman" w:eastAsia="黑体" w:cs="黑体"/>
                <w:b/>
                <w:bCs w:val="0"/>
                <w:color w:val="000000"/>
                <w:kern w:val="0"/>
                <w:sz w:val="24"/>
                <w:lang w:bidi="ar"/>
              </w:rPr>
              <w:t>序号</w:t>
            </w:r>
          </w:p>
        </w:tc>
        <w:tc>
          <w:tcPr>
            <w:tcW w:w="964" w:type="dxa"/>
            <w:tcBorders>
              <w:top w:val="single" w:color="000000" w:sz="4" w:space="0"/>
              <w:left w:val="single" w:color="000000" w:sz="4" w:space="0"/>
              <w:bottom w:val="single" w:color="000000" w:sz="4" w:space="0"/>
              <w:right w:val="single" w:color="000000" w:sz="4" w:space="0"/>
            </w:tcBorders>
            <w:vAlign w:val="center"/>
          </w:tcPr>
          <w:p w14:paraId="40466A1D">
            <w:pPr>
              <w:widowControl/>
              <w:jc w:val="center"/>
              <w:textAlignment w:val="center"/>
              <w:rPr>
                <w:rFonts w:hint="eastAsia" w:ascii="Times New Roman" w:hAnsi="Times New Roman" w:eastAsia="黑体" w:cs="黑体"/>
                <w:b/>
                <w:bCs w:val="0"/>
                <w:color w:val="000000"/>
                <w:sz w:val="24"/>
              </w:rPr>
            </w:pPr>
            <w:r>
              <w:rPr>
                <w:rFonts w:hint="eastAsia" w:ascii="Times New Roman" w:hAnsi="Times New Roman" w:eastAsia="黑体" w:cs="黑体"/>
                <w:b/>
                <w:bCs w:val="0"/>
                <w:color w:val="000000"/>
                <w:kern w:val="0"/>
                <w:sz w:val="24"/>
                <w:lang w:bidi="ar"/>
              </w:rPr>
              <w:t>姓名</w:t>
            </w:r>
          </w:p>
        </w:tc>
        <w:tc>
          <w:tcPr>
            <w:tcW w:w="4591" w:type="dxa"/>
            <w:tcBorders>
              <w:top w:val="single" w:color="000000" w:sz="4" w:space="0"/>
              <w:left w:val="single" w:color="000000" w:sz="4" w:space="0"/>
              <w:bottom w:val="single" w:color="000000" w:sz="4" w:space="0"/>
              <w:right w:val="single" w:color="000000" w:sz="4" w:space="0"/>
            </w:tcBorders>
            <w:vAlign w:val="center"/>
          </w:tcPr>
          <w:p w14:paraId="41C69687">
            <w:pPr>
              <w:widowControl/>
              <w:jc w:val="center"/>
              <w:textAlignment w:val="center"/>
              <w:rPr>
                <w:rFonts w:hint="eastAsia" w:ascii="Times New Roman" w:hAnsi="Times New Roman" w:eastAsia="黑体" w:cs="黑体"/>
                <w:b/>
                <w:bCs w:val="0"/>
                <w:color w:val="000000"/>
                <w:sz w:val="24"/>
              </w:rPr>
            </w:pPr>
            <w:r>
              <w:rPr>
                <w:rFonts w:hint="eastAsia" w:ascii="Times New Roman" w:hAnsi="Times New Roman" w:eastAsia="黑体" w:cs="黑体"/>
                <w:b/>
                <w:bCs w:val="0"/>
                <w:color w:val="000000"/>
                <w:kern w:val="0"/>
                <w:sz w:val="24"/>
                <w:lang w:bidi="ar"/>
              </w:rPr>
              <w:t>工作单位</w:t>
            </w:r>
          </w:p>
        </w:tc>
        <w:tc>
          <w:tcPr>
            <w:tcW w:w="3144" w:type="dxa"/>
            <w:tcBorders>
              <w:top w:val="single" w:color="000000" w:sz="4" w:space="0"/>
              <w:left w:val="single" w:color="000000" w:sz="4" w:space="0"/>
              <w:bottom w:val="single" w:color="000000" w:sz="4" w:space="0"/>
              <w:right w:val="single" w:color="000000" w:sz="4" w:space="0"/>
            </w:tcBorders>
            <w:vAlign w:val="center"/>
          </w:tcPr>
          <w:p w14:paraId="5341827A">
            <w:pPr>
              <w:widowControl/>
              <w:jc w:val="center"/>
              <w:textAlignment w:val="center"/>
              <w:rPr>
                <w:rFonts w:hint="eastAsia" w:ascii="Times New Roman" w:hAnsi="Times New Roman" w:eastAsia="黑体" w:cs="黑体"/>
                <w:b/>
                <w:bCs w:val="0"/>
                <w:color w:val="000000"/>
                <w:sz w:val="24"/>
              </w:rPr>
            </w:pPr>
            <w:r>
              <w:rPr>
                <w:rFonts w:hint="eastAsia" w:ascii="Times New Roman" w:hAnsi="Times New Roman" w:eastAsia="黑体" w:cs="黑体"/>
                <w:b/>
                <w:bCs w:val="0"/>
                <w:color w:val="000000"/>
                <w:kern w:val="0"/>
                <w:sz w:val="24"/>
                <w:lang w:bidi="ar"/>
              </w:rPr>
              <w:t>职称</w:t>
            </w:r>
          </w:p>
        </w:tc>
        <w:tc>
          <w:tcPr>
            <w:tcW w:w="2961" w:type="dxa"/>
            <w:tcBorders>
              <w:top w:val="single" w:color="000000" w:sz="4" w:space="0"/>
              <w:left w:val="single" w:color="000000" w:sz="4" w:space="0"/>
              <w:bottom w:val="single" w:color="000000" w:sz="4" w:space="0"/>
              <w:right w:val="single" w:color="000000" w:sz="4" w:space="0"/>
            </w:tcBorders>
            <w:vAlign w:val="center"/>
          </w:tcPr>
          <w:p w14:paraId="1174637B">
            <w:pPr>
              <w:widowControl/>
              <w:jc w:val="center"/>
              <w:textAlignment w:val="center"/>
              <w:rPr>
                <w:rFonts w:hint="eastAsia" w:ascii="Times New Roman" w:hAnsi="Times New Roman" w:eastAsia="黑体" w:cs="黑体"/>
                <w:b/>
                <w:bCs w:val="0"/>
                <w:color w:val="000000"/>
                <w:sz w:val="24"/>
              </w:rPr>
            </w:pPr>
            <w:r>
              <w:rPr>
                <w:rFonts w:hint="eastAsia" w:ascii="Times New Roman" w:hAnsi="Times New Roman" w:eastAsia="黑体" w:cs="黑体"/>
                <w:b/>
                <w:bCs w:val="0"/>
                <w:color w:val="000000"/>
                <w:kern w:val="0"/>
                <w:sz w:val="24"/>
                <w:lang w:bidi="ar"/>
              </w:rPr>
              <w:t>特长</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6C0E2F3B">
            <w:pPr>
              <w:widowControl/>
              <w:jc w:val="center"/>
              <w:textAlignment w:val="center"/>
              <w:rPr>
                <w:rFonts w:hint="eastAsia" w:ascii="Times New Roman" w:hAnsi="Times New Roman" w:eastAsia="黑体" w:cs="黑体"/>
                <w:b/>
                <w:bCs w:val="0"/>
                <w:color w:val="000000"/>
                <w:sz w:val="24"/>
              </w:rPr>
            </w:pPr>
            <w:r>
              <w:rPr>
                <w:rFonts w:hint="eastAsia" w:ascii="Times New Roman" w:hAnsi="Times New Roman" w:eastAsia="黑体" w:cs="黑体"/>
                <w:b/>
                <w:bCs w:val="0"/>
                <w:color w:val="000000"/>
                <w:kern w:val="0"/>
                <w:sz w:val="24"/>
                <w:lang w:bidi="ar"/>
              </w:rPr>
              <w:t>联系电话</w:t>
            </w:r>
          </w:p>
        </w:tc>
      </w:tr>
      <w:tr w14:paraId="5394E0A5">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B190A2F">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w:t>
            </w:r>
          </w:p>
        </w:tc>
        <w:tc>
          <w:tcPr>
            <w:tcW w:w="964" w:type="dxa"/>
            <w:tcBorders>
              <w:top w:val="single" w:color="000000" w:sz="4" w:space="0"/>
              <w:left w:val="single" w:color="000000" w:sz="4" w:space="0"/>
              <w:bottom w:val="single" w:color="000000" w:sz="4" w:space="0"/>
              <w:right w:val="single" w:color="000000" w:sz="4" w:space="0"/>
            </w:tcBorders>
            <w:vAlign w:val="center"/>
          </w:tcPr>
          <w:p w14:paraId="415BAB0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邬苇萧</w:t>
            </w:r>
          </w:p>
        </w:tc>
        <w:tc>
          <w:tcPr>
            <w:tcW w:w="4591" w:type="dxa"/>
            <w:tcBorders>
              <w:top w:val="single" w:color="000000" w:sz="4" w:space="0"/>
              <w:left w:val="single" w:color="000000" w:sz="4" w:space="0"/>
              <w:bottom w:val="single" w:color="000000" w:sz="4" w:space="0"/>
              <w:right w:val="single" w:color="000000" w:sz="4" w:space="0"/>
            </w:tcBorders>
            <w:vAlign w:val="center"/>
          </w:tcPr>
          <w:p w14:paraId="2B82DF5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淮北矿业绿色化工新材料研究院有限公司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69C6ABE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28AB8A7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化工工艺、设计与总图</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375192A6">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15205509099</w:t>
            </w:r>
          </w:p>
        </w:tc>
      </w:tr>
      <w:tr w14:paraId="6C5DAE99">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2979A786">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w:t>
            </w:r>
          </w:p>
        </w:tc>
        <w:tc>
          <w:tcPr>
            <w:tcW w:w="964" w:type="dxa"/>
            <w:tcBorders>
              <w:top w:val="single" w:color="000000" w:sz="4" w:space="0"/>
              <w:left w:val="single" w:color="000000" w:sz="4" w:space="0"/>
              <w:bottom w:val="single" w:color="000000" w:sz="4" w:space="0"/>
              <w:right w:val="single" w:color="000000" w:sz="4" w:space="0"/>
            </w:tcBorders>
            <w:vAlign w:val="center"/>
          </w:tcPr>
          <w:p w14:paraId="0E02B2F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肖独山</w:t>
            </w:r>
          </w:p>
        </w:tc>
        <w:tc>
          <w:tcPr>
            <w:tcW w:w="4591" w:type="dxa"/>
            <w:tcBorders>
              <w:top w:val="single" w:color="000000" w:sz="4" w:space="0"/>
              <w:left w:val="single" w:color="000000" w:sz="4" w:space="0"/>
              <w:bottom w:val="single" w:color="000000" w:sz="4" w:space="0"/>
              <w:right w:val="single" w:color="000000" w:sz="4" w:space="0"/>
            </w:tcBorders>
            <w:vAlign w:val="center"/>
          </w:tcPr>
          <w:p w14:paraId="7509B1B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淮北矿业绿色化工新材料研究院有限公司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7BAE5205">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6226DB6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化工工艺、设计与总图</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4C85E36F">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15996995885</w:t>
            </w:r>
          </w:p>
        </w:tc>
      </w:tr>
      <w:tr w14:paraId="1043AE00">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BCFBEF8">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w:t>
            </w:r>
          </w:p>
        </w:tc>
        <w:tc>
          <w:tcPr>
            <w:tcW w:w="964" w:type="dxa"/>
            <w:tcBorders>
              <w:top w:val="single" w:color="000000" w:sz="4" w:space="0"/>
              <w:left w:val="single" w:color="000000" w:sz="4" w:space="0"/>
              <w:bottom w:val="single" w:color="000000" w:sz="4" w:space="0"/>
              <w:right w:val="single" w:color="000000" w:sz="4" w:space="0"/>
            </w:tcBorders>
            <w:vAlign w:val="center"/>
          </w:tcPr>
          <w:p w14:paraId="5E85942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沈培亮</w:t>
            </w:r>
          </w:p>
        </w:tc>
        <w:tc>
          <w:tcPr>
            <w:tcW w:w="4591" w:type="dxa"/>
            <w:tcBorders>
              <w:top w:val="single" w:color="000000" w:sz="4" w:space="0"/>
              <w:left w:val="single" w:color="000000" w:sz="4" w:space="0"/>
              <w:bottom w:val="single" w:color="000000" w:sz="4" w:space="0"/>
              <w:right w:val="single" w:color="000000" w:sz="4" w:space="0"/>
            </w:tcBorders>
            <w:vAlign w:val="center"/>
          </w:tcPr>
          <w:p w14:paraId="04B4736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中安自动化（浙江）有限公司安徽办事处</w:t>
            </w:r>
          </w:p>
        </w:tc>
        <w:tc>
          <w:tcPr>
            <w:tcW w:w="3144" w:type="dxa"/>
            <w:tcBorders>
              <w:top w:val="single" w:color="000000" w:sz="4" w:space="0"/>
              <w:left w:val="single" w:color="000000" w:sz="4" w:space="0"/>
              <w:bottom w:val="single" w:color="000000" w:sz="4" w:space="0"/>
              <w:right w:val="single" w:color="000000" w:sz="4" w:space="0"/>
            </w:tcBorders>
            <w:vAlign w:val="center"/>
          </w:tcPr>
          <w:p w14:paraId="117CC23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6B9BB8C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仪表及电气安全</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68E37AE3">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13957719539</w:t>
            </w:r>
          </w:p>
        </w:tc>
      </w:tr>
      <w:tr w14:paraId="02203938">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1843235">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4</w:t>
            </w:r>
          </w:p>
        </w:tc>
        <w:tc>
          <w:tcPr>
            <w:tcW w:w="964" w:type="dxa"/>
            <w:tcBorders>
              <w:top w:val="single" w:color="000000" w:sz="4" w:space="0"/>
              <w:left w:val="single" w:color="000000" w:sz="4" w:space="0"/>
              <w:bottom w:val="single" w:color="000000" w:sz="4" w:space="0"/>
              <w:right w:val="single" w:color="000000" w:sz="4" w:space="0"/>
            </w:tcBorders>
            <w:vAlign w:val="center"/>
          </w:tcPr>
          <w:p w14:paraId="552C5AF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丘永桂</w:t>
            </w:r>
          </w:p>
        </w:tc>
        <w:tc>
          <w:tcPr>
            <w:tcW w:w="4591" w:type="dxa"/>
            <w:tcBorders>
              <w:top w:val="single" w:color="000000" w:sz="4" w:space="0"/>
              <w:left w:val="single" w:color="000000" w:sz="4" w:space="0"/>
              <w:bottom w:val="single" w:color="000000" w:sz="4" w:space="0"/>
              <w:right w:val="single" w:color="000000" w:sz="4" w:space="0"/>
            </w:tcBorders>
            <w:vAlign w:val="center"/>
          </w:tcPr>
          <w:p w14:paraId="5E633BD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淮北矿业集团安全监察局</w:t>
            </w:r>
          </w:p>
        </w:tc>
        <w:tc>
          <w:tcPr>
            <w:tcW w:w="3144" w:type="dxa"/>
            <w:tcBorders>
              <w:top w:val="single" w:color="000000" w:sz="4" w:space="0"/>
              <w:left w:val="single" w:color="000000" w:sz="4" w:space="0"/>
              <w:bottom w:val="single" w:color="000000" w:sz="4" w:space="0"/>
              <w:right w:val="single" w:color="000000" w:sz="4" w:space="0"/>
            </w:tcBorders>
            <w:vAlign w:val="center"/>
          </w:tcPr>
          <w:p w14:paraId="6B0A815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068E8ED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安全基础管理、仪表及电气安全</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5C9C960F">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18856179393</w:t>
            </w:r>
          </w:p>
        </w:tc>
      </w:tr>
      <w:tr w14:paraId="1966A3F8">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828196C">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5</w:t>
            </w:r>
          </w:p>
        </w:tc>
        <w:tc>
          <w:tcPr>
            <w:tcW w:w="964" w:type="dxa"/>
            <w:tcBorders>
              <w:top w:val="single" w:color="000000" w:sz="4" w:space="0"/>
              <w:left w:val="single" w:color="000000" w:sz="4" w:space="0"/>
              <w:bottom w:val="single" w:color="000000" w:sz="4" w:space="0"/>
              <w:right w:val="single" w:color="000000" w:sz="4" w:space="0"/>
            </w:tcBorders>
            <w:vAlign w:val="center"/>
          </w:tcPr>
          <w:p w14:paraId="2040E58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廖</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俊</w:t>
            </w:r>
          </w:p>
        </w:tc>
        <w:tc>
          <w:tcPr>
            <w:tcW w:w="4591" w:type="dxa"/>
            <w:tcBorders>
              <w:top w:val="single" w:color="000000" w:sz="4" w:space="0"/>
              <w:left w:val="single" w:color="000000" w:sz="4" w:space="0"/>
              <w:bottom w:val="single" w:color="000000" w:sz="4" w:space="0"/>
              <w:right w:val="single" w:color="000000" w:sz="4" w:space="0"/>
            </w:tcBorders>
            <w:vAlign w:val="center"/>
          </w:tcPr>
          <w:p w14:paraId="1DF04EC2">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淮北市注册安全工程师协会</w:t>
            </w:r>
          </w:p>
        </w:tc>
        <w:tc>
          <w:tcPr>
            <w:tcW w:w="3144" w:type="dxa"/>
            <w:tcBorders>
              <w:top w:val="single" w:color="000000" w:sz="4" w:space="0"/>
              <w:left w:val="single" w:color="000000" w:sz="4" w:space="0"/>
              <w:bottom w:val="single" w:color="000000" w:sz="4" w:space="0"/>
              <w:right w:val="single" w:color="000000" w:sz="4" w:space="0"/>
            </w:tcBorders>
            <w:vAlign w:val="center"/>
          </w:tcPr>
          <w:p w14:paraId="3116CC2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05DFFEC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092E6039">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13966102590</w:t>
            </w:r>
          </w:p>
        </w:tc>
      </w:tr>
      <w:tr w14:paraId="0FE2578E">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260C559">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6</w:t>
            </w:r>
          </w:p>
        </w:tc>
        <w:tc>
          <w:tcPr>
            <w:tcW w:w="964" w:type="dxa"/>
            <w:tcBorders>
              <w:top w:val="single" w:color="000000" w:sz="4" w:space="0"/>
              <w:left w:val="single" w:color="000000" w:sz="4" w:space="0"/>
              <w:bottom w:val="single" w:color="000000" w:sz="4" w:space="0"/>
              <w:right w:val="single" w:color="000000" w:sz="4" w:space="0"/>
            </w:tcBorders>
            <w:vAlign w:val="center"/>
          </w:tcPr>
          <w:p w14:paraId="0D949BB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徐文青</w:t>
            </w:r>
          </w:p>
        </w:tc>
        <w:tc>
          <w:tcPr>
            <w:tcW w:w="4591" w:type="dxa"/>
            <w:tcBorders>
              <w:top w:val="single" w:color="000000" w:sz="4" w:space="0"/>
              <w:left w:val="single" w:color="000000" w:sz="4" w:space="0"/>
              <w:bottom w:val="single" w:color="000000" w:sz="4" w:space="0"/>
              <w:right w:val="single" w:color="000000" w:sz="4" w:space="0"/>
            </w:tcBorders>
            <w:vAlign w:val="center"/>
          </w:tcPr>
          <w:p w14:paraId="27C26BF7">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淮北市特种设备监督检验中心</w:t>
            </w:r>
          </w:p>
        </w:tc>
        <w:tc>
          <w:tcPr>
            <w:tcW w:w="3144" w:type="dxa"/>
            <w:tcBorders>
              <w:top w:val="single" w:color="000000" w:sz="4" w:space="0"/>
              <w:left w:val="single" w:color="000000" w:sz="4" w:space="0"/>
              <w:bottom w:val="single" w:color="000000" w:sz="4" w:space="0"/>
              <w:right w:val="single" w:color="000000" w:sz="4" w:space="0"/>
            </w:tcBorders>
            <w:vAlign w:val="center"/>
          </w:tcPr>
          <w:p w14:paraId="2405B7D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79543072">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设备安全</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6A74DB63">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17756126628</w:t>
            </w:r>
          </w:p>
        </w:tc>
      </w:tr>
      <w:tr w14:paraId="30284DAC">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3D41034">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7</w:t>
            </w:r>
          </w:p>
        </w:tc>
        <w:tc>
          <w:tcPr>
            <w:tcW w:w="964" w:type="dxa"/>
            <w:tcBorders>
              <w:top w:val="single" w:color="000000" w:sz="4" w:space="0"/>
              <w:left w:val="single" w:color="000000" w:sz="4" w:space="0"/>
              <w:bottom w:val="single" w:color="000000" w:sz="4" w:space="0"/>
              <w:right w:val="single" w:color="000000" w:sz="4" w:space="0"/>
            </w:tcBorders>
            <w:vAlign w:val="center"/>
          </w:tcPr>
          <w:p w14:paraId="5817A3C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康</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煜</w:t>
            </w:r>
          </w:p>
        </w:tc>
        <w:tc>
          <w:tcPr>
            <w:tcW w:w="4591" w:type="dxa"/>
            <w:tcBorders>
              <w:top w:val="single" w:color="000000" w:sz="4" w:space="0"/>
              <w:left w:val="single" w:color="000000" w:sz="4" w:space="0"/>
              <w:bottom w:val="single" w:color="000000" w:sz="4" w:space="0"/>
              <w:right w:val="single" w:color="000000" w:sz="4" w:space="0"/>
            </w:tcBorders>
            <w:vAlign w:val="center"/>
          </w:tcPr>
          <w:p w14:paraId="5F47F55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安徽相润投资控股集团有限公司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1F25E6C1">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1D54104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5C02D8B2">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18256151831</w:t>
            </w:r>
          </w:p>
        </w:tc>
      </w:tr>
      <w:tr w14:paraId="357E72F5">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2BE7D81A">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8</w:t>
            </w:r>
          </w:p>
        </w:tc>
        <w:tc>
          <w:tcPr>
            <w:tcW w:w="964" w:type="dxa"/>
            <w:tcBorders>
              <w:top w:val="single" w:color="000000" w:sz="4" w:space="0"/>
              <w:left w:val="single" w:color="000000" w:sz="4" w:space="0"/>
              <w:bottom w:val="single" w:color="000000" w:sz="4" w:space="0"/>
              <w:right w:val="single" w:color="000000" w:sz="4" w:space="0"/>
            </w:tcBorders>
            <w:vAlign w:val="center"/>
          </w:tcPr>
          <w:p w14:paraId="3090047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赵万里</w:t>
            </w:r>
          </w:p>
        </w:tc>
        <w:tc>
          <w:tcPr>
            <w:tcW w:w="4591" w:type="dxa"/>
            <w:tcBorders>
              <w:top w:val="single" w:color="000000" w:sz="4" w:space="0"/>
              <w:left w:val="single" w:color="000000" w:sz="4" w:space="0"/>
              <w:bottom w:val="single" w:color="000000" w:sz="4" w:space="0"/>
              <w:right w:val="single" w:color="000000" w:sz="4" w:space="0"/>
            </w:tcBorders>
            <w:vAlign w:val="center"/>
          </w:tcPr>
          <w:p w14:paraId="4471FA8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中国石化销售股份有限公司安徽淮北石油分公司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7730BF2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2C05E57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5FFAC0F5">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13856101976</w:t>
            </w:r>
          </w:p>
        </w:tc>
      </w:tr>
      <w:tr w14:paraId="78D8D7B2">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9B93842">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9</w:t>
            </w:r>
          </w:p>
        </w:tc>
        <w:tc>
          <w:tcPr>
            <w:tcW w:w="964" w:type="dxa"/>
            <w:tcBorders>
              <w:top w:val="single" w:color="000000" w:sz="4" w:space="0"/>
              <w:left w:val="single" w:color="000000" w:sz="4" w:space="0"/>
              <w:bottom w:val="single" w:color="000000" w:sz="4" w:space="0"/>
              <w:right w:val="single" w:color="000000" w:sz="4" w:space="0"/>
            </w:tcBorders>
            <w:vAlign w:val="center"/>
          </w:tcPr>
          <w:p w14:paraId="409789E2">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李</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勇</w:t>
            </w:r>
          </w:p>
        </w:tc>
        <w:tc>
          <w:tcPr>
            <w:tcW w:w="4591" w:type="dxa"/>
            <w:tcBorders>
              <w:top w:val="single" w:color="000000" w:sz="4" w:space="0"/>
              <w:left w:val="single" w:color="000000" w:sz="4" w:space="0"/>
              <w:bottom w:val="single" w:color="000000" w:sz="4" w:space="0"/>
              <w:right w:val="single" w:color="000000" w:sz="4" w:space="0"/>
            </w:tcBorders>
            <w:vAlign w:val="center"/>
          </w:tcPr>
          <w:p w14:paraId="1D65F26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中煤科工集团淮北爆破技术研究院有限公司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6ACE54E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3B74D8C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设备安全、仪表及电气安全</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4446AD11">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13965861583</w:t>
            </w:r>
          </w:p>
        </w:tc>
      </w:tr>
      <w:tr w14:paraId="7860A404">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D5CBC06">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10</w:t>
            </w:r>
          </w:p>
        </w:tc>
        <w:tc>
          <w:tcPr>
            <w:tcW w:w="964" w:type="dxa"/>
            <w:tcBorders>
              <w:top w:val="single" w:color="000000" w:sz="4" w:space="0"/>
              <w:left w:val="single" w:color="000000" w:sz="4" w:space="0"/>
              <w:bottom w:val="single" w:color="000000" w:sz="4" w:space="0"/>
              <w:right w:val="single" w:color="000000" w:sz="4" w:space="0"/>
            </w:tcBorders>
            <w:vAlign w:val="center"/>
          </w:tcPr>
          <w:p w14:paraId="166FAC1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杨宗玲</w:t>
            </w:r>
          </w:p>
        </w:tc>
        <w:tc>
          <w:tcPr>
            <w:tcW w:w="4591" w:type="dxa"/>
            <w:tcBorders>
              <w:top w:val="single" w:color="000000" w:sz="4" w:space="0"/>
              <w:left w:val="single" w:color="000000" w:sz="4" w:space="0"/>
              <w:bottom w:val="single" w:color="000000" w:sz="4" w:space="0"/>
              <w:right w:val="single" w:color="000000" w:sz="4" w:space="0"/>
            </w:tcBorders>
            <w:vAlign w:val="center"/>
          </w:tcPr>
          <w:p w14:paraId="3A2A144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中煤科工集团淮北爆破技术研究院有限公司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5172527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0B8704B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设备安全</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17749817">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18056138566</w:t>
            </w:r>
          </w:p>
        </w:tc>
      </w:tr>
      <w:tr w14:paraId="1EC86393">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01E76FA">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11</w:t>
            </w:r>
          </w:p>
        </w:tc>
        <w:tc>
          <w:tcPr>
            <w:tcW w:w="964" w:type="dxa"/>
            <w:tcBorders>
              <w:top w:val="single" w:color="000000" w:sz="4" w:space="0"/>
              <w:left w:val="single" w:color="000000" w:sz="4" w:space="0"/>
              <w:bottom w:val="single" w:color="000000" w:sz="4" w:space="0"/>
              <w:right w:val="single" w:color="000000" w:sz="4" w:space="0"/>
            </w:tcBorders>
            <w:vAlign w:val="center"/>
          </w:tcPr>
          <w:p w14:paraId="0B2F337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周晓红</w:t>
            </w:r>
          </w:p>
        </w:tc>
        <w:tc>
          <w:tcPr>
            <w:tcW w:w="4591" w:type="dxa"/>
            <w:tcBorders>
              <w:top w:val="single" w:color="000000" w:sz="4" w:space="0"/>
              <w:left w:val="single" w:color="000000" w:sz="4" w:space="0"/>
              <w:bottom w:val="single" w:color="000000" w:sz="4" w:space="0"/>
              <w:right w:val="single" w:color="000000" w:sz="4" w:space="0"/>
            </w:tcBorders>
            <w:vAlign w:val="center"/>
          </w:tcPr>
          <w:p w14:paraId="7F06E90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中煤科工集团淮北爆破技术研究院有限公司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041CEC3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5BC103E2">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7D62B8F0">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13856126152</w:t>
            </w:r>
          </w:p>
        </w:tc>
      </w:tr>
      <w:tr w14:paraId="26F0F20D">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696632CD">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12</w:t>
            </w:r>
          </w:p>
        </w:tc>
        <w:tc>
          <w:tcPr>
            <w:tcW w:w="964" w:type="dxa"/>
            <w:tcBorders>
              <w:top w:val="single" w:color="000000" w:sz="4" w:space="0"/>
              <w:left w:val="single" w:color="000000" w:sz="4" w:space="0"/>
              <w:bottom w:val="single" w:color="000000" w:sz="4" w:space="0"/>
              <w:right w:val="single" w:color="000000" w:sz="4" w:space="0"/>
            </w:tcBorders>
            <w:vAlign w:val="center"/>
          </w:tcPr>
          <w:p w14:paraId="52E0012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黄</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嵩</w:t>
            </w:r>
          </w:p>
        </w:tc>
        <w:tc>
          <w:tcPr>
            <w:tcW w:w="4591" w:type="dxa"/>
            <w:tcBorders>
              <w:top w:val="single" w:color="000000" w:sz="4" w:space="0"/>
              <w:left w:val="single" w:color="000000" w:sz="4" w:space="0"/>
              <w:bottom w:val="single" w:color="000000" w:sz="4" w:space="0"/>
              <w:right w:val="single" w:color="000000" w:sz="4" w:space="0"/>
            </w:tcBorders>
            <w:vAlign w:val="center"/>
          </w:tcPr>
          <w:p w14:paraId="54F2FA2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中煤科工集团淮北爆破技术研究院有限公司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5487352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7F8C486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设备安全、仪表及电气安全</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3FC83EA1">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15856183071</w:t>
            </w:r>
          </w:p>
        </w:tc>
      </w:tr>
      <w:tr w14:paraId="08967207">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EE824D6">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13</w:t>
            </w:r>
          </w:p>
        </w:tc>
        <w:tc>
          <w:tcPr>
            <w:tcW w:w="964" w:type="dxa"/>
            <w:tcBorders>
              <w:top w:val="single" w:color="000000" w:sz="4" w:space="0"/>
              <w:left w:val="single" w:color="000000" w:sz="4" w:space="0"/>
              <w:bottom w:val="single" w:color="000000" w:sz="4" w:space="0"/>
              <w:right w:val="single" w:color="000000" w:sz="4" w:space="0"/>
            </w:tcBorders>
            <w:vAlign w:val="center"/>
          </w:tcPr>
          <w:p w14:paraId="1DB0598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张新民</w:t>
            </w:r>
          </w:p>
        </w:tc>
        <w:tc>
          <w:tcPr>
            <w:tcW w:w="4591" w:type="dxa"/>
            <w:tcBorders>
              <w:top w:val="single" w:color="000000" w:sz="4" w:space="0"/>
              <w:left w:val="single" w:color="000000" w:sz="4" w:space="0"/>
              <w:bottom w:val="single" w:color="000000" w:sz="4" w:space="0"/>
              <w:right w:val="single" w:color="000000" w:sz="4" w:space="0"/>
            </w:tcBorders>
            <w:vAlign w:val="center"/>
          </w:tcPr>
          <w:p w14:paraId="4C5DEF4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安徽雷鸣科化有限责任公司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1A93A24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05D2D24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安全基础管理、化工工艺</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519DF83C">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13515617520</w:t>
            </w:r>
          </w:p>
        </w:tc>
      </w:tr>
      <w:tr w14:paraId="1B25A43E">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E444404">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14</w:t>
            </w:r>
          </w:p>
        </w:tc>
        <w:tc>
          <w:tcPr>
            <w:tcW w:w="964" w:type="dxa"/>
            <w:tcBorders>
              <w:top w:val="single" w:color="000000" w:sz="4" w:space="0"/>
              <w:left w:val="single" w:color="000000" w:sz="4" w:space="0"/>
              <w:bottom w:val="single" w:color="000000" w:sz="4" w:space="0"/>
              <w:right w:val="single" w:color="000000" w:sz="4" w:space="0"/>
            </w:tcBorders>
            <w:vAlign w:val="center"/>
          </w:tcPr>
          <w:p w14:paraId="521A870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鹿</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涛</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18C9190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安徽碳鑫科技有限公司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3EA73A9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19EF6F4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安全基础管理、化工工艺</w:t>
            </w:r>
          </w:p>
        </w:tc>
        <w:tc>
          <w:tcPr>
            <w:tcW w:w="1497" w:type="dxa"/>
            <w:tcBorders>
              <w:top w:val="single" w:color="000000" w:sz="4" w:space="0"/>
              <w:left w:val="single" w:color="000000" w:sz="4" w:space="0"/>
              <w:bottom w:val="single" w:color="000000" w:sz="4" w:space="0"/>
              <w:right w:val="single" w:color="000000" w:sz="4" w:space="0"/>
            </w:tcBorders>
            <w:vAlign w:val="center"/>
          </w:tcPr>
          <w:p w14:paraId="412DB7E8">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13856169110</w:t>
            </w:r>
          </w:p>
        </w:tc>
      </w:tr>
      <w:tr w14:paraId="0C095238">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F15C33A">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15</w:t>
            </w:r>
          </w:p>
        </w:tc>
        <w:tc>
          <w:tcPr>
            <w:tcW w:w="964" w:type="dxa"/>
            <w:tcBorders>
              <w:top w:val="single" w:color="000000" w:sz="4" w:space="0"/>
              <w:left w:val="single" w:color="000000" w:sz="4" w:space="0"/>
              <w:bottom w:val="single" w:color="000000" w:sz="4" w:space="0"/>
              <w:right w:val="single" w:color="000000" w:sz="4" w:space="0"/>
            </w:tcBorders>
            <w:vAlign w:val="center"/>
          </w:tcPr>
          <w:p w14:paraId="5640526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邓</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飞</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4DBF583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安徽碳鑫科技有限公司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5A89A92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157DCE3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vAlign w:val="center"/>
          </w:tcPr>
          <w:p w14:paraId="4556F540">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13965846126</w:t>
            </w:r>
          </w:p>
        </w:tc>
      </w:tr>
      <w:tr w14:paraId="0FAB38C8">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232BE312">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16</w:t>
            </w:r>
          </w:p>
        </w:tc>
        <w:tc>
          <w:tcPr>
            <w:tcW w:w="964" w:type="dxa"/>
            <w:tcBorders>
              <w:top w:val="single" w:color="000000" w:sz="4" w:space="0"/>
              <w:left w:val="single" w:color="000000" w:sz="4" w:space="0"/>
              <w:bottom w:val="single" w:color="000000" w:sz="4" w:space="0"/>
              <w:right w:val="single" w:color="000000" w:sz="4" w:space="0"/>
            </w:tcBorders>
            <w:vAlign w:val="center"/>
          </w:tcPr>
          <w:p w14:paraId="076F9112">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徐东海</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2921742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安徽碳鑫科技有限公司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14CC54C5">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21929AB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仪表及电气安全</w:t>
            </w:r>
          </w:p>
        </w:tc>
        <w:tc>
          <w:tcPr>
            <w:tcW w:w="1497" w:type="dxa"/>
            <w:tcBorders>
              <w:top w:val="single" w:color="000000" w:sz="4" w:space="0"/>
              <w:left w:val="single" w:color="000000" w:sz="4" w:space="0"/>
              <w:bottom w:val="single" w:color="000000" w:sz="4" w:space="0"/>
              <w:right w:val="single" w:color="000000" w:sz="4" w:space="0"/>
            </w:tcBorders>
            <w:vAlign w:val="center"/>
          </w:tcPr>
          <w:p w14:paraId="794C6599">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15856108950</w:t>
            </w:r>
          </w:p>
        </w:tc>
      </w:tr>
      <w:tr w14:paraId="495DB677">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CA86E9B">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17</w:t>
            </w:r>
          </w:p>
        </w:tc>
        <w:tc>
          <w:tcPr>
            <w:tcW w:w="964" w:type="dxa"/>
            <w:tcBorders>
              <w:top w:val="single" w:color="000000" w:sz="4" w:space="0"/>
              <w:left w:val="single" w:color="000000" w:sz="4" w:space="0"/>
              <w:bottom w:val="single" w:color="000000" w:sz="4" w:space="0"/>
              <w:right w:val="single" w:color="000000" w:sz="4" w:space="0"/>
            </w:tcBorders>
            <w:vAlign w:val="center"/>
          </w:tcPr>
          <w:p w14:paraId="06E88FE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余海涛</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1E2C478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安徽碳鑫科技有限公司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4D9AD18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490C148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安全基础管理、化工工艺</w:t>
            </w:r>
          </w:p>
        </w:tc>
        <w:tc>
          <w:tcPr>
            <w:tcW w:w="1497" w:type="dxa"/>
            <w:tcBorders>
              <w:top w:val="single" w:color="000000" w:sz="4" w:space="0"/>
              <w:left w:val="single" w:color="000000" w:sz="4" w:space="0"/>
              <w:bottom w:val="single" w:color="000000" w:sz="4" w:space="0"/>
              <w:right w:val="single" w:color="000000" w:sz="4" w:space="0"/>
            </w:tcBorders>
            <w:vAlign w:val="center"/>
          </w:tcPr>
          <w:p w14:paraId="5467F035">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15956114115</w:t>
            </w:r>
          </w:p>
        </w:tc>
      </w:tr>
      <w:tr w14:paraId="5F7A68D4">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F3D">
            <w:pPr>
              <w:widowControl/>
              <w:jc w:val="center"/>
              <w:textAlignment w:val="center"/>
              <w:rPr>
                <w:rFonts w:hint="eastAsia" w:ascii="Times New Roman" w:hAnsi="Times New Roman" w:eastAsia="黑体" w:cs="黑体"/>
                <w:b/>
                <w:bCs w:val="0"/>
                <w:color w:val="000000"/>
                <w:kern w:val="2"/>
                <w:sz w:val="24"/>
                <w:szCs w:val="24"/>
                <w:lang w:val="en-US" w:eastAsia="zh-CN" w:bidi="ar-SA"/>
              </w:rPr>
            </w:pPr>
            <w:r>
              <w:rPr>
                <w:rFonts w:hint="eastAsia" w:ascii="Times New Roman" w:hAnsi="Times New Roman" w:eastAsia="黑体" w:cs="黑体"/>
                <w:b/>
                <w:bCs w:val="0"/>
                <w:color w:val="000000"/>
                <w:kern w:val="0"/>
                <w:sz w:val="24"/>
                <w:lang w:bidi="ar"/>
              </w:rPr>
              <w:t>序号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3440">
            <w:pPr>
              <w:widowControl/>
              <w:jc w:val="center"/>
              <w:textAlignment w:val="center"/>
              <w:rPr>
                <w:rFonts w:hint="eastAsia" w:ascii="Times New Roman" w:hAnsi="Times New Roman" w:eastAsia="黑体" w:cs="黑体"/>
                <w:b/>
                <w:bCs w:val="0"/>
                <w:color w:val="000000"/>
                <w:kern w:val="2"/>
                <w:sz w:val="24"/>
                <w:szCs w:val="24"/>
                <w:lang w:val="en-US" w:eastAsia="zh-CN" w:bidi="ar-SA"/>
              </w:rPr>
            </w:pPr>
            <w:r>
              <w:rPr>
                <w:rFonts w:hint="eastAsia" w:ascii="Times New Roman" w:hAnsi="Times New Roman" w:eastAsia="黑体" w:cs="黑体"/>
                <w:b/>
                <w:bCs w:val="0"/>
                <w:color w:val="000000"/>
                <w:kern w:val="0"/>
                <w:sz w:val="24"/>
                <w:lang w:bidi="ar"/>
              </w:rPr>
              <w:t>姓名</w:t>
            </w:r>
          </w:p>
        </w:tc>
        <w:tc>
          <w:tcPr>
            <w:tcW w:w="4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E7F7">
            <w:pPr>
              <w:widowControl/>
              <w:jc w:val="center"/>
              <w:textAlignment w:val="center"/>
              <w:rPr>
                <w:rFonts w:hint="eastAsia" w:ascii="Times New Roman" w:hAnsi="Times New Roman" w:eastAsia="黑体" w:cs="黑体"/>
                <w:b/>
                <w:bCs w:val="0"/>
                <w:color w:val="000000"/>
                <w:kern w:val="2"/>
                <w:sz w:val="24"/>
                <w:szCs w:val="24"/>
                <w:lang w:val="en-US" w:eastAsia="zh-CN" w:bidi="ar-SA"/>
              </w:rPr>
            </w:pPr>
            <w:r>
              <w:rPr>
                <w:rFonts w:hint="eastAsia" w:ascii="Times New Roman" w:hAnsi="Times New Roman" w:eastAsia="黑体" w:cs="黑体"/>
                <w:b/>
                <w:bCs w:val="0"/>
                <w:color w:val="000000"/>
                <w:kern w:val="0"/>
                <w:sz w:val="24"/>
                <w:lang w:bidi="ar"/>
              </w:rPr>
              <w:t>工作单位</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DAF">
            <w:pPr>
              <w:widowControl/>
              <w:jc w:val="center"/>
              <w:textAlignment w:val="center"/>
              <w:rPr>
                <w:rFonts w:hint="eastAsia" w:ascii="Times New Roman" w:hAnsi="Times New Roman" w:eastAsia="黑体" w:cs="黑体"/>
                <w:b/>
                <w:bCs w:val="0"/>
                <w:color w:val="000000"/>
                <w:kern w:val="2"/>
                <w:sz w:val="24"/>
                <w:szCs w:val="24"/>
                <w:lang w:val="en-US" w:eastAsia="zh-CN" w:bidi="ar-SA"/>
              </w:rPr>
            </w:pPr>
            <w:r>
              <w:rPr>
                <w:rFonts w:hint="eastAsia" w:ascii="Times New Roman" w:hAnsi="Times New Roman" w:eastAsia="黑体" w:cs="黑体"/>
                <w:b/>
                <w:bCs w:val="0"/>
                <w:color w:val="000000"/>
                <w:kern w:val="0"/>
                <w:sz w:val="24"/>
                <w:lang w:bidi="ar"/>
              </w:rPr>
              <w:t>职称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B9C8">
            <w:pPr>
              <w:widowControl/>
              <w:jc w:val="center"/>
              <w:textAlignment w:val="center"/>
              <w:rPr>
                <w:rFonts w:hint="eastAsia" w:ascii="Times New Roman" w:hAnsi="Times New Roman" w:eastAsia="黑体" w:cs="黑体"/>
                <w:b/>
                <w:bCs w:val="0"/>
                <w:color w:val="000000"/>
                <w:kern w:val="2"/>
                <w:sz w:val="24"/>
                <w:szCs w:val="24"/>
                <w:lang w:val="en-US" w:eastAsia="zh-CN" w:bidi="ar-SA"/>
              </w:rPr>
            </w:pPr>
            <w:r>
              <w:rPr>
                <w:rFonts w:hint="eastAsia" w:ascii="Times New Roman" w:hAnsi="Times New Roman" w:eastAsia="黑体" w:cs="黑体"/>
                <w:b/>
                <w:bCs w:val="0"/>
                <w:color w:val="000000"/>
                <w:kern w:val="0"/>
                <w:sz w:val="24"/>
                <w:lang w:bidi="ar"/>
              </w:rPr>
              <w:t>特长</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AB63">
            <w:pPr>
              <w:widowControl/>
              <w:jc w:val="center"/>
              <w:textAlignment w:val="center"/>
              <w:rPr>
                <w:rFonts w:hint="eastAsia" w:ascii="Times New Roman" w:hAnsi="Times New Roman" w:eastAsia="黑体" w:cs="黑体"/>
                <w:b/>
                <w:bCs w:val="0"/>
                <w:color w:val="000000"/>
                <w:kern w:val="2"/>
                <w:sz w:val="24"/>
                <w:szCs w:val="24"/>
                <w:lang w:val="en-US" w:eastAsia="zh-CN" w:bidi="ar-SA"/>
              </w:rPr>
            </w:pPr>
            <w:r>
              <w:rPr>
                <w:rFonts w:hint="eastAsia" w:ascii="Times New Roman" w:hAnsi="Times New Roman" w:eastAsia="黑体" w:cs="黑体"/>
                <w:b/>
                <w:bCs w:val="0"/>
                <w:color w:val="000000"/>
                <w:kern w:val="0"/>
                <w:sz w:val="24"/>
                <w:lang w:bidi="ar"/>
              </w:rPr>
              <w:t>联系电话</w:t>
            </w:r>
          </w:p>
        </w:tc>
      </w:tr>
      <w:tr w14:paraId="012699A9">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D55ABBD">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18</w:t>
            </w:r>
          </w:p>
        </w:tc>
        <w:tc>
          <w:tcPr>
            <w:tcW w:w="964" w:type="dxa"/>
            <w:tcBorders>
              <w:top w:val="single" w:color="000000" w:sz="4" w:space="0"/>
              <w:left w:val="single" w:color="000000" w:sz="4" w:space="0"/>
              <w:bottom w:val="single" w:color="000000" w:sz="4" w:space="0"/>
              <w:right w:val="single" w:color="000000" w:sz="4" w:space="0"/>
            </w:tcBorders>
            <w:vAlign w:val="center"/>
          </w:tcPr>
          <w:p w14:paraId="277BCC47">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王科农</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582AFD6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淮北市星光新材料科技有限公司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79249EA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707404F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安全基础管理、设计与总图</w:t>
            </w:r>
          </w:p>
        </w:tc>
        <w:tc>
          <w:tcPr>
            <w:tcW w:w="1497" w:type="dxa"/>
            <w:tcBorders>
              <w:top w:val="single" w:color="000000" w:sz="4" w:space="0"/>
              <w:left w:val="single" w:color="000000" w:sz="4" w:space="0"/>
              <w:bottom w:val="single" w:color="000000" w:sz="4" w:space="0"/>
              <w:right w:val="single" w:color="000000" w:sz="4" w:space="0"/>
            </w:tcBorders>
            <w:vAlign w:val="center"/>
          </w:tcPr>
          <w:p w14:paraId="7D365AA8">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13851196977</w:t>
            </w:r>
          </w:p>
        </w:tc>
      </w:tr>
      <w:tr w14:paraId="5AF4FC08">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8364D10">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19</w:t>
            </w:r>
          </w:p>
        </w:tc>
        <w:tc>
          <w:tcPr>
            <w:tcW w:w="964" w:type="dxa"/>
            <w:tcBorders>
              <w:top w:val="single" w:color="000000" w:sz="4" w:space="0"/>
              <w:left w:val="single" w:color="000000" w:sz="4" w:space="0"/>
              <w:bottom w:val="single" w:color="000000" w:sz="4" w:space="0"/>
              <w:right w:val="single" w:color="000000" w:sz="4" w:space="0"/>
            </w:tcBorders>
            <w:vAlign w:val="center"/>
          </w:tcPr>
          <w:p w14:paraId="5E5A7FB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张</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芮</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1F3C83B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雅苒作物营养（淮北）有限公司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495EB45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7CEF45E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vAlign w:val="center"/>
          </w:tcPr>
          <w:p w14:paraId="765430AB">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13665502906</w:t>
            </w:r>
          </w:p>
        </w:tc>
      </w:tr>
      <w:tr w14:paraId="2B1210CB">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94989CE">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20</w:t>
            </w:r>
          </w:p>
        </w:tc>
        <w:tc>
          <w:tcPr>
            <w:tcW w:w="964" w:type="dxa"/>
            <w:tcBorders>
              <w:top w:val="single" w:color="000000" w:sz="4" w:space="0"/>
              <w:left w:val="single" w:color="000000" w:sz="4" w:space="0"/>
              <w:bottom w:val="single" w:color="000000" w:sz="4" w:space="0"/>
              <w:right w:val="single" w:color="000000" w:sz="4" w:space="0"/>
            </w:tcBorders>
            <w:vAlign w:val="center"/>
          </w:tcPr>
          <w:p w14:paraId="6778A61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刘长兵</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36A6538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安徽天成新材料有限公司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1CCEAF6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36392482">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化工工艺</w:t>
            </w:r>
          </w:p>
        </w:tc>
        <w:tc>
          <w:tcPr>
            <w:tcW w:w="1497" w:type="dxa"/>
            <w:tcBorders>
              <w:top w:val="single" w:color="000000" w:sz="4" w:space="0"/>
              <w:left w:val="single" w:color="000000" w:sz="4" w:space="0"/>
              <w:bottom w:val="single" w:color="000000" w:sz="4" w:space="0"/>
              <w:right w:val="single" w:color="000000" w:sz="4" w:space="0"/>
            </w:tcBorders>
            <w:vAlign w:val="center"/>
          </w:tcPr>
          <w:p w14:paraId="111C7083">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13584707399</w:t>
            </w:r>
          </w:p>
        </w:tc>
      </w:tr>
      <w:tr w14:paraId="5447AB9D">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445EAD8">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21</w:t>
            </w:r>
          </w:p>
        </w:tc>
        <w:tc>
          <w:tcPr>
            <w:tcW w:w="964" w:type="dxa"/>
            <w:tcBorders>
              <w:top w:val="single" w:color="000000" w:sz="4" w:space="0"/>
              <w:left w:val="single" w:color="000000" w:sz="4" w:space="0"/>
              <w:bottom w:val="single" w:color="000000" w:sz="4" w:space="0"/>
              <w:right w:val="single" w:color="000000" w:sz="4" w:space="0"/>
            </w:tcBorders>
            <w:vAlign w:val="center"/>
          </w:tcPr>
          <w:p w14:paraId="2B47B5D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施天伟</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64CDCEB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安徽卓泰化工科技有限公司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1C6614C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232BD99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设备安全、仪表及电气安全</w:t>
            </w:r>
          </w:p>
        </w:tc>
        <w:tc>
          <w:tcPr>
            <w:tcW w:w="1497" w:type="dxa"/>
            <w:tcBorders>
              <w:top w:val="single" w:color="000000" w:sz="4" w:space="0"/>
              <w:left w:val="single" w:color="000000" w:sz="4" w:space="0"/>
              <w:bottom w:val="single" w:color="000000" w:sz="4" w:space="0"/>
              <w:right w:val="single" w:color="000000" w:sz="4" w:space="0"/>
            </w:tcBorders>
            <w:vAlign w:val="center"/>
          </w:tcPr>
          <w:p w14:paraId="57856ADD">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15138830044</w:t>
            </w:r>
          </w:p>
        </w:tc>
      </w:tr>
      <w:tr w14:paraId="4592E9F9">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A49E0DC">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22</w:t>
            </w:r>
          </w:p>
        </w:tc>
        <w:tc>
          <w:tcPr>
            <w:tcW w:w="964" w:type="dxa"/>
            <w:tcBorders>
              <w:top w:val="single" w:color="000000" w:sz="4" w:space="0"/>
              <w:left w:val="single" w:color="000000" w:sz="4" w:space="0"/>
              <w:bottom w:val="single" w:color="000000" w:sz="4" w:space="0"/>
              <w:right w:val="single" w:color="000000" w:sz="4" w:space="0"/>
            </w:tcBorders>
            <w:vAlign w:val="center"/>
          </w:tcPr>
          <w:p w14:paraId="599738B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王建彬</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1300B31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安徽湛为气体有限公司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53938851">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468E9BC1">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化工工艺、设备安全</w:t>
            </w:r>
          </w:p>
        </w:tc>
        <w:tc>
          <w:tcPr>
            <w:tcW w:w="1497" w:type="dxa"/>
            <w:tcBorders>
              <w:top w:val="single" w:color="000000" w:sz="4" w:space="0"/>
              <w:left w:val="single" w:color="000000" w:sz="4" w:space="0"/>
              <w:bottom w:val="single" w:color="000000" w:sz="4" w:space="0"/>
              <w:right w:val="single" w:color="000000" w:sz="4" w:space="0"/>
            </w:tcBorders>
            <w:vAlign w:val="center"/>
          </w:tcPr>
          <w:p w14:paraId="1A883FB5">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19852078989</w:t>
            </w:r>
          </w:p>
        </w:tc>
      </w:tr>
      <w:tr w14:paraId="3F4814D5">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AF3C54B">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23</w:t>
            </w:r>
          </w:p>
        </w:tc>
        <w:tc>
          <w:tcPr>
            <w:tcW w:w="964" w:type="dxa"/>
            <w:tcBorders>
              <w:top w:val="single" w:color="000000" w:sz="4" w:space="0"/>
              <w:left w:val="single" w:color="000000" w:sz="4" w:space="0"/>
              <w:bottom w:val="single" w:color="000000" w:sz="4" w:space="0"/>
              <w:right w:val="single" w:color="000000" w:sz="4" w:space="0"/>
            </w:tcBorders>
            <w:vAlign w:val="center"/>
          </w:tcPr>
          <w:p w14:paraId="23B393F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魏玉东</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5BE708C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临涣焦化股份有限公司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5AB0301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74A64FA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vAlign w:val="center"/>
          </w:tcPr>
          <w:p w14:paraId="66EEC0DF">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15856111911</w:t>
            </w:r>
          </w:p>
        </w:tc>
      </w:tr>
      <w:tr w14:paraId="2698D3BB">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059C262">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24</w:t>
            </w:r>
          </w:p>
        </w:tc>
        <w:tc>
          <w:tcPr>
            <w:tcW w:w="964" w:type="dxa"/>
            <w:tcBorders>
              <w:top w:val="single" w:color="000000" w:sz="4" w:space="0"/>
              <w:left w:val="single" w:color="000000" w:sz="4" w:space="0"/>
              <w:bottom w:val="single" w:color="000000" w:sz="4" w:space="0"/>
              <w:right w:val="single" w:color="000000" w:sz="4" w:space="0"/>
            </w:tcBorders>
            <w:vAlign w:val="center"/>
          </w:tcPr>
          <w:p w14:paraId="636014B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马</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强</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12F90FB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临涣焦化股份有限公司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683B30E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78DA29A7">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安全基础管理、化工工艺</w:t>
            </w:r>
          </w:p>
        </w:tc>
        <w:tc>
          <w:tcPr>
            <w:tcW w:w="1497" w:type="dxa"/>
            <w:tcBorders>
              <w:top w:val="single" w:color="000000" w:sz="4" w:space="0"/>
              <w:left w:val="single" w:color="000000" w:sz="4" w:space="0"/>
              <w:bottom w:val="single" w:color="000000" w:sz="4" w:space="0"/>
              <w:right w:val="single" w:color="000000" w:sz="4" w:space="0"/>
            </w:tcBorders>
            <w:vAlign w:val="center"/>
          </w:tcPr>
          <w:p w14:paraId="42CAC87F">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13705617624</w:t>
            </w:r>
          </w:p>
        </w:tc>
      </w:tr>
      <w:tr w14:paraId="7F82F388">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61484F1">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25</w:t>
            </w:r>
          </w:p>
        </w:tc>
        <w:tc>
          <w:tcPr>
            <w:tcW w:w="964" w:type="dxa"/>
            <w:tcBorders>
              <w:top w:val="single" w:color="000000" w:sz="4" w:space="0"/>
              <w:left w:val="single" w:color="000000" w:sz="4" w:space="0"/>
              <w:bottom w:val="single" w:color="000000" w:sz="4" w:space="0"/>
              <w:right w:val="single" w:color="000000" w:sz="4" w:space="0"/>
            </w:tcBorders>
            <w:vAlign w:val="center"/>
          </w:tcPr>
          <w:p w14:paraId="04A7DCD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程家丰</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713C1F1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临涣焦化股份有限公司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1476295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633896F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vAlign w:val="center"/>
          </w:tcPr>
          <w:p w14:paraId="75796B46">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15856112813</w:t>
            </w:r>
          </w:p>
        </w:tc>
      </w:tr>
      <w:tr w14:paraId="1111C45C">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66FD3A97">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26</w:t>
            </w:r>
          </w:p>
        </w:tc>
        <w:tc>
          <w:tcPr>
            <w:tcW w:w="964" w:type="dxa"/>
            <w:tcBorders>
              <w:top w:val="single" w:color="000000" w:sz="4" w:space="0"/>
              <w:left w:val="single" w:color="000000" w:sz="4" w:space="0"/>
              <w:bottom w:val="single" w:color="000000" w:sz="4" w:space="0"/>
              <w:right w:val="single" w:color="000000" w:sz="4" w:space="0"/>
            </w:tcBorders>
            <w:vAlign w:val="center"/>
          </w:tcPr>
          <w:p w14:paraId="14C96EC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丁怀东</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66A294B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淮北绿洲新材料有限责任公司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49A0096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1D152FD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安全基础管理、设备安全</w:t>
            </w:r>
          </w:p>
        </w:tc>
        <w:tc>
          <w:tcPr>
            <w:tcW w:w="1497" w:type="dxa"/>
            <w:tcBorders>
              <w:top w:val="single" w:color="000000" w:sz="4" w:space="0"/>
              <w:left w:val="single" w:color="000000" w:sz="4" w:space="0"/>
              <w:bottom w:val="single" w:color="000000" w:sz="4" w:space="0"/>
              <w:right w:val="single" w:color="000000" w:sz="4" w:space="0"/>
            </w:tcBorders>
            <w:vAlign w:val="center"/>
          </w:tcPr>
          <w:p w14:paraId="57A9E6CA">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15956167766</w:t>
            </w:r>
          </w:p>
        </w:tc>
      </w:tr>
      <w:tr w14:paraId="1CD31D31">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6DEBF57">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27</w:t>
            </w:r>
          </w:p>
        </w:tc>
        <w:tc>
          <w:tcPr>
            <w:tcW w:w="964" w:type="dxa"/>
            <w:tcBorders>
              <w:top w:val="single" w:color="000000" w:sz="4" w:space="0"/>
              <w:left w:val="single" w:color="000000" w:sz="4" w:space="0"/>
              <w:bottom w:val="single" w:color="000000" w:sz="4" w:space="0"/>
              <w:right w:val="single" w:color="000000" w:sz="4" w:space="0"/>
            </w:tcBorders>
            <w:vAlign w:val="center"/>
          </w:tcPr>
          <w:p w14:paraId="2018110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郑思亮</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296B3D6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临涣焦化股份有限公司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40A9AE7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1574FB6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vAlign w:val="center"/>
          </w:tcPr>
          <w:p w14:paraId="0CB3089B">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13965882833</w:t>
            </w:r>
          </w:p>
        </w:tc>
      </w:tr>
      <w:tr w14:paraId="33FCD2B7">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34FD161">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28</w:t>
            </w:r>
          </w:p>
        </w:tc>
        <w:tc>
          <w:tcPr>
            <w:tcW w:w="964" w:type="dxa"/>
            <w:tcBorders>
              <w:top w:val="single" w:color="000000" w:sz="4" w:space="0"/>
              <w:left w:val="single" w:color="000000" w:sz="4" w:space="0"/>
              <w:bottom w:val="single" w:color="000000" w:sz="4" w:space="0"/>
              <w:right w:val="single" w:color="000000" w:sz="4" w:space="0"/>
            </w:tcBorders>
            <w:vAlign w:val="center"/>
          </w:tcPr>
          <w:p w14:paraId="0AAD2B03">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刘传明</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269996F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安徽瑞柏新材料有限公司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7D417DB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096CA13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化工工艺、设计与总图</w:t>
            </w:r>
          </w:p>
        </w:tc>
        <w:tc>
          <w:tcPr>
            <w:tcW w:w="1497" w:type="dxa"/>
            <w:tcBorders>
              <w:top w:val="single" w:color="000000" w:sz="4" w:space="0"/>
              <w:left w:val="single" w:color="000000" w:sz="4" w:space="0"/>
              <w:bottom w:val="single" w:color="000000" w:sz="4" w:space="0"/>
              <w:right w:val="single" w:color="000000" w:sz="4" w:space="0"/>
            </w:tcBorders>
            <w:vAlign w:val="center"/>
          </w:tcPr>
          <w:p w14:paraId="67B6E95C">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13773034971</w:t>
            </w:r>
          </w:p>
        </w:tc>
      </w:tr>
      <w:tr w14:paraId="1E66D665">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68F3A088">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29</w:t>
            </w:r>
          </w:p>
        </w:tc>
        <w:tc>
          <w:tcPr>
            <w:tcW w:w="964" w:type="dxa"/>
            <w:tcBorders>
              <w:top w:val="single" w:color="000000" w:sz="4" w:space="0"/>
              <w:left w:val="single" w:color="000000" w:sz="4" w:space="0"/>
              <w:bottom w:val="single" w:color="000000" w:sz="4" w:space="0"/>
              <w:right w:val="single" w:color="000000" w:sz="4" w:space="0"/>
            </w:tcBorders>
            <w:vAlign w:val="center"/>
          </w:tcPr>
          <w:p w14:paraId="3094F13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薛年飞</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6E2D5FC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安徽瑞柏新材料有限公司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16E6702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2280242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安全基础管理、化工工艺</w:t>
            </w:r>
          </w:p>
        </w:tc>
        <w:tc>
          <w:tcPr>
            <w:tcW w:w="1497" w:type="dxa"/>
            <w:tcBorders>
              <w:top w:val="single" w:color="000000" w:sz="4" w:space="0"/>
              <w:left w:val="single" w:color="000000" w:sz="4" w:space="0"/>
              <w:bottom w:val="single" w:color="000000" w:sz="4" w:space="0"/>
              <w:right w:val="single" w:color="000000" w:sz="4" w:space="0"/>
            </w:tcBorders>
            <w:vAlign w:val="center"/>
          </w:tcPr>
          <w:p w14:paraId="3ED879C6">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13852677390</w:t>
            </w:r>
          </w:p>
        </w:tc>
      </w:tr>
      <w:tr w14:paraId="726B54AF">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B3106CA">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30</w:t>
            </w:r>
          </w:p>
        </w:tc>
        <w:tc>
          <w:tcPr>
            <w:tcW w:w="964" w:type="dxa"/>
            <w:tcBorders>
              <w:top w:val="single" w:color="000000" w:sz="4" w:space="0"/>
              <w:left w:val="single" w:color="000000" w:sz="4" w:space="0"/>
              <w:bottom w:val="single" w:color="000000" w:sz="4" w:space="0"/>
              <w:right w:val="single" w:color="000000" w:sz="4" w:space="0"/>
            </w:tcBorders>
            <w:vAlign w:val="center"/>
          </w:tcPr>
          <w:p w14:paraId="5D36C68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彭鹤斌</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5CD3C5A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安徽宁亿泰科技有限公司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7082B0F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4C15D021">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安全基础管理、设备安全</w:t>
            </w:r>
          </w:p>
        </w:tc>
        <w:tc>
          <w:tcPr>
            <w:tcW w:w="1497" w:type="dxa"/>
            <w:tcBorders>
              <w:top w:val="single" w:color="000000" w:sz="4" w:space="0"/>
              <w:left w:val="single" w:color="000000" w:sz="4" w:space="0"/>
              <w:bottom w:val="single" w:color="000000" w:sz="4" w:space="0"/>
              <w:right w:val="single" w:color="000000" w:sz="4" w:space="0"/>
            </w:tcBorders>
            <w:vAlign w:val="center"/>
          </w:tcPr>
          <w:p w14:paraId="4F975748">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13962045957</w:t>
            </w:r>
          </w:p>
        </w:tc>
      </w:tr>
      <w:tr w14:paraId="5A80CC0D">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0949B40">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31</w:t>
            </w:r>
          </w:p>
        </w:tc>
        <w:tc>
          <w:tcPr>
            <w:tcW w:w="964" w:type="dxa"/>
            <w:tcBorders>
              <w:top w:val="single" w:color="000000" w:sz="4" w:space="0"/>
              <w:left w:val="single" w:color="000000" w:sz="4" w:space="0"/>
              <w:bottom w:val="single" w:color="000000" w:sz="4" w:space="0"/>
              <w:right w:val="single" w:color="000000" w:sz="4" w:space="0"/>
            </w:tcBorders>
            <w:vAlign w:val="center"/>
          </w:tcPr>
          <w:p w14:paraId="7DC030A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王兴虎</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6A48746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安徽宁亿泰科技有限公司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49EEEA8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1FE4CF4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安全基础管理、设备安全</w:t>
            </w:r>
          </w:p>
        </w:tc>
        <w:tc>
          <w:tcPr>
            <w:tcW w:w="1497" w:type="dxa"/>
            <w:tcBorders>
              <w:top w:val="single" w:color="000000" w:sz="4" w:space="0"/>
              <w:left w:val="single" w:color="000000" w:sz="4" w:space="0"/>
              <w:bottom w:val="single" w:color="000000" w:sz="4" w:space="0"/>
              <w:right w:val="single" w:color="000000" w:sz="4" w:space="0"/>
            </w:tcBorders>
            <w:vAlign w:val="center"/>
          </w:tcPr>
          <w:p w14:paraId="31BCF1AC">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18553725746</w:t>
            </w:r>
          </w:p>
        </w:tc>
      </w:tr>
      <w:tr w14:paraId="4F230CC3">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E13B478">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32</w:t>
            </w:r>
          </w:p>
        </w:tc>
        <w:tc>
          <w:tcPr>
            <w:tcW w:w="964" w:type="dxa"/>
            <w:tcBorders>
              <w:top w:val="single" w:color="000000" w:sz="4" w:space="0"/>
              <w:left w:val="single" w:color="000000" w:sz="4" w:space="0"/>
              <w:bottom w:val="single" w:color="000000" w:sz="4" w:space="0"/>
              <w:right w:val="single" w:color="000000" w:sz="4" w:space="0"/>
            </w:tcBorders>
            <w:vAlign w:val="center"/>
          </w:tcPr>
          <w:p w14:paraId="7A4B1C2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朱益民</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728C7890">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安徽江泰新材料科技有限公司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2492FFCC">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高级工程师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15A3C722">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化工工艺、设计与总图</w:t>
            </w:r>
          </w:p>
        </w:tc>
        <w:tc>
          <w:tcPr>
            <w:tcW w:w="1497" w:type="dxa"/>
            <w:tcBorders>
              <w:top w:val="single" w:color="000000" w:sz="4" w:space="0"/>
              <w:left w:val="single" w:color="000000" w:sz="4" w:space="0"/>
              <w:bottom w:val="single" w:color="000000" w:sz="4" w:space="0"/>
              <w:right w:val="single" w:color="000000" w:sz="4" w:space="0"/>
            </w:tcBorders>
            <w:vAlign w:val="center"/>
          </w:tcPr>
          <w:p w14:paraId="343EFB9A">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13852883217</w:t>
            </w:r>
          </w:p>
        </w:tc>
      </w:tr>
      <w:tr w14:paraId="0A40870B">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EBF8D32">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33</w:t>
            </w:r>
          </w:p>
        </w:tc>
        <w:tc>
          <w:tcPr>
            <w:tcW w:w="964" w:type="dxa"/>
            <w:tcBorders>
              <w:top w:val="single" w:color="000000" w:sz="4" w:space="0"/>
              <w:left w:val="single" w:color="000000" w:sz="4" w:space="0"/>
              <w:bottom w:val="single" w:color="000000" w:sz="4" w:space="0"/>
              <w:right w:val="single" w:color="000000" w:sz="4" w:space="0"/>
            </w:tcBorders>
            <w:vAlign w:val="center"/>
          </w:tcPr>
          <w:p w14:paraId="674B9DB8">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缪文景</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3C1BB91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安徽润岳科技股份有限公司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283608B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1D7D7AC1">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w:t>
            </w:r>
          </w:p>
        </w:tc>
        <w:tc>
          <w:tcPr>
            <w:tcW w:w="1497" w:type="dxa"/>
            <w:tcBorders>
              <w:top w:val="single" w:color="000000" w:sz="4" w:space="0"/>
              <w:left w:val="single" w:color="000000" w:sz="4" w:space="0"/>
              <w:bottom w:val="single" w:color="000000" w:sz="4" w:space="0"/>
              <w:right w:val="single" w:color="000000" w:sz="4" w:space="0"/>
            </w:tcBorders>
            <w:vAlign w:val="center"/>
          </w:tcPr>
          <w:p w14:paraId="0C66E339">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15252662199</w:t>
            </w:r>
          </w:p>
        </w:tc>
      </w:tr>
      <w:tr w14:paraId="0D3640FB">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AA09A16">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34</w:t>
            </w:r>
          </w:p>
        </w:tc>
        <w:tc>
          <w:tcPr>
            <w:tcW w:w="964" w:type="dxa"/>
            <w:tcBorders>
              <w:top w:val="single" w:color="000000" w:sz="4" w:space="0"/>
              <w:left w:val="single" w:color="000000" w:sz="4" w:space="0"/>
              <w:bottom w:val="single" w:color="000000" w:sz="4" w:space="0"/>
              <w:right w:val="single" w:color="000000" w:sz="4" w:space="0"/>
            </w:tcBorders>
            <w:vAlign w:val="center"/>
          </w:tcPr>
          <w:p w14:paraId="213B042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陈西杰</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670580CA">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安徽凯泽新材料有限公司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7586365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中级工程师</w:t>
            </w:r>
            <w:r>
              <w:rPr>
                <w:rFonts w:ascii="Times New Roman" w:hAnsi="Times New Roman" w:eastAsia="宋体" w:cs="Times New Roman"/>
                <w:b/>
                <w:bCs w:val="0"/>
                <w:color w:val="000000"/>
                <w:kern w:val="0"/>
                <w:sz w:val="20"/>
                <w:szCs w:val="20"/>
                <w:lang w:bidi="ar"/>
              </w:rPr>
              <w:t>/</w:t>
            </w: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6AD9131B">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安全基础管理、化工工艺</w:t>
            </w:r>
          </w:p>
        </w:tc>
        <w:tc>
          <w:tcPr>
            <w:tcW w:w="1497" w:type="dxa"/>
            <w:tcBorders>
              <w:top w:val="single" w:color="000000" w:sz="4" w:space="0"/>
              <w:left w:val="single" w:color="000000" w:sz="4" w:space="0"/>
              <w:bottom w:val="single" w:color="000000" w:sz="4" w:space="0"/>
              <w:right w:val="single" w:color="000000" w:sz="4" w:space="0"/>
            </w:tcBorders>
            <w:vAlign w:val="center"/>
          </w:tcPr>
          <w:p w14:paraId="5ED2E2A6">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18290706628</w:t>
            </w:r>
          </w:p>
        </w:tc>
      </w:tr>
      <w:tr w14:paraId="6F35F0F6">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C722E54">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35</w:t>
            </w:r>
          </w:p>
        </w:tc>
        <w:tc>
          <w:tcPr>
            <w:tcW w:w="964" w:type="dxa"/>
            <w:tcBorders>
              <w:top w:val="single" w:color="000000" w:sz="4" w:space="0"/>
              <w:left w:val="single" w:color="000000" w:sz="4" w:space="0"/>
              <w:bottom w:val="single" w:color="000000" w:sz="4" w:space="0"/>
              <w:right w:val="single" w:color="000000" w:sz="4" w:space="0"/>
            </w:tcBorders>
            <w:vAlign w:val="center"/>
          </w:tcPr>
          <w:p w14:paraId="1D4CF4B7">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张</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涛</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7B1B62C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安徽凯泽新材料有限公司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3BB5738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75A9D25F">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安全基础管理、化工工艺</w:t>
            </w:r>
          </w:p>
        </w:tc>
        <w:tc>
          <w:tcPr>
            <w:tcW w:w="1497" w:type="dxa"/>
            <w:tcBorders>
              <w:top w:val="single" w:color="000000" w:sz="4" w:space="0"/>
              <w:left w:val="single" w:color="000000" w:sz="4" w:space="0"/>
              <w:bottom w:val="single" w:color="000000" w:sz="4" w:space="0"/>
              <w:right w:val="single" w:color="000000" w:sz="4" w:space="0"/>
            </w:tcBorders>
            <w:vAlign w:val="center"/>
          </w:tcPr>
          <w:p w14:paraId="7934935E">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18199289456</w:t>
            </w:r>
          </w:p>
        </w:tc>
      </w:tr>
      <w:tr w14:paraId="5B4301A3">
        <w:tblPrEx>
          <w:tblCellMar>
            <w:top w:w="0" w:type="dxa"/>
            <w:left w:w="108" w:type="dxa"/>
            <w:bottom w:w="0" w:type="dxa"/>
            <w:right w:w="108"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4B6C3A5">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36</w:t>
            </w:r>
          </w:p>
        </w:tc>
        <w:tc>
          <w:tcPr>
            <w:tcW w:w="964" w:type="dxa"/>
            <w:tcBorders>
              <w:top w:val="single" w:color="000000" w:sz="4" w:space="0"/>
              <w:left w:val="single" w:color="000000" w:sz="4" w:space="0"/>
              <w:bottom w:val="single" w:color="000000" w:sz="4" w:space="0"/>
              <w:right w:val="single" w:color="000000" w:sz="4" w:space="0"/>
            </w:tcBorders>
            <w:vAlign w:val="center"/>
          </w:tcPr>
          <w:p w14:paraId="7A18E9F4">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郭世杰</w:t>
            </w:r>
          </w:p>
        </w:tc>
        <w:tc>
          <w:tcPr>
            <w:tcW w:w="4591" w:type="dxa"/>
            <w:tcBorders>
              <w:top w:val="single" w:color="000000" w:sz="4" w:space="0"/>
              <w:left w:val="single" w:color="000000" w:sz="4" w:space="0"/>
              <w:bottom w:val="single" w:color="000000" w:sz="4" w:space="0"/>
              <w:right w:val="single" w:color="000000" w:sz="4" w:space="0"/>
            </w:tcBorders>
            <w:vAlign w:val="center"/>
          </w:tcPr>
          <w:p w14:paraId="077A2DB5">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原中石油淮北分公司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48B26FDD">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054DCC47">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安全基础管理、设备安全</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39C760A4">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18956185000</w:t>
            </w:r>
          </w:p>
        </w:tc>
      </w:tr>
      <w:tr w14:paraId="3051C075">
        <w:tblPrEx>
          <w:tblCellMar>
            <w:top w:w="0" w:type="dxa"/>
            <w:left w:w="108" w:type="dxa"/>
            <w:bottom w:w="0" w:type="dxa"/>
            <w:right w:w="108" w:type="dxa"/>
          </w:tblCellMar>
        </w:tblPrEx>
        <w:trPr>
          <w:trHeight w:val="419"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72115A8">
            <w:pPr>
              <w:widowControl/>
              <w:jc w:val="center"/>
              <w:textAlignment w:val="center"/>
              <w:rPr>
                <w:rFonts w:ascii="Times New Roman" w:hAnsi="Times New Roman" w:eastAsia="宋体" w:cs="Times New Roman"/>
                <w:b/>
                <w:bCs w:val="0"/>
                <w:color w:val="000000"/>
                <w:sz w:val="24"/>
              </w:rPr>
            </w:pPr>
            <w:r>
              <w:rPr>
                <w:rFonts w:ascii="Times New Roman" w:hAnsi="Times New Roman" w:eastAsia="宋体" w:cs="Times New Roman"/>
                <w:b/>
                <w:bCs w:val="0"/>
                <w:color w:val="000000"/>
                <w:kern w:val="0"/>
                <w:sz w:val="24"/>
                <w:lang w:bidi="ar"/>
              </w:rPr>
              <w:t>37</w:t>
            </w:r>
          </w:p>
        </w:tc>
        <w:tc>
          <w:tcPr>
            <w:tcW w:w="964" w:type="dxa"/>
            <w:tcBorders>
              <w:top w:val="single" w:color="000000" w:sz="4" w:space="0"/>
              <w:left w:val="single" w:color="000000" w:sz="4" w:space="0"/>
              <w:bottom w:val="single" w:color="000000" w:sz="4" w:space="0"/>
              <w:right w:val="single" w:color="000000" w:sz="4" w:space="0"/>
            </w:tcBorders>
            <w:vAlign w:val="center"/>
          </w:tcPr>
          <w:p w14:paraId="59291DB1">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徐</w:t>
            </w:r>
            <w:r>
              <w:rPr>
                <w:rFonts w:hint="eastAsia" w:ascii="Times New Roman" w:hAnsi="Times New Roman" w:eastAsia="宋体" w:cs="Times New Roman"/>
                <w:b/>
                <w:bCs w:val="0"/>
                <w:color w:val="000000"/>
                <w:kern w:val="0"/>
                <w:sz w:val="20"/>
                <w:szCs w:val="20"/>
                <w:lang w:val="en-US" w:eastAsia="zh-CN" w:bidi="ar"/>
              </w:rPr>
              <w:t xml:space="preserve">  </w:t>
            </w:r>
            <w:r>
              <w:rPr>
                <w:rFonts w:hint="eastAsia" w:ascii="Times New Roman" w:hAnsi="Times New Roman" w:eastAsia="宋体" w:cs="Times New Roman"/>
                <w:b/>
                <w:bCs w:val="0"/>
                <w:color w:val="000000"/>
                <w:kern w:val="0"/>
                <w:sz w:val="20"/>
                <w:szCs w:val="20"/>
                <w:lang w:bidi="ar"/>
              </w:rPr>
              <w:t>闯</w:t>
            </w:r>
          </w:p>
        </w:tc>
        <w:tc>
          <w:tcPr>
            <w:tcW w:w="4591" w:type="dxa"/>
            <w:tcBorders>
              <w:top w:val="single" w:color="000000" w:sz="4" w:space="0"/>
              <w:left w:val="single" w:color="000000" w:sz="4" w:space="0"/>
              <w:bottom w:val="single" w:color="000000" w:sz="4" w:space="0"/>
              <w:right w:val="single" w:color="000000" w:sz="4" w:space="0"/>
            </w:tcBorders>
            <w:noWrap/>
            <w:vAlign w:val="center"/>
          </w:tcPr>
          <w:p w14:paraId="30968F66">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安徽泓泽新材料科技有限公司</w:t>
            </w:r>
          </w:p>
        </w:tc>
        <w:tc>
          <w:tcPr>
            <w:tcW w:w="3144" w:type="dxa"/>
            <w:tcBorders>
              <w:top w:val="single" w:color="000000" w:sz="4" w:space="0"/>
              <w:left w:val="single" w:color="000000" w:sz="4" w:space="0"/>
              <w:bottom w:val="single" w:color="000000" w:sz="4" w:space="0"/>
              <w:right w:val="single" w:color="000000" w:sz="4" w:space="0"/>
            </w:tcBorders>
            <w:vAlign w:val="center"/>
          </w:tcPr>
          <w:p w14:paraId="4532F8A9">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中级注册安全工程师</w:t>
            </w:r>
          </w:p>
        </w:tc>
        <w:tc>
          <w:tcPr>
            <w:tcW w:w="2961" w:type="dxa"/>
            <w:tcBorders>
              <w:top w:val="single" w:color="000000" w:sz="4" w:space="0"/>
              <w:left w:val="single" w:color="000000" w:sz="4" w:space="0"/>
              <w:bottom w:val="single" w:color="000000" w:sz="4" w:space="0"/>
              <w:right w:val="single" w:color="000000" w:sz="4" w:space="0"/>
            </w:tcBorders>
            <w:vAlign w:val="center"/>
          </w:tcPr>
          <w:p w14:paraId="33019F9E">
            <w:pPr>
              <w:widowControl/>
              <w:jc w:val="center"/>
              <w:textAlignment w:val="center"/>
              <w:rPr>
                <w:rFonts w:ascii="Times New Roman" w:hAnsi="Times New Roman" w:eastAsia="宋体" w:cs="Times New Roman"/>
                <w:b/>
                <w:bCs w:val="0"/>
                <w:color w:val="000000"/>
                <w:sz w:val="20"/>
                <w:szCs w:val="20"/>
              </w:rPr>
            </w:pPr>
            <w:r>
              <w:rPr>
                <w:rFonts w:hint="eastAsia" w:ascii="Times New Roman" w:hAnsi="Times New Roman" w:eastAsia="宋体" w:cs="Times New Roman"/>
                <w:b/>
                <w:bCs w:val="0"/>
                <w:color w:val="000000"/>
                <w:kern w:val="0"/>
                <w:sz w:val="20"/>
                <w:szCs w:val="20"/>
                <w:lang w:bidi="ar"/>
              </w:rPr>
              <w:t>安全基础管理、设计与总图</w:t>
            </w:r>
          </w:p>
        </w:tc>
        <w:tc>
          <w:tcPr>
            <w:tcW w:w="1497" w:type="dxa"/>
            <w:tcBorders>
              <w:top w:val="single" w:color="000000" w:sz="4" w:space="0"/>
              <w:left w:val="single" w:color="000000" w:sz="4" w:space="0"/>
              <w:bottom w:val="single" w:color="000000" w:sz="4" w:space="0"/>
              <w:right w:val="single" w:color="000000" w:sz="4" w:space="0"/>
            </w:tcBorders>
            <w:vAlign w:val="center"/>
          </w:tcPr>
          <w:p w14:paraId="515C1CD6">
            <w:pPr>
              <w:widowControl/>
              <w:jc w:val="center"/>
              <w:textAlignment w:val="center"/>
              <w:rPr>
                <w:rFonts w:ascii="Times New Roman" w:hAnsi="Times New Roman" w:eastAsia="宋体" w:cs="Times New Roman"/>
                <w:b/>
                <w:bCs w:val="0"/>
                <w:color w:val="000000"/>
                <w:sz w:val="20"/>
                <w:szCs w:val="20"/>
              </w:rPr>
            </w:pPr>
            <w:r>
              <w:rPr>
                <w:rFonts w:ascii="Times New Roman" w:hAnsi="Times New Roman" w:eastAsia="宋体" w:cs="Times New Roman"/>
                <w:b/>
                <w:bCs w:val="0"/>
                <w:color w:val="000000"/>
                <w:kern w:val="0"/>
                <w:sz w:val="20"/>
                <w:szCs w:val="20"/>
                <w:lang w:bidi="ar"/>
              </w:rPr>
              <w:t>13966143918</w:t>
            </w:r>
          </w:p>
        </w:tc>
      </w:tr>
    </w:tbl>
    <w:p w14:paraId="709ACDDE">
      <w:pPr>
        <w:keepNext w:val="0"/>
        <w:keepLines w:val="0"/>
        <w:pageBreakBefore w:val="0"/>
        <w:widowControl w:val="0"/>
        <w:kinsoku/>
        <w:wordWrap/>
        <w:overflowPunct/>
        <w:topLinePunct w:val="0"/>
        <w:autoSpaceDE/>
        <w:autoSpaceDN/>
        <w:bidi w:val="0"/>
        <w:adjustRightInd/>
        <w:snapToGrid/>
        <w:spacing w:after="0" w:line="40" w:lineRule="exact"/>
        <w:ind w:left="0" w:leftChars="0"/>
        <w:jc w:val="both"/>
        <w:textAlignment w:val="auto"/>
        <w:rPr>
          <w:rFonts w:hint="eastAsia" w:ascii="Times New Roman" w:hAnsi="Times New Roman" w:eastAsia="仿宋_GB2312" w:cs="Times New Roman"/>
          <w:color w:val="000000"/>
          <w:kern w:val="2"/>
          <w:sz w:val="32"/>
          <w:szCs w:val="32"/>
          <w:lang w:val="en-US" w:eastAsia="zh-CN" w:bidi="ar-SA"/>
        </w:rPr>
      </w:pPr>
    </w:p>
    <w:p w14:paraId="3C977337">
      <w:pPr>
        <w:keepNext w:val="0"/>
        <w:keepLines w:val="0"/>
        <w:pageBreakBefore w:val="0"/>
        <w:widowControl w:val="0"/>
        <w:kinsoku/>
        <w:wordWrap/>
        <w:overflowPunct/>
        <w:topLinePunct w:val="0"/>
        <w:autoSpaceDE/>
        <w:autoSpaceDN/>
        <w:bidi w:val="0"/>
        <w:adjustRightInd/>
        <w:snapToGrid/>
        <w:spacing w:after="0" w:line="40" w:lineRule="exact"/>
        <w:ind w:left="0" w:leftChars="0"/>
        <w:textAlignment w:val="auto"/>
        <w:rPr>
          <w:rFonts w:hint="eastAsia" w:ascii="Times New Roman" w:hAnsi="Times New Roman"/>
          <w:color w:val="000000"/>
        </w:rPr>
        <w:sectPr>
          <w:type w:val="continuous"/>
          <w:pgSz w:w="16838" w:h="11906" w:orient="landscape"/>
          <w:pgMar w:top="1474" w:right="1418" w:bottom="1247" w:left="1418" w:header="851" w:footer="1134" w:gutter="0"/>
          <w:pgNumType w:fmt="decimal"/>
          <w:cols w:space="0" w:num="1"/>
          <w:rtlGutter w:val="0"/>
          <w:docGrid w:linePitch="435" w:charSpace="0"/>
        </w:sectPr>
      </w:pPr>
    </w:p>
    <w:p w14:paraId="5C1B6FFA">
      <w:pPr>
        <w:ind w:left="0" w:leftChars="0"/>
        <w:rPr>
          <w:rFonts w:hint="eastAsia" w:ascii="Times New Roman" w:hAnsi="Times New Roman"/>
          <w:color w:val="000000"/>
        </w:rPr>
        <w:sectPr>
          <w:type w:val="continuous"/>
          <w:pgSz w:w="16838" w:h="11906" w:orient="landscape"/>
          <w:pgMar w:top="1587" w:right="2098" w:bottom="1474" w:left="1984" w:header="851" w:footer="992" w:gutter="0"/>
          <w:pgNumType w:fmt="decimal"/>
          <w:cols w:space="425" w:num="1"/>
          <w:docGrid w:type="lines" w:linePitch="312" w:charSpace="0"/>
        </w:sectPr>
      </w:pPr>
    </w:p>
    <w:p w14:paraId="23E094FE">
      <w:pPr>
        <w:keepNext w:val="0"/>
        <w:keepLines w:val="0"/>
        <w:pageBreakBefore w:val="0"/>
        <w:widowControl w:val="0"/>
        <w:kinsoku/>
        <w:wordWrap/>
        <w:overflowPunct/>
        <w:topLinePunct w:val="0"/>
        <w:autoSpaceDE/>
        <w:autoSpaceDN/>
        <w:bidi w:val="0"/>
        <w:adjustRightInd/>
        <w:snapToGrid/>
        <w:spacing w:after="120" w:line="580" w:lineRule="exact"/>
        <w:textAlignment w:val="auto"/>
        <w:rPr>
          <w:rFonts w:hint="eastAsia" w:ascii="黑体" w:hAnsi="黑体" w:eastAsia="黑体" w:cs="黑体"/>
          <w:color w:val="000000"/>
          <w:sz w:val="32"/>
          <w:szCs w:val="48"/>
        </w:rPr>
      </w:pPr>
      <w:r>
        <w:rPr>
          <w:rFonts w:hint="eastAsia" w:ascii="黑体" w:hAnsi="黑体" w:eastAsia="黑体" w:cs="黑体"/>
          <w:color w:val="000000"/>
          <w:sz w:val="32"/>
          <w:szCs w:val="48"/>
        </w:rPr>
        <w:t>附件3</w:t>
      </w:r>
    </w:p>
    <w:p w14:paraId="7F5A0EFA">
      <w:pPr>
        <w:spacing w:line="580" w:lineRule="exact"/>
        <w:jc w:val="center"/>
        <w:rPr>
          <w:rFonts w:hint="eastAsia" w:ascii="Times New Roman" w:hAnsi="Times New Roman" w:eastAsia="方正小标宋简体" w:cs="方正小标宋简体"/>
          <w:color w:val="000000"/>
          <w:spacing w:val="-8"/>
          <w:sz w:val="44"/>
          <w:szCs w:val="44"/>
          <w:highlight w:val="none"/>
          <w:lang w:val="en-US" w:eastAsia="zh-CN"/>
        </w:rPr>
      </w:pPr>
      <w:r>
        <w:rPr>
          <w:rFonts w:hint="eastAsia" w:ascii="Times New Roman" w:hAnsi="Times New Roman" w:eastAsia="方正小标宋简体" w:cs="方正小标宋简体"/>
          <w:color w:val="000000"/>
          <w:spacing w:val="-8"/>
          <w:sz w:val="44"/>
          <w:szCs w:val="44"/>
          <w:highlight w:val="none"/>
          <w:lang w:val="en-US" w:eastAsia="zh-CN"/>
        </w:rPr>
        <w:t>濉溪县危险化学品事故应急处置工作流程图</w:t>
      </w:r>
    </w:p>
    <w:p w14:paraId="2786034E">
      <w:pPr>
        <w:widowControl w:val="0"/>
        <w:spacing w:after="120" w:line="480" w:lineRule="auto"/>
        <w:ind w:left="0" w:leftChars="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w:t>
      </w:r>
      <w:r>
        <w:rPr>
          <w:rFonts w:ascii="Times New Roman" w:hAnsi="Times New Roman" w:eastAsia="仿宋_GB2312" w:cs="Times New Roman"/>
          <w:b/>
          <w:color w:val="000000"/>
          <w:kern w:val="2"/>
          <w:sz w:val="36"/>
          <w:szCs w:val="36"/>
          <w:lang w:val="en-US" w:eastAsia="zh-CN" w:bidi="ar-SA"/>
        </w:rPr>
        <mc:AlternateContent>
          <mc:Choice Requires="wpg">
            <w:drawing>
              <wp:inline distT="0" distB="0" distL="114300" distR="114300">
                <wp:extent cx="5297170" cy="7183755"/>
                <wp:effectExtent l="0" t="4445" r="17780" b="0"/>
                <wp:docPr id="503" name="Group 2"/>
                <wp:cNvGraphicFramePr/>
                <a:graphic xmlns:a="http://schemas.openxmlformats.org/drawingml/2006/main">
                  <a:graphicData uri="http://schemas.microsoft.com/office/word/2010/wordprocessingGroup">
                    <wpg:wgp>
                      <wpg:cNvGrpSpPr>
                        <a:grpSpLocks noRot="1"/>
                      </wpg:cNvGrpSpPr>
                      <wpg:grpSpPr>
                        <a:xfrm>
                          <a:off x="0" y="0"/>
                          <a:ext cx="5297170" cy="7183755"/>
                          <a:chOff x="0" y="0"/>
                          <a:chExt cx="8640" cy="12636"/>
                        </a:xfrm>
                      </wpg:grpSpPr>
                      <wps:wsp>
                        <wps:cNvPr id="423" name="Picture 3"/>
                        <wps:cNvSpPr>
                          <a:spLocks noChangeAspect="1" noTextEdit="1"/>
                        </wps:cNvSpPr>
                        <wps:spPr>
                          <a:xfrm>
                            <a:off x="0" y="0"/>
                            <a:ext cx="8640" cy="12636"/>
                          </a:xfrm>
                          <a:prstGeom prst="rect">
                            <a:avLst/>
                          </a:prstGeom>
                          <a:noFill/>
                          <a:ln>
                            <a:noFill/>
                          </a:ln>
                        </wps:spPr>
                        <wps:bodyPr vert="horz" wrap="square" anchor="t" anchorCtr="0" upright="1"/>
                      </wps:wsp>
                      <wps:wsp>
                        <wps:cNvPr id="424" name="Text Box 4"/>
                        <wps:cNvSpPr txBox="1"/>
                        <wps:spPr>
                          <a:xfrm>
                            <a:off x="1440" y="0"/>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998F3E">
                              <w:pPr>
                                <w:jc w:val="center"/>
                                <w:rPr>
                                  <w:rFonts w:ascii="Calibri" w:hAnsi="Calibri" w:eastAsia="宋体" w:cs="Times New Roman"/>
                                  <w:sz w:val="18"/>
                                  <w:szCs w:val="18"/>
                                </w:rPr>
                              </w:pPr>
                              <w:r>
                                <w:rPr>
                                  <w:rFonts w:hint="eastAsia" w:ascii="Calibri" w:hAnsi="Calibri" w:eastAsia="宋体" w:cs="Times New Roman"/>
                                  <w:sz w:val="18"/>
                                  <w:szCs w:val="18"/>
                                </w:rPr>
                                <w:t>危险化学品事故</w:t>
                              </w:r>
                            </w:p>
                          </w:txbxContent>
                        </wps:txbx>
                        <wps:bodyPr vert="horz" wrap="square" anchor="t" anchorCtr="0" upright="1"/>
                      </wps:wsp>
                      <wps:wsp>
                        <wps:cNvPr id="425" name="Text Box 5"/>
                        <wps:cNvSpPr txBox="1"/>
                        <wps:spPr>
                          <a:xfrm>
                            <a:off x="5580" y="0"/>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2F94A7">
                              <w:pPr>
                                <w:jc w:val="center"/>
                                <w:rPr>
                                  <w:rFonts w:ascii="Calibri" w:hAnsi="Calibri" w:eastAsia="宋体" w:cs="Times New Roman"/>
                                  <w:sz w:val="18"/>
                                  <w:szCs w:val="18"/>
                                </w:rPr>
                              </w:pPr>
                              <w:r>
                                <w:rPr>
                                  <w:rFonts w:hint="eastAsia" w:ascii="Calibri" w:hAnsi="Calibri" w:eastAsia="宋体" w:cs="Times New Roman"/>
                                  <w:sz w:val="18"/>
                                  <w:szCs w:val="18"/>
                                </w:rPr>
                                <w:t>消防、应急等部门通报</w:t>
                              </w:r>
                            </w:p>
                          </w:txbxContent>
                        </wps:txbx>
                        <wps:bodyPr vert="horz" wrap="square" anchor="t" anchorCtr="0" upright="1"/>
                      </wps:wsp>
                      <wps:wsp>
                        <wps:cNvPr id="426" name="Text Box 6"/>
                        <wps:cNvSpPr txBox="1"/>
                        <wps:spPr>
                          <a:xfrm>
                            <a:off x="181" y="780"/>
                            <a:ext cx="1259"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CD3BBD">
                              <w:pPr>
                                <w:jc w:val="center"/>
                                <w:rPr>
                                  <w:rFonts w:ascii="Calibri" w:hAnsi="Calibri" w:eastAsia="宋体" w:cs="Times New Roman"/>
                                  <w:sz w:val="18"/>
                                  <w:szCs w:val="18"/>
                                </w:rPr>
                              </w:pPr>
                              <w:r>
                                <w:rPr>
                                  <w:rFonts w:hint="eastAsia" w:ascii="Calibri" w:hAnsi="Calibri" w:eastAsia="宋体" w:cs="Times New Roman"/>
                                  <w:sz w:val="18"/>
                                  <w:szCs w:val="18"/>
                                </w:rPr>
                                <w:t>群众报告</w:t>
                              </w:r>
                            </w:p>
                          </w:txbxContent>
                        </wps:txbx>
                        <wps:bodyPr vert="horz" wrap="square" anchor="t" anchorCtr="0" upright="1"/>
                      </wps:wsp>
                      <wps:wsp>
                        <wps:cNvPr id="427" name="Text Box 7"/>
                        <wps:cNvSpPr txBox="1"/>
                        <wps:spPr>
                          <a:xfrm>
                            <a:off x="1620" y="78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6792C9">
                              <w:pPr>
                                <w:jc w:val="center"/>
                                <w:rPr>
                                  <w:rFonts w:ascii="Calibri" w:hAnsi="Calibri" w:eastAsia="宋体" w:cs="Times New Roman"/>
                                  <w:sz w:val="18"/>
                                  <w:szCs w:val="18"/>
                                </w:rPr>
                              </w:pPr>
                              <w:r>
                                <w:rPr>
                                  <w:rFonts w:hint="eastAsia" w:ascii="Calibri" w:hAnsi="Calibri" w:eastAsia="宋体" w:cs="Times New Roman"/>
                                  <w:sz w:val="18"/>
                                  <w:szCs w:val="18"/>
                                </w:rPr>
                                <w:t>事发单位报告</w:t>
                              </w:r>
                            </w:p>
                          </w:txbxContent>
                        </wps:txbx>
                        <wps:bodyPr vert="horz" wrap="square" anchor="t" anchorCtr="0" upright="1"/>
                      </wps:wsp>
                      <wps:wsp>
                        <wps:cNvPr id="428" name="Text Box 8"/>
                        <wps:cNvSpPr txBox="1"/>
                        <wps:spPr>
                          <a:xfrm>
                            <a:off x="3420" y="78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DDC0AF">
                              <w:pPr>
                                <w:jc w:val="center"/>
                                <w:rPr>
                                  <w:rFonts w:ascii="Calibri" w:hAnsi="Calibri" w:eastAsia="宋体" w:cs="Times New Roman"/>
                                  <w:sz w:val="18"/>
                                  <w:szCs w:val="18"/>
                                </w:rPr>
                              </w:pPr>
                              <w:r>
                                <w:rPr>
                                  <w:rFonts w:hint="eastAsia" w:ascii="Calibri" w:hAnsi="Calibri" w:eastAsia="宋体" w:cs="Times New Roman"/>
                                  <w:sz w:val="18"/>
                                  <w:szCs w:val="18"/>
                                </w:rPr>
                                <w:t>事故监测</w:t>
                              </w:r>
                            </w:p>
                          </w:txbxContent>
                        </wps:txbx>
                        <wps:bodyPr vert="horz" wrap="square" anchor="t" anchorCtr="0" upright="1"/>
                      </wps:wsp>
                      <wps:wsp>
                        <wps:cNvPr id="429" name="Text Box 9"/>
                        <wps:cNvSpPr txBox="1"/>
                        <wps:spPr>
                          <a:xfrm>
                            <a:off x="1440" y="2099"/>
                            <a:ext cx="216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61D270">
                              <w:pPr>
                                <w:jc w:val="center"/>
                                <w:rPr>
                                  <w:rFonts w:ascii="Calibri" w:hAnsi="Calibri" w:eastAsia="宋体" w:cs="Times New Roman"/>
                                  <w:sz w:val="18"/>
                                  <w:szCs w:val="18"/>
                                </w:rPr>
                              </w:pPr>
                              <w:r>
                                <w:rPr>
                                  <w:rFonts w:hint="eastAsia" w:ascii="Calibri" w:hAnsi="Calibri" w:eastAsia="宋体" w:cs="Times New Roman"/>
                                  <w:sz w:val="18"/>
                                  <w:szCs w:val="18"/>
                                </w:rPr>
                                <w:t>报警电话</w:t>
                              </w:r>
                            </w:p>
                          </w:txbxContent>
                        </wps:txbx>
                        <wps:bodyPr vert="horz" wrap="square" anchor="t" anchorCtr="0" upright="1"/>
                      </wps:wsp>
                      <wps:wsp>
                        <wps:cNvPr id="430" name="Text Box 10"/>
                        <wps:cNvSpPr txBox="1"/>
                        <wps:spPr>
                          <a:xfrm>
                            <a:off x="1440" y="3120"/>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E53F18">
                              <w:pPr>
                                <w:jc w:val="center"/>
                                <w:rPr>
                                  <w:rFonts w:ascii="Calibri" w:hAnsi="Calibri" w:eastAsia="宋体" w:cs="Times New Roman"/>
                                  <w:sz w:val="18"/>
                                  <w:szCs w:val="18"/>
                                </w:rPr>
                              </w:pPr>
                              <w:r>
                                <w:rPr>
                                  <w:rFonts w:hint="eastAsia" w:ascii="Calibri" w:hAnsi="Calibri" w:eastAsia="宋体" w:cs="Times New Roman"/>
                                  <w:sz w:val="18"/>
                                  <w:szCs w:val="18"/>
                                </w:rPr>
                                <w:t>值班领导</w:t>
                              </w:r>
                            </w:p>
                          </w:txbxContent>
                        </wps:txbx>
                        <wps:bodyPr vert="horz" wrap="square" anchor="t" anchorCtr="0" upright="1"/>
                      </wps:wsp>
                      <wps:wsp>
                        <wps:cNvPr id="431" name="AutoShape 11"/>
                        <wps:cNvCnPr>
                          <a:stCxn id="2" idx="2"/>
                          <a:endCxn id="4" idx="0"/>
                        </wps:cNvCnPr>
                        <wps:spPr>
                          <a:xfrm rot="5400000">
                            <a:off x="1495" y="-230"/>
                            <a:ext cx="312" cy="1709"/>
                          </a:xfrm>
                          <a:prstGeom prst="bentConnector3">
                            <a:avLst>
                              <a:gd name="adj1" fmla="val 50000"/>
                            </a:avLst>
                          </a:prstGeom>
                          <a:ln w="9525" cap="flat" cmpd="sng">
                            <a:solidFill>
                              <a:srgbClr val="000000"/>
                            </a:solidFill>
                            <a:prstDash val="solid"/>
                            <a:miter/>
                            <a:headEnd type="none" w="med" len="med"/>
                            <a:tailEnd type="none" w="med" len="med"/>
                          </a:ln>
                        </wps:spPr>
                        <wps:bodyPr/>
                      </wps:wsp>
                      <wps:wsp>
                        <wps:cNvPr id="432" name="AutoShape 12"/>
                        <wps:cNvCnPr>
                          <a:stCxn id="2" idx="2"/>
                          <a:endCxn id="5" idx="0"/>
                        </wps:cNvCnPr>
                        <wps:spPr>
                          <a:xfrm rot="5400000">
                            <a:off x="2319" y="579"/>
                            <a:ext cx="312" cy="90"/>
                          </a:xfrm>
                          <a:prstGeom prst="bentConnector3">
                            <a:avLst>
                              <a:gd name="adj1" fmla="val 50000"/>
                            </a:avLst>
                          </a:prstGeom>
                          <a:ln w="9525" cap="flat" cmpd="sng">
                            <a:solidFill>
                              <a:srgbClr val="000000"/>
                            </a:solidFill>
                            <a:prstDash val="solid"/>
                            <a:miter/>
                            <a:headEnd type="none" w="med" len="med"/>
                            <a:tailEnd type="none" w="med" len="med"/>
                          </a:ln>
                        </wps:spPr>
                        <wps:bodyPr/>
                      </wps:wsp>
                      <wps:wsp>
                        <wps:cNvPr id="433" name="AutoShape 13"/>
                        <wps:cNvCnPr>
                          <a:stCxn id="2" idx="2"/>
                          <a:endCxn id="6" idx="0"/>
                        </wps:cNvCnPr>
                        <wps:spPr>
                          <a:xfrm rot="-5400000" flipH="1">
                            <a:off x="3219" y="-231"/>
                            <a:ext cx="312" cy="171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34" name="AutoShape 14"/>
                        <wps:cNvCnPr>
                          <a:stCxn id="2" idx="2"/>
                          <a:endCxn id="5" idx="0"/>
                        </wps:cNvCnPr>
                        <wps:spPr>
                          <a:xfrm rot="5400000">
                            <a:off x="2319" y="579"/>
                            <a:ext cx="312" cy="9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35" name="AutoShape 15"/>
                        <wps:cNvCnPr>
                          <a:stCxn id="2" idx="2"/>
                          <a:endCxn id="4" idx="0"/>
                        </wps:cNvCnPr>
                        <wps:spPr>
                          <a:xfrm rot="5400000">
                            <a:off x="1495" y="-230"/>
                            <a:ext cx="312" cy="1709"/>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36" name="AutoShape 16"/>
                        <wps:cNvCnPr>
                          <a:stCxn id="4" idx="2"/>
                          <a:endCxn id="7" idx="0"/>
                        </wps:cNvCnPr>
                        <wps:spPr>
                          <a:xfrm rot="-5400000" flipH="1">
                            <a:off x="1226" y="805"/>
                            <a:ext cx="851" cy="1709"/>
                          </a:xfrm>
                          <a:prstGeom prst="bentConnector3">
                            <a:avLst>
                              <a:gd name="adj1" fmla="val 49940"/>
                            </a:avLst>
                          </a:prstGeom>
                          <a:ln w="9525" cap="flat" cmpd="sng">
                            <a:solidFill>
                              <a:srgbClr val="000000"/>
                            </a:solidFill>
                            <a:prstDash val="solid"/>
                            <a:miter/>
                            <a:headEnd type="none" w="med" len="med"/>
                            <a:tailEnd type="triangle" w="med" len="med"/>
                          </a:ln>
                        </wps:spPr>
                        <wps:bodyPr/>
                      </wps:wsp>
                      <wps:wsp>
                        <wps:cNvPr id="437" name="AutoShape 17"/>
                        <wps:cNvCnPr>
                          <a:stCxn id="5" idx="2"/>
                          <a:endCxn id="7" idx="0"/>
                        </wps:cNvCnPr>
                        <wps:spPr>
                          <a:xfrm rot="-5400000" flipH="1">
                            <a:off x="2035" y="1614"/>
                            <a:ext cx="851" cy="90"/>
                          </a:xfrm>
                          <a:prstGeom prst="bentConnector3">
                            <a:avLst>
                              <a:gd name="adj1" fmla="val 49940"/>
                            </a:avLst>
                          </a:prstGeom>
                          <a:ln w="9525" cap="flat" cmpd="sng">
                            <a:solidFill>
                              <a:srgbClr val="000000"/>
                            </a:solidFill>
                            <a:prstDash val="solid"/>
                            <a:miter/>
                            <a:headEnd type="none" w="med" len="med"/>
                            <a:tailEnd type="triangle" w="med" len="med"/>
                          </a:ln>
                        </wps:spPr>
                        <wps:bodyPr/>
                      </wps:wsp>
                      <wps:wsp>
                        <wps:cNvPr id="438" name="AutoShape 18"/>
                        <wps:cNvCnPr>
                          <a:stCxn id="6" idx="2"/>
                          <a:endCxn id="7" idx="0"/>
                        </wps:cNvCnPr>
                        <wps:spPr>
                          <a:xfrm rot="5400000">
                            <a:off x="2935" y="804"/>
                            <a:ext cx="851" cy="1710"/>
                          </a:xfrm>
                          <a:prstGeom prst="bentConnector3">
                            <a:avLst>
                              <a:gd name="adj1" fmla="val 49940"/>
                            </a:avLst>
                          </a:prstGeom>
                          <a:ln w="9525" cap="flat" cmpd="sng">
                            <a:solidFill>
                              <a:srgbClr val="000000"/>
                            </a:solidFill>
                            <a:prstDash val="solid"/>
                            <a:miter/>
                            <a:headEnd type="none" w="med" len="med"/>
                            <a:tailEnd type="triangle" w="med" len="med"/>
                          </a:ln>
                        </wps:spPr>
                        <wps:bodyPr/>
                      </wps:wsp>
                      <wps:wsp>
                        <wps:cNvPr id="439" name="AutoShape 19"/>
                        <wps:cNvCnPr>
                          <a:stCxn id="7" idx="2"/>
                          <a:endCxn id="8" idx="0"/>
                        </wps:cNvCnPr>
                        <wps:spPr>
                          <a:xfrm>
                            <a:off x="2520" y="2568"/>
                            <a:ext cx="1" cy="552"/>
                          </a:xfrm>
                          <a:prstGeom prst="straightConnector1">
                            <a:avLst/>
                          </a:prstGeom>
                          <a:ln w="9525" cap="flat" cmpd="sng">
                            <a:solidFill>
                              <a:srgbClr val="000000"/>
                            </a:solidFill>
                            <a:prstDash val="solid"/>
                            <a:headEnd type="none" w="med" len="med"/>
                            <a:tailEnd type="triangle" w="med" len="med"/>
                          </a:ln>
                        </wps:spPr>
                        <wps:bodyPr/>
                      </wps:wsp>
                      <wps:wsp>
                        <wps:cNvPr id="440" name="Text Box 20"/>
                        <wps:cNvSpPr txBox="1"/>
                        <wps:spPr>
                          <a:xfrm>
                            <a:off x="181" y="4055"/>
                            <a:ext cx="2159"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C8600C">
                              <w:pPr>
                                <w:ind w:firstLine="540" w:firstLineChars="300"/>
                                <w:rPr>
                                  <w:rFonts w:ascii="Calibri" w:hAnsi="Calibri" w:eastAsia="宋体" w:cs="Times New Roman"/>
                                  <w:sz w:val="18"/>
                                  <w:szCs w:val="18"/>
                                </w:rPr>
                              </w:pPr>
                              <w:r>
                                <w:rPr>
                                  <w:rFonts w:hint="eastAsia" w:ascii="Calibri" w:hAnsi="Calibri" w:eastAsia="宋体" w:cs="Times New Roman"/>
                                  <w:sz w:val="18"/>
                                  <w:szCs w:val="18"/>
                                </w:rPr>
                                <w:t>事件核实</w:t>
                              </w:r>
                            </w:p>
                          </w:txbxContent>
                        </wps:txbx>
                        <wps:bodyPr vert="horz" wrap="square" anchor="t" anchorCtr="0" upright="1"/>
                      </wps:wsp>
                      <wps:wsp>
                        <wps:cNvPr id="441" name="Text Box 21"/>
                        <wps:cNvSpPr txBox="1"/>
                        <wps:spPr>
                          <a:xfrm>
                            <a:off x="2700" y="4055"/>
                            <a:ext cx="216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08AA9">
                              <w:pPr>
                                <w:jc w:val="center"/>
                                <w:rPr>
                                  <w:rFonts w:ascii="Calibri" w:hAnsi="Calibri" w:eastAsia="宋体" w:cs="Times New Roman"/>
                                  <w:sz w:val="18"/>
                                  <w:szCs w:val="18"/>
                                </w:rPr>
                              </w:pPr>
                              <w:r>
                                <w:rPr>
                                  <w:rFonts w:hint="eastAsia" w:ascii="Calibri" w:hAnsi="Calibri" w:eastAsia="宋体" w:cs="Times New Roman"/>
                                  <w:sz w:val="18"/>
                                  <w:szCs w:val="18"/>
                                </w:rPr>
                                <w:t>评估</w:t>
                              </w:r>
                            </w:p>
                          </w:txbxContent>
                        </wps:txbx>
                        <wps:bodyPr vert="horz" wrap="square" anchor="t" anchorCtr="0" upright="1"/>
                      </wps:wsp>
                      <wps:wsp>
                        <wps:cNvPr id="442" name="Text Box 22"/>
                        <wps:cNvSpPr txBox="1"/>
                        <wps:spPr>
                          <a:xfrm>
                            <a:off x="5250" y="4055"/>
                            <a:ext cx="222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87E9E3">
                              <w:pPr>
                                <w:jc w:val="center"/>
                                <w:rPr>
                                  <w:rFonts w:ascii="Calibri" w:hAnsi="Calibri" w:eastAsia="宋体" w:cs="Times New Roman"/>
                                  <w:sz w:val="18"/>
                                  <w:szCs w:val="18"/>
                                </w:rPr>
                              </w:pPr>
                              <w:r>
                                <w:rPr>
                                  <w:rFonts w:hint="eastAsia" w:ascii="Calibri" w:hAnsi="Calibri" w:eastAsia="宋体" w:cs="Times New Roman"/>
                                  <w:sz w:val="18"/>
                                  <w:szCs w:val="18"/>
                                </w:rPr>
                                <w:t>事故信息收集</w:t>
                              </w:r>
                            </w:p>
                          </w:txbxContent>
                        </wps:txbx>
                        <wps:bodyPr vert="horz" wrap="square" anchor="t" anchorCtr="0" upright="1"/>
                      </wps:wsp>
                      <wps:wsp>
                        <wps:cNvPr id="443" name="Text Box 23"/>
                        <wps:cNvSpPr txBox="1"/>
                        <wps:spPr>
                          <a:xfrm>
                            <a:off x="181" y="4746"/>
                            <a:ext cx="2159"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42F65D">
                              <w:pPr>
                                <w:jc w:val="center"/>
                                <w:rPr>
                                  <w:rFonts w:ascii="Calibri" w:hAnsi="Calibri" w:eastAsia="宋体" w:cs="Times New Roman"/>
                                  <w:sz w:val="18"/>
                                  <w:szCs w:val="18"/>
                                </w:rPr>
                              </w:pPr>
                              <w:r>
                                <w:rPr>
                                  <w:rFonts w:hint="eastAsia" w:ascii="Calibri" w:hAnsi="Calibri" w:eastAsia="宋体" w:cs="Times New Roman"/>
                                  <w:sz w:val="18"/>
                                  <w:szCs w:val="18"/>
                                </w:rPr>
                                <w:t>前期处置</w:t>
                              </w:r>
                            </w:p>
                          </w:txbxContent>
                        </wps:txbx>
                        <wps:bodyPr vert="horz" wrap="square" anchor="t" anchorCtr="0" upright="1"/>
                      </wps:wsp>
                      <wps:wsp>
                        <wps:cNvPr id="444" name="Text Box 24"/>
                        <wps:cNvSpPr txBox="1"/>
                        <wps:spPr>
                          <a:xfrm>
                            <a:off x="181" y="5451"/>
                            <a:ext cx="2159"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51F80F">
                              <w:pPr>
                                <w:jc w:val="center"/>
                                <w:rPr>
                                  <w:rFonts w:ascii="Calibri" w:hAnsi="Calibri" w:eastAsia="宋体" w:cs="Times New Roman"/>
                                  <w:sz w:val="18"/>
                                  <w:szCs w:val="18"/>
                                </w:rPr>
                              </w:pPr>
                              <w:r>
                                <w:rPr>
                                  <w:rFonts w:hint="eastAsia" w:ascii="Calibri" w:hAnsi="Calibri" w:eastAsia="宋体" w:cs="Times New Roman"/>
                                  <w:sz w:val="18"/>
                                  <w:szCs w:val="18"/>
                                </w:rPr>
                                <w:t>初步认定级别</w:t>
                              </w:r>
                            </w:p>
                          </w:txbxContent>
                        </wps:txbx>
                        <wps:bodyPr vert="horz" wrap="square" anchor="t" anchorCtr="0" upright="1"/>
                      </wps:wsp>
                      <wps:wsp>
                        <wps:cNvPr id="445" name="Text Box 25"/>
                        <wps:cNvSpPr txBox="1"/>
                        <wps:spPr>
                          <a:xfrm>
                            <a:off x="5310" y="4731"/>
                            <a:ext cx="216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076203">
                              <w:pPr>
                                <w:jc w:val="center"/>
                                <w:rPr>
                                  <w:rFonts w:ascii="Calibri" w:hAnsi="Calibri" w:eastAsia="宋体" w:cs="Times New Roman"/>
                                  <w:sz w:val="18"/>
                                  <w:szCs w:val="18"/>
                                </w:rPr>
                              </w:pPr>
                              <w:r>
                                <w:rPr>
                                  <w:rFonts w:hint="eastAsia" w:ascii="Calibri" w:hAnsi="Calibri" w:eastAsia="宋体" w:cs="Times New Roman"/>
                                  <w:sz w:val="18"/>
                                  <w:szCs w:val="18"/>
                                </w:rPr>
                                <w:t>现场监测</w:t>
                              </w:r>
                            </w:p>
                          </w:txbxContent>
                        </wps:txbx>
                        <wps:bodyPr vert="horz" wrap="square" anchor="t" anchorCtr="0" upright="1"/>
                      </wps:wsp>
                      <wps:wsp>
                        <wps:cNvPr id="446" name="Text Box 26"/>
                        <wps:cNvSpPr txBox="1"/>
                        <wps:spPr>
                          <a:xfrm>
                            <a:off x="5310" y="5436"/>
                            <a:ext cx="216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7BFFBB">
                              <w:pPr>
                                <w:jc w:val="center"/>
                                <w:rPr>
                                  <w:rFonts w:ascii="Calibri" w:hAnsi="Calibri" w:eastAsia="宋体" w:cs="Times New Roman"/>
                                  <w:sz w:val="18"/>
                                  <w:szCs w:val="18"/>
                                </w:rPr>
                              </w:pPr>
                              <w:r>
                                <w:rPr>
                                  <w:rFonts w:hint="eastAsia" w:ascii="Calibri" w:hAnsi="Calibri" w:eastAsia="宋体" w:cs="Times New Roman"/>
                                  <w:sz w:val="18"/>
                                  <w:szCs w:val="18"/>
                                </w:rPr>
                                <w:t>事故信息分析</w:t>
                              </w:r>
                            </w:p>
                          </w:txbxContent>
                        </wps:txbx>
                        <wps:bodyPr vert="horz" wrap="square" anchor="t" anchorCtr="0" upright="1"/>
                      </wps:wsp>
                      <wps:wsp>
                        <wps:cNvPr id="447" name="Text Box 27"/>
                        <wps:cNvSpPr txBox="1"/>
                        <wps:spPr>
                          <a:xfrm>
                            <a:off x="2700" y="5148"/>
                            <a:ext cx="216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F7151E">
                              <w:pPr>
                                <w:jc w:val="center"/>
                                <w:rPr>
                                  <w:rFonts w:ascii="Calibri" w:hAnsi="Calibri" w:eastAsia="宋体" w:cs="Times New Roman"/>
                                  <w:sz w:val="18"/>
                                  <w:szCs w:val="18"/>
                                </w:rPr>
                              </w:pPr>
                              <w:r>
                                <w:rPr>
                                  <w:rFonts w:hint="eastAsia" w:ascii="Calibri" w:hAnsi="Calibri" w:eastAsia="宋体" w:cs="Times New Roman"/>
                                  <w:sz w:val="18"/>
                                  <w:szCs w:val="18"/>
                                </w:rPr>
                                <w:t>信息上报</w:t>
                              </w:r>
                            </w:p>
                          </w:txbxContent>
                        </wps:txbx>
                        <wps:bodyPr vert="horz" wrap="square" anchor="t" anchorCtr="0" upright="1"/>
                      </wps:wsp>
                      <wps:wsp>
                        <wps:cNvPr id="448" name="AutoShape 28"/>
                        <wps:cNvCnPr>
                          <a:stCxn id="8" idx="2"/>
                          <a:endCxn id="18" idx="0"/>
                        </wps:cNvCnPr>
                        <wps:spPr>
                          <a:xfrm rot="5400000">
                            <a:off x="1643" y="3178"/>
                            <a:ext cx="467" cy="1259"/>
                          </a:xfrm>
                          <a:prstGeom prst="bentConnector3">
                            <a:avLst>
                              <a:gd name="adj1" fmla="val 49894"/>
                            </a:avLst>
                          </a:prstGeom>
                          <a:ln w="9525" cap="flat" cmpd="sng">
                            <a:solidFill>
                              <a:srgbClr val="000000"/>
                            </a:solidFill>
                            <a:prstDash val="solid"/>
                            <a:miter/>
                            <a:headEnd type="none" w="med" len="med"/>
                            <a:tailEnd type="triangle" w="med" len="med"/>
                          </a:ln>
                        </wps:spPr>
                        <wps:bodyPr/>
                      </wps:wsp>
                      <wps:wsp>
                        <wps:cNvPr id="449" name="AutoShape 29"/>
                        <wps:cNvCnPr>
                          <a:stCxn id="8" idx="2"/>
                          <a:endCxn id="19" idx="0"/>
                        </wps:cNvCnPr>
                        <wps:spPr>
                          <a:xfrm rot="-5400000" flipH="1">
                            <a:off x="2902" y="3177"/>
                            <a:ext cx="467" cy="1260"/>
                          </a:xfrm>
                          <a:prstGeom prst="bentConnector3">
                            <a:avLst>
                              <a:gd name="adj1" fmla="val 49894"/>
                            </a:avLst>
                          </a:prstGeom>
                          <a:ln w="9525" cap="flat" cmpd="sng">
                            <a:solidFill>
                              <a:srgbClr val="000000"/>
                            </a:solidFill>
                            <a:prstDash val="solid"/>
                            <a:miter/>
                            <a:headEnd type="none" w="med" len="med"/>
                            <a:tailEnd type="triangle" w="med" len="med"/>
                          </a:ln>
                        </wps:spPr>
                        <wps:bodyPr/>
                      </wps:wsp>
                      <wps:wsp>
                        <wps:cNvPr id="450" name="AutoShape 30"/>
                        <wps:cNvCnPr>
                          <a:stCxn id="8" idx="2"/>
                          <a:endCxn id="20" idx="0"/>
                        </wps:cNvCnPr>
                        <wps:spPr>
                          <a:xfrm rot="-5400000" flipH="1">
                            <a:off x="4192" y="1887"/>
                            <a:ext cx="467" cy="3840"/>
                          </a:xfrm>
                          <a:prstGeom prst="bentConnector3">
                            <a:avLst>
                              <a:gd name="adj1" fmla="val 49894"/>
                            </a:avLst>
                          </a:prstGeom>
                          <a:ln w="9525" cap="flat" cmpd="sng">
                            <a:solidFill>
                              <a:srgbClr val="000000"/>
                            </a:solidFill>
                            <a:prstDash val="solid"/>
                            <a:miter/>
                            <a:headEnd type="none" w="med" len="med"/>
                            <a:tailEnd type="triangle" w="med" len="med"/>
                          </a:ln>
                        </wps:spPr>
                        <wps:bodyPr/>
                      </wps:wsp>
                      <wps:wsp>
                        <wps:cNvPr id="451" name="AutoShape 31"/>
                        <wps:cNvCnPr>
                          <a:stCxn id="18" idx="2"/>
                          <a:endCxn id="21" idx="0"/>
                        </wps:cNvCnPr>
                        <wps:spPr>
                          <a:xfrm rot="5400000">
                            <a:off x="1136" y="4620"/>
                            <a:ext cx="222" cy="1"/>
                          </a:xfrm>
                          <a:prstGeom prst="straightConnector1">
                            <a:avLst/>
                          </a:prstGeom>
                          <a:ln w="9525" cap="flat" cmpd="sng">
                            <a:solidFill>
                              <a:srgbClr val="000000"/>
                            </a:solidFill>
                            <a:prstDash val="solid"/>
                            <a:headEnd type="none" w="med" len="med"/>
                            <a:tailEnd type="triangle" w="med" len="med"/>
                          </a:ln>
                        </wps:spPr>
                        <wps:bodyPr/>
                      </wps:wsp>
                      <wps:wsp>
                        <wps:cNvPr id="452" name="AutoShape 32"/>
                        <wps:cNvCnPr>
                          <a:stCxn id="21" idx="2"/>
                          <a:endCxn id="22" idx="0"/>
                        </wps:cNvCnPr>
                        <wps:spPr>
                          <a:xfrm>
                            <a:off x="1261" y="5215"/>
                            <a:ext cx="1" cy="236"/>
                          </a:xfrm>
                          <a:prstGeom prst="straightConnector1">
                            <a:avLst/>
                          </a:prstGeom>
                          <a:ln w="9525" cap="flat" cmpd="sng">
                            <a:solidFill>
                              <a:srgbClr val="000000"/>
                            </a:solidFill>
                            <a:prstDash val="solid"/>
                            <a:headEnd type="none" w="med" len="med"/>
                            <a:tailEnd type="triangle" w="med" len="med"/>
                          </a:ln>
                        </wps:spPr>
                        <wps:bodyPr/>
                      </wps:wsp>
                      <wps:wsp>
                        <wps:cNvPr id="453" name="AutoShape 33"/>
                        <wps:cNvCnPr>
                          <a:stCxn id="22" idx="3"/>
                          <a:endCxn id="19" idx="1"/>
                        </wps:cNvCnPr>
                        <wps:spPr>
                          <a:xfrm flipV="1">
                            <a:off x="2340" y="4290"/>
                            <a:ext cx="360" cy="1395"/>
                          </a:xfrm>
                          <a:prstGeom prst="bentConnector3">
                            <a:avLst>
                              <a:gd name="adj1" fmla="val 49722"/>
                            </a:avLst>
                          </a:prstGeom>
                          <a:ln w="9525" cap="flat" cmpd="sng">
                            <a:solidFill>
                              <a:srgbClr val="000000"/>
                            </a:solidFill>
                            <a:prstDash val="solid"/>
                            <a:miter/>
                            <a:headEnd type="none" w="med" len="med"/>
                            <a:tailEnd type="triangle" w="med" len="med"/>
                          </a:ln>
                        </wps:spPr>
                        <wps:bodyPr/>
                      </wps:wsp>
                      <wps:wsp>
                        <wps:cNvPr id="454" name="AutoShape 34"/>
                        <wps:cNvCnPr>
                          <a:stCxn id="20" idx="2"/>
                          <a:endCxn id="23" idx="0"/>
                        </wps:cNvCnPr>
                        <wps:spPr>
                          <a:xfrm>
                            <a:off x="6360" y="4524"/>
                            <a:ext cx="30" cy="207"/>
                          </a:xfrm>
                          <a:prstGeom prst="straightConnector1">
                            <a:avLst/>
                          </a:prstGeom>
                          <a:ln w="9525" cap="flat" cmpd="sng">
                            <a:solidFill>
                              <a:srgbClr val="000000"/>
                            </a:solidFill>
                            <a:prstDash val="solid"/>
                            <a:headEnd type="none" w="med" len="med"/>
                            <a:tailEnd type="triangle" w="med" len="med"/>
                          </a:ln>
                        </wps:spPr>
                        <wps:bodyPr/>
                      </wps:wsp>
                      <wps:wsp>
                        <wps:cNvPr id="455" name="AutoShape 35"/>
                        <wps:cNvCnPr>
                          <a:stCxn id="23" idx="2"/>
                          <a:endCxn id="24" idx="0"/>
                        </wps:cNvCnPr>
                        <wps:spPr>
                          <a:xfrm>
                            <a:off x="6390" y="5200"/>
                            <a:ext cx="1" cy="236"/>
                          </a:xfrm>
                          <a:prstGeom prst="straightConnector1">
                            <a:avLst/>
                          </a:prstGeom>
                          <a:ln w="9525" cap="flat" cmpd="sng">
                            <a:solidFill>
                              <a:srgbClr val="000000"/>
                            </a:solidFill>
                            <a:prstDash val="solid"/>
                            <a:headEnd type="none" w="med" len="med"/>
                            <a:tailEnd type="triangle" w="med" len="med"/>
                          </a:ln>
                        </wps:spPr>
                        <wps:bodyPr/>
                      </wps:wsp>
                      <wps:wsp>
                        <wps:cNvPr id="456" name="AutoShape 36"/>
                        <wps:cNvCnPr>
                          <a:stCxn id="24" idx="1"/>
                          <a:endCxn id="19" idx="3"/>
                        </wps:cNvCnPr>
                        <wps:spPr>
                          <a:xfrm rot="10800000">
                            <a:off x="4860" y="4290"/>
                            <a:ext cx="450" cy="1381"/>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57" name="AutoShape 37"/>
                        <wps:cNvCnPr>
                          <a:stCxn id="19" idx="2"/>
                          <a:endCxn id="25" idx="0"/>
                        </wps:cNvCnPr>
                        <wps:spPr>
                          <a:xfrm>
                            <a:off x="3780" y="4524"/>
                            <a:ext cx="1" cy="624"/>
                          </a:xfrm>
                          <a:prstGeom prst="straightConnector1">
                            <a:avLst/>
                          </a:prstGeom>
                          <a:ln w="9525" cap="flat" cmpd="sng">
                            <a:solidFill>
                              <a:srgbClr val="000000"/>
                            </a:solidFill>
                            <a:prstDash val="solid"/>
                            <a:headEnd type="none" w="med" len="med"/>
                            <a:tailEnd type="triangle" w="med" len="med"/>
                          </a:ln>
                        </wps:spPr>
                        <wps:bodyPr/>
                      </wps:wsp>
                      <wps:wsp>
                        <wps:cNvPr id="458" name="Text Box 38"/>
                        <wps:cNvSpPr txBox="1"/>
                        <wps:spPr>
                          <a:xfrm>
                            <a:off x="180" y="6396"/>
                            <a:ext cx="360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62A661">
                              <w:pPr>
                                <w:jc w:val="center"/>
                                <w:rPr>
                                  <w:rFonts w:ascii="Calibri" w:hAnsi="Calibri" w:eastAsia="宋体" w:cs="Times New Roman"/>
                                  <w:sz w:val="18"/>
                                  <w:szCs w:val="18"/>
                                </w:rPr>
                              </w:pPr>
                              <w:r>
                                <w:rPr>
                                  <w:rFonts w:hint="eastAsia" w:ascii="Calibri" w:hAnsi="Calibri" w:eastAsia="宋体" w:cs="Times New Roman"/>
                                  <w:sz w:val="18"/>
                                  <w:szCs w:val="18"/>
                                </w:rPr>
                                <w:t>市危险化学品事故应急指挥部</w:t>
                              </w:r>
                            </w:p>
                          </w:txbxContent>
                        </wps:txbx>
                        <wps:bodyPr vert="horz" wrap="square" anchor="t" anchorCtr="0" upright="1"/>
                      </wps:wsp>
                      <wps:wsp>
                        <wps:cNvPr id="459" name="Text Box 39"/>
                        <wps:cNvSpPr txBox="1"/>
                        <wps:spPr>
                          <a:xfrm>
                            <a:off x="5775" y="6396"/>
                            <a:ext cx="2861"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D010AB">
                              <w:pPr>
                                <w:jc w:val="center"/>
                                <w:rPr>
                                  <w:rFonts w:ascii="Calibri" w:hAnsi="Calibri" w:eastAsia="宋体" w:cs="Times New Roman"/>
                                  <w:sz w:val="18"/>
                                  <w:szCs w:val="18"/>
                                </w:rPr>
                              </w:pPr>
                              <w:r>
                                <w:rPr>
                                  <w:rFonts w:hint="eastAsia" w:ascii="Calibri" w:hAnsi="Calibri" w:eastAsia="宋体" w:cs="Times New Roman"/>
                                  <w:sz w:val="18"/>
                                  <w:szCs w:val="18"/>
                                </w:rPr>
                                <w:t>县危险化学品事故应急指挥部</w:t>
                              </w:r>
                            </w:p>
                            <w:p w14:paraId="5864B90C">
                              <w:pPr>
                                <w:rPr>
                                  <w:rFonts w:ascii="Calibri" w:hAnsi="Calibri" w:eastAsia="宋体" w:cs="Times New Roman"/>
                                </w:rPr>
                              </w:pPr>
                            </w:p>
                          </w:txbxContent>
                        </wps:txbx>
                        <wps:bodyPr vert="horz" wrap="square" anchor="t" anchorCtr="0" upright="1"/>
                      </wps:wsp>
                      <wps:wsp>
                        <wps:cNvPr id="460" name="AutoShape 40"/>
                        <wps:cNvCnPr>
                          <a:stCxn id="25" idx="2"/>
                          <a:endCxn id="36" idx="0"/>
                        </wps:cNvCnPr>
                        <wps:spPr>
                          <a:xfrm rot="5400000">
                            <a:off x="2476" y="5092"/>
                            <a:ext cx="779" cy="1800"/>
                          </a:xfrm>
                          <a:prstGeom prst="bentConnector3">
                            <a:avLst>
                              <a:gd name="adj1" fmla="val 49935"/>
                            </a:avLst>
                          </a:prstGeom>
                          <a:ln w="9525" cap="flat" cmpd="sng">
                            <a:solidFill>
                              <a:srgbClr val="000000"/>
                            </a:solidFill>
                            <a:prstDash val="solid"/>
                            <a:miter/>
                            <a:headEnd type="none" w="med" len="med"/>
                            <a:tailEnd type="triangle" w="med" len="med"/>
                          </a:ln>
                        </wps:spPr>
                        <wps:bodyPr/>
                      </wps:wsp>
                      <wps:wsp>
                        <wps:cNvPr id="461" name="AutoShape 41"/>
                        <wps:cNvCnPr>
                          <a:stCxn id="25" idx="2"/>
                          <a:endCxn id="37" idx="0"/>
                        </wps:cNvCnPr>
                        <wps:spPr>
                          <a:xfrm rot="5400000" flipV="1">
                            <a:off x="5104" y="4294"/>
                            <a:ext cx="779" cy="3425"/>
                          </a:xfrm>
                          <a:prstGeom prst="bentConnector3">
                            <a:avLst>
                              <a:gd name="adj1" fmla="val 50072"/>
                            </a:avLst>
                          </a:prstGeom>
                          <a:ln w="9525" cap="flat" cmpd="sng">
                            <a:solidFill>
                              <a:srgbClr val="000000"/>
                            </a:solidFill>
                            <a:prstDash val="solid"/>
                            <a:miter/>
                            <a:headEnd type="none" w="med" len="med"/>
                            <a:tailEnd type="triangle" w="med" len="med"/>
                          </a:ln>
                        </wps:spPr>
                        <wps:bodyPr/>
                      </wps:wsp>
                      <wps:wsp>
                        <wps:cNvPr id="462" name="Text Box 42"/>
                        <wps:cNvSpPr txBox="1"/>
                        <wps:spPr>
                          <a:xfrm>
                            <a:off x="180" y="7176"/>
                            <a:ext cx="360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D92669">
                              <w:pPr>
                                <w:jc w:val="center"/>
                                <w:rPr>
                                  <w:rFonts w:ascii="Calibri" w:hAnsi="Calibri" w:eastAsia="宋体" w:cs="Times New Roman"/>
                                  <w:sz w:val="18"/>
                                  <w:szCs w:val="18"/>
                                </w:rPr>
                              </w:pPr>
                              <w:r>
                                <w:rPr>
                                  <w:rFonts w:hint="eastAsia" w:ascii="Calibri" w:hAnsi="Calibri" w:eastAsia="宋体" w:cs="Times New Roman"/>
                                  <w:sz w:val="18"/>
                                  <w:szCs w:val="18"/>
                                </w:rPr>
                                <w:t>Ⅰ级、Ⅱ级、Ⅲ级事故</w:t>
                              </w:r>
                            </w:p>
                          </w:txbxContent>
                        </wps:txbx>
                        <wps:bodyPr vert="horz" wrap="square" anchor="t" anchorCtr="0" upright="1"/>
                      </wps:wsp>
                      <wps:wsp>
                        <wps:cNvPr id="463" name="Text Box 43"/>
                        <wps:cNvSpPr txBox="1"/>
                        <wps:spPr>
                          <a:xfrm>
                            <a:off x="5760" y="7176"/>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AC6F53">
                              <w:pPr>
                                <w:ind w:firstLine="540" w:firstLineChars="300"/>
                                <w:rPr>
                                  <w:rFonts w:ascii="Calibri" w:hAnsi="Calibri" w:eastAsia="宋体" w:cs="Times New Roman"/>
                                </w:rPr>
                              </w:pPr>
                              <w:r>
                                <w:rPr>
                                  <w:rFonts w:hint="eastAsia" w:ascii="Calibri" w:hAnsi="Calibri" w:eastAsia="宋体" w:cs="Times New Roman"/>
                                  <w:sz w:val="18"/>
                                  <w:szCs w:val="18"/>
                                </w:rPr>
                                <w:t>Ⅳ级事故</w:t>
                              </w:r>
                            </w:p>
                          </w:txbxContent>
                        </wps:txbx>
                        <wps:bodyPr vert="horz" wrap="square" anchor="t" anchorCtr="0" upright="1"/>
                      </wps:wsp>
                      <wps:wsp>
                        <wps:cNvPr id="464" name="Text Box 44"/>
                        <wps:cNvSpPr txBox="1"/>
                        <wps:spPr>
                          <a:xfrm>
                            <a:off x="5805" y="8376"/>
                            <a:ext cx="216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A642E4">
                              <w:pPr>
                                <w:jc w:val="center"/>
                                <w:rPr>
                                  <w:rFonts w:ascii="Calibri" w:hAnsi="Calibri" w:eastAsia="宋体" w:cs="Times New Roman"/>
                                  <w:sz w:val="18"/>
                                  <w:szCs w:val="18"/>
                                </w:rPr>
                              </w:pPr>
                              <w:r>
                                <w:rPr>
                                  <w:rFonts w:hint="eastAsia" w:ascii="Calibri" w:hAnsi="Calibri" w:eastAsia="宋体" w:cs="Times New Roman"/>
                                  <w:sz w:val="18"/>
                                  <w:szCs w:val="18"/>
                                </w:rPr>
                                <w:t>启动事故应急预案</w:t>
                              </w:r>
                            </w:p>
                          </w:txbxContent>
                        </wps:txbx>
                        <wps:bodyPr vert="horz" wrap="square" anchor="t" anchorCtr="0" upright="1"/>
                      </wps:wsp>
                      <wps:wsp>
                        <wps:cNvPr id="465" name="Text Box 45"/>
                        <wps:cNvSpPr txBox="1"/>
                        <wps:spPr>
                          <a:xfrm>
                            <a:off x="5835" y="9306"/>
                            <a:ext cx="216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6D6D1A">
                              <w:pPr>
                                <w:ind w:firstLine="450" w:firstLineChars="250"/>
                                <w:rPr>
                                  <w:rFonts w:ascii="Calibri" w:hAnsi="Calibri" w:eastAsia="宋体" w:cs="Times New Roman"/>
                                  <w:sz w:val="18"/>
                                  <w:szCs w:val="18"/>
                                </w:rPr>
                              </w:pPr>
                              <w:r>
                                <w:rPr>
                                  <w:rFonts w:hint="eastAsia" w:ascii="Calibri" w:hAnsi="Calibri" w:eastAsia="宋体" w:cs="Times New Roman"/>
                                  <w:sz w:val="18"/>
                                  <w:szCs w:val="18"/>
                                </w:rPr>
                                <w:t>应急救援</w:t>
                              </w:r>
                            </w:p>
                          </w:txbxContent>
                        </wps:txbx>
                        <wps:bodyPr vert="horz" wrap="square" anchor="t" anchorCtr="0" upright="1"/>
                      </wps:wsp>
                      <wps:wsp>
                        <wps:cNvPr id="466" name="AutoShape 46"/>
                        <wps:cNvCnPr>
                          <a:stCxn id="36" idx="2"/>
                          <a:endCxn id="40" idx="0"/>
                        </wps:cNvCnPr>
                        <wps:spPr>
                          <a:xfrm rot="5400000">
                            <a:off x="1811" y="7006"/>
                            <a:ext cx="311" cy="1"/>
                          </a:xfrm>
                          <a:prstGeom prst="straightConnector1">
                            <a:avLst/>
                          </a:prstGeom>
                          <a:ln w="9525" cap="flat" cmpd="sng">
                            <a:solidFill>
                              <a:srgbClr val="000000"/>
                            </a:solidFill>
                            <a:prstDash val="solid"/>
                            <a:headEnd type="none" w="med" len="med"/>
                            <a:tailEnd type="triangle" w="med" len="med"/>
                          </a:ln>
                        </wps:spPr>
                        <wps:bodyPr/>
                      </wps:wsp>
                      <wps:wsp>
                        <wps:cNvPr id="467" name="Text Box 47"/>
                        <wps:cNvSpPr txBox="1"/>
                        <wps:spPr>
                          <a:xfrm>
                            <a:off x="900" y="8337"/>
                            <a:ext cx="2709"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5F455F">
                              <w:pPr>
                                <w:jc w:val="center"/>
                                <w:rPr>
                                  <w:rFonts w:ascii="Calibri" w:hAnsi="Calibri" w:eastAsia="宋体" w:cs="Times New Roman"/>
                                  <w:sz w:val="18"/>
                                  <w:szCs w:val="18"/>
                                </w:rPr>
                              </w:pPr>
                              <w:r>
                                <w:rPr>
                                  <w:rFonts w:hint="eastAsia" w:ascii="Calibri" w:hAnsi="Calibri" w:eastAsia="宋体" w:cs="Times New Roman"/>
                                  <w:sz w:val="18"/>
                                  <w:szCs w:val="18"/>
                                </w:rPr>
                                <w:t>启动事故应急预案</w:t>
                              </w:r>
                            </w:p>
                          </w:txbxContent>
                        </wps:txbx>
                        <wps:bodyPr vert="horz" wrap="square" anchor="t" anchorCtr="0" upright="1"/>
                      </wps:wsp>
                      <wps:wsp>
                        <wps:cNvPr id="468" name="Text Box 48"/>
                        <wps:cNvSpPr txBox="1"/>
                        <wps:spPr>
                          <a:xfrm>
                            <a:off x="900" y="9291"/>
                            <a:ext cx="270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3B79F5">
                              <w:pPr>
                                <w:jc w:val="center"/>
                                <w:rPr>
                                  <w:rFonts w:ascii="Calibri" w:hAnsi="Calibri" w:eastAsia="宋体" w:cs="Times New Roman"/>
                                  <w:sz w:val="18"/>
                                  <w:szCs w:val="18"/>
                                </w:rPr>
                              </w:pPr>
                              <w:r>
                                <w:rPr>
                                  <w:rFonts w:hint="eastAsia" w:ascii="Calibri" w:hAnsi="Calibri" w:eastAsia="宋体" w:cs="Times New Roman"/>
                                  <w:sz w:val="18"/>
                                  <w:szCs w:val="18"/>
                                </w:rPr>
                                <w:t>现场指挥部</w:t>
                              </w:r>
                            </w:p>
                          </w:txbxContent>
                        </wps:txbx>
                        <wps:bodyPr vert="horz" wrap="square" anchor="t" anchorCtr="0" upright="1"/>
                      </wps:wsp>
                      <wps:wsp>
                        <wps:cNvPr id="469" name="Text Box 49"/>
                        <wps:cNvSpPr txBox="1"/>
                        <wps:spPr>
                          <a:xfrm>
                            <a:off x="2700" y="10452"/>
                            <a:ext cx="1089"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D26400">
                              <w:pPr>
                                <w:jc w:val="center"/>
                                <w:rPr>
                                  <w:rFonts w:ascii="Calibri" w:hAnsi="Calibri" w:eastAsia="宋体" w:cs="Times New Roman"/>
                                  <w:sz w:val="18"/>
                                  <w:szCs w:val="18"/>
                                </w:rPr>
                              </w:pPr>
                              <w:r>
                                <w:rPr>
                                  <w:rFonts w:hint="eastAsia" w:ascii="Calibri" w:hAnsi="Calibri" w:eastAsia="宋体" w:cs="Times New Roman"/>
                                  <w:sz w:val="18"/>
                                  <w:szCs w:val="18"/>
                                </w:rPr>
                                <w:t>信息管理</w:t>
                              </w:r>
                            </w:p>
                          </w:txbxContent>
                        </wps:txbx>
                        <wps:bodyPr vert="horz" wrap="square" anchor="t" anchorCtr="0" upright="1"/>
                      </wps:wsp>
                      <wps:wsp>
                        <wps:cNvPr id="470" name="Text Box 50"/>
                        <wps:cNvSpPr txBox="1"/>
                        <wps:spPr>
                          <a:xfrm>
                            <a:off x="420" y="11313"/>
                            <a:ext cx="138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A7380E">
                              <w:pPr>
                                <w:jc w:val="center"/>
                                <w:rPr>
                                  <w:rFonts w:ascii="Calibri" w:hAnsi="Calibri" w:eastAsia="宋体" w:cs="Times New Roman"/>
                                  <w:sz w:val="18"/>
                                  <w:szCs w:val="18"/>
                                </w:rPr>
                              </w:pPr>
                              <w:r>
                                <w:rPr>
                                  <w:rFonts w:hint="eastAsia" w:ascii="Calibri" w:hAnsi="Calibri" w:eastAsia="宋体" w:cs="Times New Roman"/>
                                  <w:sz w:val="18"/>
                                  <w:szCs w:val="18"/>
                                </w:rPr>
                                <w:t>响应升级</w:t>
                              </w:r>
                            </w:p>
                          </w:txbxContent>
                        </wps:txbx>
                        <wps:bodyPr vert="horz" wrap="square" anchor="t" anchorCtr="0" upright="1"/>
                      </wps:wsp>
                      <wps:wsp>
                        <wps:cNvPr id="471" name="Text Box 51"/>
                        <wps:cNvSpPr txBox="1"/>
                        <wps:spPr>
                          <a:xfrm>
                            <a:off x="6660" y="10452"/>
                            <a:ext cx="162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77F7A7">
                              <w:pPr>
                                <w:jc w:val="center"/>
                                <w:rPr>
                                  <w:rFonts w:ascii="Calibri" w:hAnsi="Calibri" w:eastAsia="宋体" w:cs="Times New Roman"/>
                                  <w:sz w:val="18"/>
                                  <w:szCs w:val="18"/>
                                </w:rPr>
                              </w:pPr>
                              <w:r>
                                <w:rPr>
                                  <w:rFonts w:hint="eastAsia" w:ascii="Calibri" w:hAnsi="Calibri" w:eastAsia="宋体" w:cs="Times New Roman"/>
                                  <w:sz w:val="18"/>
                                  <w:szCs w:val="18"/>
                                </w:rPr>
                                <w:t>应急监测</w:t>
                              </w:r>
                            </w:p>
                          </w:txbxContent>
                        </wps:txbx>
                        <wps:bodyPr vert="horz" wrap="square" anchor="t" anchorCtr="0" upright="1"/>
                      </wps:wsp>
                      <wps:wsp>
                        <wps:cNvPr id="472" name="Text Box 52"/>
                        <wps:cNvSpPr txBox="1"/>
                        <wps:spPr>
                          <a:xfrm>
                            <a:off x="4320" y="10452"/>
                            <a:ext cx="1629"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988F13">
                              <w:pPr>
                                <w:jc w:val="center"/>
                                <w:rPr>
                                  <w:rFonts w:ascii="Calibri" w:hAnsi="Calibri" w:eastAsia="宋体" w:cs="Times New Roman"/>
                                  <w:sz w:val="18"/>
                                  <w:szCs w:val="18"/>
                                </w:rPr>
                              </w:pPr>
                              <w:r>
                                <w:rPr>
                                  <w:rFonts w:hint="eastAsia" w:ascii="Calibri" w:hAnsi="Calibri" w:eastAsia="宋体" w:cs="Times New Roman"/>
                                  <w:sz w:val="18"/>
                                  <w:szCs w:val="18"/>
                                </w:rPr>
                                <w:t>应急保障</w:t>
                              </w:r>
                            </w:p>
                          </w:txbxContent>
                        </wps:txbx>
                        <wps:bodyPr vert="horz" wrap="square" anchor="t" anchorCtr="0" upright="1"/>
                      </wps:wsp>
                      <wps:wsp>
                        <wps:cNvPr id="473" name="Text Box 53"/>
                        <wps:cNvSpPr txBox="1"/>
                        <wps:spPr>
                          <a:xfrm>
                            <a:off x="360" y="10431"/>
                            <a:ext cx="144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7A168A">
                              <w:pPr>
                                <w:jc w:val="center"/>
                                <w:rPr>
                                  <w:rFonts w:ascii="Calibri" w:hAnsi="Calibri" w:eastAsia="宋体" w:cs="Times New Roman"/>
                                  <w:sz w:val="18"/>
                                  <w:szCs w:val="18"/>
                                </w:rPr>
                              </w:pPr>
                              <w:r>
                                <w:rPr>
                                  <w:rFonts w:hint="eastAsia" w:ascii="Calibri" w:hAnsi="Calibri" w:eastAsia="宋体" w:cs="Times New Roman"/>
                                  <w:sz w:val="18"/>
                                  <w:szCs w:val="18"/>
                                </w:rPr>
                                <w:t>现场处置</w:t>
                              </w:r>
                            </w:p>
                          </w:txbxContent>
                        </wps:txbx>
                        <wps:bodyPr vert="horz" wrap="square" anchor="t" anchorCtr="0" upright="1"/>
                      </wps:wsp>
                      <wps:wsp>
                        <wps:cNvPr id="474" name="Text Box 54"/>
                        <wps:cNvSpPr txBox="1"/>
                        <wps:spPr>
                          <a:xfrm>
                            <a:off x="1686" y="11964"/>
                            <a:ext cx="1089"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1AD6D2">
                              <w:pPr>
                                <w:jc w:val="center"/>
                                <w:rPr>
                                  <w:rFonts w:ascii="Calibri" w:hAnsi="Calibri" w:eastAsia="宋体" w:cs="Times New Roman"/>
                                  <w:sz w:val="18"/>
                                  <w:szCs w:val="18"/>
                                </w:rPr>
                              </w:pPr>
                              <w:r>
                                <w:rPr>
                                  <w:rFonts w:hint="eastAsia" w:ascii="Calibri" w:hAnsi="Calibri" w:eastAsia="宋体" w:cs="Times New Roman"/>
                                  <w:sz w:val="18"/>
                                  <w:szCs w:val="18"/>
                                </w:rPr>
                                <w:t>市政府</w:t>
                              </w:r>
                            </w:p>
                          </w:txbxContent>
                        </wps:txbx>
                        <wps:bodyPr vert="horz" wrap="square" anchor="t" anchorCtr="0" upright="1"/>
                      </wps:wsp>
                      <wps:wsp>
                        <wps:cNvPr id="475" name="Text Box 55"/>
                        <wps:cNvSpPr txBox="1"/>
                        <wps:spPr>
                          <a:xfrm>
                            <a:off x="3201" y="11964"/>
                            <a:ext cx="1449"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57E06A">
                              <w:pPr>
                                <w:jc w:val="center"/>
                                <w:rPr>
                                  <w:rFonts w:ascii="Calibri" w:hAnsi="Calibri" w:eastAsia="宋体" w:cs="Times New Roman"/>
                                  <w:sz w:val="18"/>
                                  <w:szCs w:val="18"/>
                                </w:rPr>
                              </w:pPr>
                              <w:r>
                                <w:rPr>
                                  <w:rFonts w:hint="eastAsia" w:ascii="Calibri" w:hAnsi="Calibri" w:eastAsia="宋体" w:cs="Times New Roman"/>
                                  <w:sz w:val="18"/>
                                  <w:szCs w:val="18"/>
                                </w:rPr>
                                <w:t>安徽省应急厅局</w:t>
                              </w:r>
                            </w:p>
                          </w:txbxContent>
                        </wps:txbx>
                        <wps:bodyPr vert="horz" wrap="square" anchor="t" anchorCtr="0" upright="1"/>
                      </wps:wsp>
                      <wps:wsp>
                        <wps:cNvPr id="476" name="Text Box 56"/>
                        <wps:cNvSpPr txBox="1"/>
                        <wps:spPr>
                          <a:xfrm>
                            <a:off x="5091" y="11949"/>
                            <a:ext cx="1449"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A40D26">
                              <w:pPr>
                                <w:jc w:val="center"/>
                                <w:rPr>
                                  <w:rFonts w:ascii="Calibri" w:hAnsi="Calibri" w:eastAsia="宋体" w:cs="Times New Roman"/>
                                  <w:sz w:val="18"/>
                                  <w:szCs w:val="18"/>
                                </w:rPr>
                              </w:pPr>
                              <w:r>
                                <w:rPr>
                                  <w:rFonts w:hint="eastAsia" w:ascii="Calibri" w:hAnsi="Calibri" w:eastAsia="宋体" w:cs="Times New Roman"/>
                                  <w:sz w:val="18"/>
                                  <w:szCs w:val="18"/>
                                </w:rPr>
                                <w:t>国家应急部</w:t>
                              </w:r>
                            </w:p>
                            <w:p w14:paraId="4103BF4C">
                              <w:pPr>
                                <w:rPr>
                                  <w:rFonts w:ascii="Calibri" w:hAnsi="Calibri" w:eastAsia="宋体" w:cs="Times New Roman"/>
                                  <w:sz w:val="18"/>
                                  <w:szCs w:val="18"/>
                                </w:rPr>
                              </w:pPr>
                            </w:p>
                          </w:txbxContent>
                        </wps:txbx>
                        <wps:bodyPr vert="horz" wrap="square" anchor="t" anchorCtr="0" upright="1"/>
                      </wps:wsp>
                      <wps:wsp>
                        <wps:cNvPr id="477" name="AutoShape 57"/>
                        <wps:cNvCnPr>
                          <a:stCxn id="45" idx="2"/>
                          <a:endCxn id="46" idx="0"/>
                        </wps:cNvCnPr>
                        <wps:spPr>
                          <a:xfrm flipH="1">
                            <a:off x="2250" y="8806"/>
                            <a:ext cx="5" cy="485"/>
                          </a:xfrm>
                          <a:prstGeom prst="straightConnector1">
                            <a:avLst/>
                          </a:prstGeom>
                          <a:ln w="9525" cap="flat" cmpd="sng">
                            <a:solidFill>
                              <a:srgbClr val="000000"/>
                            </a:solidFill>
                            <a:prstDash val="solid"/>
                            <a:headEnd type="none" w="med" len="med"/>
                            <a:tailEnd type="triangle" w="med" len="med"/>
                          </a:ln>
                        </wps:spPr>
                        <wps:bodyPr/>
                      </wps:wsp>
                      <wps:wsp>
                        <wps:cNvPr id="478" name="AutoShape 58"/>
                        <wps:cNvCnPr>
                          <a:stCxn id="46" idx="2"/>
                          <a:endCxn id="51" idx="0"/>
                        </wps:cNvCnPr>
                        <wps:spPr>
                          <a:xfrm rot="5400000">
                            <a:off x="1315" y="9496"/>
                            <a:ext cx="671" cy="1170"/>
                          </a:xfrm>
                          <a:prstGeom prst="bentConnector3">
                            <a:avLst>
                              <a:gd name="adj1" fmla="val 49926"/>
                            </a:avLst>
                          </a:prstGeom>
                          <a:ln w="9525" cap="flat" cmpd="sng">
                            <a:solidFill>
                              <a:srgbClr val="000000"/>
                            </a:solidFill>
                            <a:prstDash val="solid"/>
                            <a:miter/>
                            <a:headEnd type="none" w="med" len="med"/>
                            <a:tailEnd type="triangle" w="med" len="med"/>
                          </a:ln>
                        </wps:spPr>
                        <wps:bodyPr/>
                      </wps:wsp>
                      <wps:wsp>
                        <wps:cNvPr id="479" name="AutoShape 59"/>
                        <wps:cNvCnPr>
                          <a:stCxn id="46" idx="2"/>
                          <a:endCxn id="47" idx="0"/>
                        </wps:cNvCnPr>
                        <wps:spPr>
                          <a:xfrm rot="-5400000" flipH="1">
                            <a:off x="2387" y="9594"/>
                            <a:ext cx="692" cy="995"/>
                          </a:xfrm>
                          <a:prstGeom prst="bentConnector3">
                            <a:avLst>
                              <a:gd name="adj1" fmla="val 49856"/>
                            </a:avLst>
                          </a:prstGeom>
                          <a:ln w="9525" cap="flat" cmpd="sng">
                            <a:solidFill>
                              <a:srgbClr val="000000"/>
                            </a:solidFill>
                            <a:prstDash val="solid"/>
                            <a:miter/>
                            <a:headEnd type="none" w="med" len="med"/>
                            <a:tailEnd type="triangle" w="med" len="med"/>
                          </a:ln>
                        </wps:spPr>
                        <wps:bodyPr/>
                      </wps:wsp>
                      <wps:wsp>
                        <wps:cNvPr id="480" name="AutoShape 60"/>
                        <wps:cNvCnPr>
                          <a:stCxn id="46" idx="2"/>
                          <a:endCxn id="50" idx="0"/>
                        </wps:cNvCnPr>
                        <wps:spPr>
                          <a:xfrm rot="-5400000" flipH="1">
                            <a:off x="3332" y="8649"/>
                            <a:ext cx="692" cy="2885"/>
                          </a:xfrm>
                          <a:prstGeom prst="bentConnector3">
                            <a:avLst>
                              <a:gd name="adj1" fmla="val 49856"/>
                            </a:avLst>
                          </a:prstGeom>
                          <a:ln w="9525" cap="flat" cmpd="sng">
                            <a:solidFill>
                              <a:srgbClr val="000000"/>
                            </a:solidFill>
                            <a:prstDash val="solid"/>
                            <a:miter/>
                            <a:headEnd type="none" w="med" len="med"/>
                            <a:tailEnd type="triangle" w="med" len="med"/>
                          </a:ln>
                        </wps:spPr>
                        <wps:bodyPr/>
                      </wps:wsp>
                      <wps:wsp>
                        <wps:cNvPr id="481" name="AutoShape 61"/>
                        <wps:cNvCnPr>
                          <a:stCxn id="46" idx="2"/>
                          <a:endCxn id="49" idx="0"/>
                        </wps:cNvCnPr>
                        <wps:spPr>
                          <a:xfrm rot="-5400000" flipH="1">
                            <a:off x="4514" y="7496"/>
                            <a:ext cx="692" cy="5220"/>
                          </a:xfrm>
                          <a:prstGeom prst="bentConnector3">
                            <a:avLst>
                              <a:gd name="adj1" fmla="val 49856"/>
                            </a:avLst>
                          </a:prstGeom>
                          <a:ln w="9525" cap="flat" cmpd="sng">
                            <a:solidFill>
                              <a:srgbClr val="000000"/>
                            </a:solidFill>
                            <a:prstDash val="solid"/>
                            <a:miter/>
                            <a:headEnd type="none" w="med" len="med"/>
                            <a:tailEnd type="triangle" w="med" len="med"/>
                          </a:ln>
                        </wps:spPr>
                        <wps:bodyPr/>
                      </wps:wsp>
                      <wps:wsp>
                        <wps:cNvPr id="482" name="AutoShape 62"/>
                        <wps:cNvCnPr>
                          <a:stCxn id="46" idx="2"/>
                          <a:endCxn id="49" idx="0"/>
                        </wps:cNvCnPr>
                        <wps:spPr>
                          <a:xfrm flipH="1">
                            <a:off x="3240" y="10920"/>
                            <a:ext cx="5" cy="624"/>
                          </a:xfrm>
                          <a:prstGeom prst="straightConnector1">
                            <a:avLst/>
                          </a:prstGeom>
                          <a:ln w="9525" cap="flat" cmpd="sng">
                            <a:solidFill>
                              <a:srgbClr val="000000"/>
                            </a:solidFill>
                            <a:prstDash val="solid"/>
                            <a:headEnd type="none" w="med" len="med"/>
                            <a:tailEnd type="none" w="med" len="med"/>
                          </a:ln>
                        </wps:spPr>
                        <wps:bodyPr/>
                      </wps:wsp>
                      <wps:wsp>
                        <wps:cNvPr id="483" name="AutoShape 63"/>
                        <wps:cNvCnPr>
                          <a:stCxn id="46" idx="2"/>
                          <a:endCxn id="49" idx="0"/>
                        </wps:cNvCnPr>
                        <wps:spPr>
                          <a:xfrm flipH="1">
                            <a:off x="2261" y="11547"/>
                            <a:ext cx="4" cy="387"/>
                          </a:xfrm>
                          <a:prstGeom prst="straightConnector1">
                            <a:avLst/>
                          </a:prstGeom>
                          <a:ln w="9525" cap="flat" cmpd="sng">
                            <a:solidFill>
                              <a:srgbClr val="000000"/>
                            </a:solidFill>
                            <a:prstDash val="solid"/>
                            <a:headEnd type="none" w="med" len="med"/>
                            <a:tailEnd type="triangle" w="med" len="med"/>
                          </a:ln>
                        </wps:spPr>
                        <wps:bodyPr/>
                      </wps:wsp>
                      <wps:wsp>
                        <wps:cNvPr id="484" name="AutoShape 64"/>
                        <wps:cNvCnPr>
                          <a:stCxn id="46" idx="2"/>
                          <a:endCxn id="49" idx="0"/>
                        </wps:cNvCnPr>
                        <wps:spPr>
                          <a:xfrm flipH="1">
                            <a:off x="3941" y="11547"/>
                            <a:ext cx="4" cy="387"/>
                          </a:xfrm>
                          <a:prstGeom prst="straightConnector1">
                            <a:avLst/>
                          </a:prstGeom>
                          <a:ln w="9525" cap="flat" cmpd="sng">
                            <a:solidFill>
                              <a:srgbClr val="000000"/>
                            </a:solidFill>
                            <a:prstDash val="solid"/>
                            <a:headEnd type="none" w="med" len="med"/>
                            <a:tailEnd type="triangle" w="med" len="med"/>
                          </a:ln>
                        </wps:spPr>
                        <wps:bodyPr/>
                      </wps:wsp>
                      <wps:wsp>
                        <wps:cNvPr id="485" name="AutoShape 65"/>
                        <wps:cNvCnPr>
                          <a:stCxn id="46" idx="2"/>
                          <a:endCxn id="49" idx="0"/>
                        </wps:cNvCnPr>
                        <wps:spPr>
                          <a:xfrm flipH="1">
                            <a:off x="5771" y="11532"/>
                            <a:ext cx="4" cy="387"/>
                          </a:xfrm>
                          <a:prstGeom prst="straightConnector1">
                            <a:avLst/>
                          </a:prstGeom>
                          <a:ln w="9525" cap="flat" cmpd="sng">
                            <a:solidFill>
                              <a:srgbClr val="000000"/>
                            </a:solidFill>
                            <a:prstDash val="solid"/>
                            <a:headEnd type="none" w="med" len="med"/>
                            <a:tailEnd type="triangle" w="med" len="med"/>
                          </a:ln>
                        </wps:spPr>
                        <wps:bodyPr/>
                      </wps:wsp>
                      <wps:wsp>
                        <wps:cNvPr id="486" name="Line 66"/>
                        <wps:cNvCnPr/>
                        <wps:spPr>
                          <a:xfrm>
                            <a:off x="3780" y="6552"/>
                            <a:ext cx="1980" cy="0"/>
                          </a:xfrm>
                          <a:prstGeom prst="line">
                            <a:avLst/>
                          </a:prstGeom>
                          <a:ln w="9525" cap="flat" cmpd="sng">
                            <a:solidFill>
                              <a:srgbClr val="000000"/>
                            </a:solidFill>
                            <a:prstDash val="solid"/>
                            <a:headEnd type="none" w="med" len="med"/>
                            <a:tailEnd type="triangle" w="med" len="med"/>
                          </a:ln>
                        </wps:spPr>
                        <wps:bodyPr/>
                      </wps:wsp>
                      <wps:wsp>
                        <wps:cNvPr id="65" name="Line 67"/>
                        <wps:cNvCnPr/>
                        <wps:spPr>
                          <a:xfrm flipH="1">
                            <a:off x="3780" y="6708"/>
                            <a:ext cx="1980" cy="0"/>
                          </a:xfrm>
                          <a:prstGeom prst="line">
                            <a:avLst/>
                          </a:prstGeom>
                          <a:ln w="9525" cap="flat" cmpd="sng">
                            <a:solidFill>
                              <a:srgbClr val="000000"/>
                            </a:solidFill>
                            <a:prstDash val="solid"/>
                            <a:headEnd type="none" w="med" len="med"/>
                            <a:tailEnd type="triangle" w="med" len="med"/>
                          </a:ln>
                        </wps:spPr>
                        <wps:bodyPr/>
                      </wps:wsp>
                      <wps:wsp>
                        <wps:cNvPr id="487" name="Line 68"/>
                        <wps:cNvCnPr/>
                        <wps:spPr>
                          <a:xfrm flipH="1">
                            <a:off x="225" y="11544"/>
                            <a:ext cx="180" cy="1"/>
                          </a:xfrm>
                          <a:prstGeom prst="line">
                            <a:avLst/>
                          </a:prstGeom>
                          <a:ln w="9525" cap="flat" cmpd="sng">
                            <a:solidFill>
                              <a:srgbClr val="000000"/>
                            </a:solidFill>
                            <a:prstDash val="solid"/>
                            <a:headEnd type="none" w="med" len="med"/>
                            <a:tailEnd type="none" w="med" len="med"/>
                          </a:ln>
                        </wps:spPr>
                        <wps:bodyPr/>
                      </wps:wsp>
                      <wps:wsp>
                        <wps:cNvPr id="488" name="Line 69"/>
                        <wps:cNvCnPr/>
                        <wps:spPr>
                          <a:xfrm>
                            <a:off x="195" y="9516"/>
                            <a:ext cx="1" cy="2043"/>
                          </a:xfrm>
                          <a:prstGeom prst="line">
                            <a:avLst/>
                          </a:prstGeom>
                          <a:ln w="9525" cap="flat" cmpd="sng">
                            <a:solidFill>
                              <a:srgbClr val="000000"/>
                            </a:solidFill>
                            <a:prstDash val="solid"/>
                            <a:headEnd type="none" w="med" len="med"/>
                            <a:tailEnd type="none" w="med" len="med"/>
                          </a:ln>
                        </wps:spPr>
                        <wps:bodyPr/>
                      </wps:wsp>
                      <wps:wsp>
                        <wps:cNvPr id="489" name="Line 70"/>
                        <wps:cNvCnPr/>
                        <wps:spPr>
                          <a:xfrm>
                            <a:off x="180" y="9516"/>
                            <a:ext cx="720" cy="0"/>
                          </a:xfrm>
                          <a:prstGeom prst="line">
                            <a:avLst/>
                          </a:prstGeom>
                          <a:ln w="9525" cap="flat" cmpd="sng">
                            <a:solidFill>
                              <a:srgbClr val="000000"/>
                            </a:solidFill>
                            <a:prstDash val="solid"/>
                            <a:headEnd type="none" w="med" len="med"/>
                            <a:tailEnd type="triangle" w="med" len="med"/>
                          </a:ln>
                        </wps:spPr>
                        <wps:bodyPr/>
                      </wps:wsp>
                      <wps:wsp>
                        <wps:cNvPr id="490" name="Line 71"/>
                        <wps:cNvCnPr/>
                        <wps:spPr>
                          <a:xfrm>
                            <a:off x="1170" y="10935"/>
                            <a:ext cx="1" cy="312"/>
                          </a:xfrm>
                          <a:prstGeom prst="line">
                            <a:avLst/>
                          </a:prstGeom>
                          <a:ln w="9525" cap="flat" cmpd="sng">
                            <a:solidFill>
                              <a:srgbClr val="000000"/>
                            </a:solidFill>
                            <a:prstDash val="solid"/>
                            <a:headEnd type="none" w="med" len="med"/>
                            <a:tailEnd type="triangle" w="med" len="med"/>
                          </a:ln>
                        </wps:spPr>
                        <wps:bodyPr/>
                      </wps:wsp>
                      <wps:wsp>
                        <wps:cNvPr id="491" name="Line 72"/>
                        <wps:cNvCnPr/>
                        <wps:spPr>
                          <a:xfrm>
                            <a:off x="2160" y="7674"/>
                            <a:ext cx="1" cy="624"/>
                          </a:xfrm>
                          <a:prstGeom prst="line">
                            <a:avLst/>
                          </a:prstGeom>
                          <a:ln w="9525" cap="flat" cmpd="sng">
                            <a:solidFill>
                              <a:srgbClr val="000000"/>
                            </a:solidFill>
                            <a:prstDash val="solid"/>
                            <a:headEnd type="none" w="med" len="med"/>
                            <a:tailEnd type="triangle" w="med" len="med"/>
                          </a:ln>
                        </wps:spPr>
                        <wps:bodyPr/>
                      </wps:wsp>
                      <wps:wsp>
                        <wps:cNvPr id="492" name="Line 73"/>
                        <wps:cNvCnPr/>
                        <wps:spPr>
                          <a:xfrm>
                            <a:off x="6840" y="7644"/>
                            <a:ext cx="1" cy="780"/>
                          </a:xfrm>
                          <a:prstGeom prst="line">
                            <a:avLst/>
                          </a:prstGeom>
                          <a:ln w="9525" cap="flat" cmpd="sng">
                            <a:solidFill>
                              <a:srgbClr val="000000"/>
                            </a:solidFill>
                            <a:prstDash val="solid"/>
                            <a:headEnd type="none" w="med" len="med"/>
                            <a:tailEnd type="triangle" w="med" len="med"/>
                          </a:ln>
                        </wps:spPr>
                        <wps:bodyPr/>
                      </wps:wsp>
                      <wps:wsp>
                        <wps:cNvPr id="493" name="Line 74"/>
                        <wps:cNvCnPr/>
                        <wps:spPr>
                          <a:xfrm>
                            <a:off x="7695" y="11544"/>
                            <a:ext cx="1" cy="312"/>
                          </a:xfrm>
                          <a:prstGeom prst="line">
                            <a:avLst/>
                          </a:prstGeom>
                          <a:ln w="9525" cap="flat" cmpd="sng">
                            <a:solidFill>
                              <a:srgbClr val="000000"/>
                            </a:solidFill>
                            <a:prstDash val="solid"/>
                            <a:headEnd type="none" w="med" len="med"/>
                            <a:tailEnd type="triangle" w="med" len="med"/>
                          </a:ln>
                        </wps:spPr>
                        <wps:bodyPr/>
                      </wps:wsp>
                      <wps:wsp>
                        <wps:cNvPr id="494" name="Rectangle 75"/>
                        <wps:cNvSpPr/>
                        <wps:spPr>
                          <a:xfrm>
                            <a:off x="7020" y="11916"/>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2A8284">
                              <w:pPr>
                                <w:ind w:firstLine="420" w:firstLineChars="200"/>
                                <w:rPr>
                                  <w:rFonts w:ascii="Calibri" w:hAnsi="Calibri" w:eastAsia="宋体" w:cs="Times New Roman"/>
                                </w:rPr>
                              </w:pPr>
                              <w:r>
                                <w:rPr>
                                  <w:rFonts w:hint="eastAsia" w:ascii="Calibri" w:hAnsi="Calibri" w:eastAsia="宋体" w:cs="Times New Roman"/>
                                  <w:sz w:val="21"/>
                                  <w:szCs w:val="21"/>
                                </w:rPr>
                                <w:t>媒体</w:t>
                              </w:r>
                            </w:p>
                          </w:txbxContent>
                        </wps:txbx>
                        <wps:bodyPr vert="horz" wrap="square" anchor="t" anchorCtr="0" upright="1"/>
                      </wps:wsp>
                      <wps:wsp>
                        <wps:cNvPr id="495" name="Line 76"/>
                        <wps:cNvCnPr/>
                        <wps:spPr>
                          <a:xfrm>
                            <a:off x="2280" y="11544"/>
                            <a:ext cx="5400" cy="1"/>
                          </a:xfrm>
                          <a:prstGeom prst="line">
                            <a:avLst/>
                          </a:prstGeom>
                          <a:ln w="9525" cap="flat" cmpd="sng">
                            <a:solidFill>
                              <a:srgbClr val="000000"/>
                            </a:solidFill>
                            <a:prstDash val="solid"/>
                            <a:headEnd type="none" w="med" len="med"/>
                            <a:tailEnd type="none" w="med" len="med"/>
                          </a:ln>
                        </wps:spPr>
                        <wps:bodyPr/>
                      </wps:wsp>
                      <wps:wsp>
                        <wps:cNvPr id="496" name="Line 77"/>
                        <wps:cNvCnPr/>
                        <wps:spPr>
                          <a:xfrm>
                            <a:off x="6660" y="468"/>
                            <a:ext cx="1" cy="1872"/>
                          </a:xfrm>
                          <a:prstGeom prst="line">
                            <a:avLst/>
                          </a:prstGeom>
                          <a:ln w="9525" cap="flat" cmpd="sng">
                            <a:solidFill>
                              <a:srgbClr val="000000"/>
                            </a:solidFill>
                            <a:prstDash val="solid"/>
                            <a:headEnd type="none" w="med" len="med"/>
                            <a:tailEnd type="none" w="med" len="med"/>
                          </a:ln>
                        </wps:spPr>
                        <wps:bodyPr/>
                      </wps:wsp>
                      <wps:wsp>
                        <wps:cNvPr id="497" name="Line 78"/>
                        <wps:cNvCnPr/>
                        <wps:spPr>
                          <a:xfrm flipH="1">
                            <a:off x="3600" y="2319"/>
                            <a:ext cx="3060" cy="1"/>
                          </a:xfrm>
                          <a:prstGeom prst="line">
                            <a:avLst/>
                          </a:prstGeom>
                          <a:ln w="9525" cap="flat" cmpd="sng">
                            <a:solidFill>
                              <a:srgbClr val="000000"/>
                            </a:solidFill>
                            <a:prstDash val="solid"/>
                            <a:headEnd type="none" w="med" len="med"/>
                            <a:tailEnd type="triangle" w="med" len="med"/>
                          </a:ln>
                        </wps:spPr>
                        <wps:bodyPr/>
                      </wps:wsp>
                      <wps:wsp>
                        <wps:cNvPr id="498" name="Line 79"/>
                        <wps:cNvCnPr/>
                        <wps:spPr>
                          <a:xfrm>
                            <a:off x="6840" y="8847"/>
                            <a:ext cx="1" cy="468"/>
                          </a:xfrm>
                          <a:prstGeom prst="line">
                            <a:avLst/>
                          </a:prstGeom>
                          <a:ln w="9525" cap="flat" cmpd="sng">
                            <a:solidFill>
                              <a:srgbClr val="000000"/>
                            </a:solidFill>
                            <a:prstDash val="solid"/>
                            <a:headEnd type="none" w="med" len="med"/>
                            <a:tailEnd type="triangle" w="med" len="med"/>
                          </a:ln>
                        </wps:spPr>
                        <wps:bodyPr/>
                      </wps:wsp>
                      <wps:wsp>
                        <wps:cNvPr id="499" name="Line 80"/>
                        <wps:cNvCnPr/>
                        <wps:spPr>
                          <a:xfrm>
                            <a:off x="6840" y="6864"/>
                            <a:ext cx="1" cy="312"/>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Group 2" o:spid="_x0000_s1026" o:spt="203" style="height:565.65pt;width:417.1pt;" coordsize="8640,12636" o:gfxdata="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">
                <o:lock v:ext="edit" rotation="t" aspectratio="f"/>
                <v:rect id="Picture 3" o:spid="_x0000_s1026" o:spt="1" style="position:absolute;left:0;top:0;height:12636;width:8640;" filled="f" stroked="f" coordsize="21600,21600" o:gfxdata="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X9DL4A&#10;AADcAAAADwAAAAAAAAABACAAAAAiAAAAZHJzL2Rvd25yZXYueG1sUEsBAhQAFAAAAAgAh07iQDMv&#10;BZ47AAAAOQAAABAAAAAAAAAAAQAgAAAADQEAAGRycy9zaGFwZXhtbC54bWxQSwUGAAAAAAYABgBb&#10;AQAAtwMAAAAA&#10;">
                  <v:fill on="f" focussize="0,0"/>
                  <v:stroke on="f"/>
                  <v:imagedata o:title=""/>
                  <o:lock v:ext="edit" text="t" aspectratio="t"/>
                </v:rect>
                <v:shape id="Text Box 4" o:spid="_x0000_s1026" o:spt="202" type="#_x0000_t202" style="position:absolute;left:1440;top:0;height:468;width:2160;" fillcolor="#FFFFFF" filled="t" stroked="t" coordsize="21600,21600" o:gfxdata="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7C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3998F3E">
                        <w:pPr>
                          <w:jc w:val="center"/>
                          <w:rPr>
                            <w:rFonts w:ascii="Calibri" w:hAnsi="Calibri" w:eastAsia="宋体" w:cs="Times New Roman"/>
                            <w:sz w:val="18"/>
                            <w:szCs w:val="18"/>
                          </w:rPr>
                        </w:pPr>
                        <w:r>
                          <w:rPr>
                            <w:rFonts w:hint="eastAsia" w:ascii="Calibri" w:hAnsi="Calibri" w:eastAsia="宋体" w:cs="Times New Roman"/>
                            <w:sz w:val="18"/>
                            <w:szCs w:val="18"/>
                          </w:rPr>
                          <w:t>危险化学品事故</w:t>
                        </w:r>
                      </w:p>
                    </w:txbxContent>
                  </v:textbox>
                </v:shape>
                <v:shape id="Text Box 5" o:spid="_x0000_s1026" o:spt="202" type="#_x0000_t202" style="position:absolute;left:5580;top:0;height:468;width:2160;" fillcolor="#FFFFFF" filled="t" stroked="t" coordsize="21600,21600" o:gfxdata="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Jn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42F94A7">
                        <w:pPr>
                          <w:jc w:val="center"/>
                          <w:rPr>
                            <w:rFonts w:ascii="Calibri" w:hAnsi="Calibri" w:eastAsia="宋体" w:cs="Times New Roman"/>
                            <w:sz w:val="18"/>
                            <w:szCs w:val="18"/>
                          </w:rPr>
                        </w:pPr>
                        <w:r>
                          <w:rPr>
                            <w:rFonts w:hint="eastAsia" w:ascii="Calibri" w:hAnsi="Calibri" w:eastAsia="宋体" w:cs="Times New Roman"/>
                            <w:sz w:val="18"/>
                            <w:szCs w:val="18"/>
                          </w:rPr>
                          <w:t>消防、应急等部门通报</w:t>
                        </w:r>
                      </w:p>
                    </w:txbxContent>
                  </v:textbox>
                </v:shape>
                <v:shape id="Text Box 6" o:spid="_x0000_s1026" o:spt="202" type="#_x0000_t202" style="position:absolute;left:181;top:780;height:468;width:1259;" fillcolor="#FFFFFF" filled="t" stroked="t" coordsize="21600,21600" o:gfxdata="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w+a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65CD3BBD">
                        <w:pPr>
                          <w:jc w:val="center"/>
                          <w:rPr>
                            <w:rFonts w:ascii="Calibri" w:hAnsi="Calibri" w:eastAsia="宋体" w:cs="Times New Roman"/>
                            <w:sz w:val="18"/>
                            <w:szCs w:val="18"/>
                          </w:rPr>
                        </w:pPr>
                        <w:r>
                          <w:rPr>
                            <w:rFonts w:hint="eastAsia" w:ascii="Calibri" w:hAnsi="Calibri" w:eastAsia="宋体" w:cs="Times New Roman"/>
                            <w:sz w:val="18"/>
                            <w:szCs w:val="18"/>
                          </w:rPr>
                          <w:t>群众报告</w:t>
                        </w:r>
                      </w:p>
                    </w:txbxContent>
                  </v:textbox>
                </v:shape>
                <v:shape id="Text Box 7" o:spid="_x0000_s1026" o:spt="202" type="#_x0000_t202" style="position:absolute;left:1620;top:780;height:468;width:1620;" fillcolor="#FFFFFF" filled="t" stroked="t" coordsize="21600,21600" o:gfxdata="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rxc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D6792C9">
                        <w:pPr>
                          <w:jc w:val="center"/>
                          <w:rPr>
                            <w:rFonts w:ascii="Calibri" w:hAnsi="Calibri" w:eastAsia="宋体" w:cs="Times New Roman"/>
                            <w:sz w:val="18"/>
                            <w:szCs w:val="18"/>
                          </w:rPr>
                        </w:pPr>
                        <w:r>
                          <w:rPr>
                            <w:rFonts w:hint="eastAsia" w:ascii="Calibri" w:hAnsi="Calibri" w:eastAsia="宋体" w:cs="Times New Roman"/>
                            <w:sz w:val="18"/>
                            <w:szCs w:val="18"/>
                          </w:rPr>
                          <w:t>事发单位报告</w:t>
                        </w:r>
                      </w:p>
                    </w:txbxContent>
                  </v:textbox>
                </v:shape>
                <v:shape id="Text Box 8" o:spid="_x0000_s1026" o:spt="202" type="#_x0000_t202" style="position:absolute;left:3420;top:780;height:468;width:1620;" fillcolor="#FFFFFF" filled="t" stroked="t" coordsize="21600,21600" o:gfxdata="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I8hJ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5DDC0AF">
                        <w:pPr>
                          <w:jc w:val="center"/>
                          <w:rPr>
                            <w:rFonts w:ascii="Calibri" w:hAnsi="Calibri" w:eastAsia="宋体" w:cs="Times New Roman"/>
                            <w:sz w:val="18"/>
                            <w:szCs w:val="18"/>
                          </w:rPr>
                        </w:pPr>
                        <w:r>
                          <w:rPr>
                            <w:rFonts w:hint="eastAsia" w:ascii="Calibri" w:hAnsi="Calibri" w:eastAsia="宋体" w:cs="Times New Roman"/>
                            <w:sz w:val="18"/>
                            <w:szCs w:val="18"/>
                          </w:rPr>
                          <w:t>事故监测</w:t>
                        </w:r>
                      </w:p>
                    </w:txbxContent>
                  </v:textbox>
                </v:shape>
                <v:shape id="Text Box 9" o:spid="_x0000_s1026" o:spt="202" type="#_x0000_t202" style="position:absolute;left:1440;top:2099;height:469;width:2160;" fillcolor="#FFFFFF" filled="t" stroked="t" coordsize="21600,21600" o:gfxdata="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9t0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361D270">
                        <w:pPr>
                          <w:jc w:val="center"/>
                          <w:rPr>
                            <w:rFonts w:ascii="Calibri" w:hAnsi="Calibri" w:eastAsia="宋体" w:cs="Times New Roman"/>
                            <w:sz w:val="18"/>
                            <w:szCs w:val="18"/>
                          </w:rPr>
                        </w:pPr>
                        <w:r>
                          <w:rPr>
                            <w:rFonts w:hint="eastAsia" w:ascii="Calibri" w:hAnsi="Calibri" w:eastAsia="宋体" w:cs="Times New Roman"/>
                            <w:sz w:val="18"/>
                            <w:szCs w:val="18"/>
                          </w:rPr>
                          <w:t>报警电话</w:t>
                        </w:r>
                      </w:p>
                    </w:txbxContent>
                  </v:textbox>
                </v:shape>
                <v:shape id="Text Box 10" o:spid="_x0000_s1026" o:spt="202" type="#_x0000_t202" style="position:absolute;left:1440;top:3120;height:468;width:2160;" fillcolor="#FFFFFF" filled="t" stroked="t" coordsize="21600,21600" o:gfxdata="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xS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7E53F18">
                        <w:pPr>
                          <w:jc w:val="center"/>
                          <w:rPr>
                            <w:rFonts w:ascii="Calibri" w:hAnsi="Calibri" w:eastAsia="宋体" w:cs="Times New Roman"/>
                            <w:sz w:val="18"/>
                            <w:szCs w:val="18"/>
                          </w:rPr>
                        </w:pPr>
                        <w:r>
                          <w:rPr>
                            <w:rFonts w:hint="eastAsia" w:ascii="Calibri" w:hAnsi="Calibri" w:eastAsia="宋体" w:cs="Times New Roman"/>
                            <w:sz w:val="18"/>
                            <w:szCs w:val="18"/>
                          </w:rPr>
                          <w:t>值班领导</w:t>
                        </w:r>
                      </w:p>
                    </w:txbxContent>
                  </v:textbox>
                </v:shape>
                <v:shape id="AutoShape 11" o:spid="_x0000_s1026" o:spt="34" type="#_x0000_t34" style="position:absolute;left:1495;top:-230;height:1709;width:312;rotation:5898240f;" filled="f" stroked="t" coordsize="21600,21600" o:gfxdata="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sOSb4A&#10;AADcAAAADwAAAAAAAAABACAAAAAiAAAAZHJzL2Rvd25yZXYueG1sUEsBAhQAFAAAAAgAh07iQDMv&#10;BZ47AAAAOQAAABAAAAAAAAAAAQAgAAAADQEAAGRycy9zaGFwZXhtbC54bWxQSwUGAAAAAAYABgBb&#10;AQAAtwMAAAAA&#10;" adj="10800">
                  <v:fill on="f" focussize="0,0"/>
                  <v:stroke color="#000000" joinstyle="miter"/>
                  <v:imagedata o:title=""/>
                  <o:lock v:ext="edit" aspectratio="f"/>
                </v:shape>
                <v:shape id="AutoShape 12" o:spid="_x0000_s1026" o:spt="34" type="#_x0000_t34" style="position:absolute;left:2319;top:579;height:90;width:312;rotation:5898240f;" filled="f" stroked="t" coordsize="21600,21600" o:gfxdata="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ZkD6/&#10;AAAA3AAAAA8AAAAAAAAAAQAgAAAAIgAAAGRycy9kb3ducmV2LnhtbFBLAQIUABQAAAAIAIdO4kAz&#10;LwWeOwAAADkAAAAQAAAAAAAAAAEAIAAAAA4BAABkcnMvc2hhcGV4bWwueG1sUEsFBgAAAAAGAAYA&#10;WwEAALgDAAAAAA==&#10;" adj="10800">
                  <v:fill on="f" focussize="0,0"/>
                  <v:stroke color="#000000" joinstyle="miter"/>
                  <v:imagedata o:title=""/>
                  <o:lock v:ext="edit" aspectratio="f"/>
                </v:shape>
                <v:shape id="AutoShape 13" o:spid="_x0000_s1026" o:spt="34" type="#_x0000_t34" style="position:absolute;left:3219;top:-231;flip:x;height:1710;width:312;rotation:5898240f;" filled="f" stroked="t" coordsize="21600,21600" o:gfxdata="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VkVlugAAANwA&#10;AAAPAAAAAAAAAAEAIAAAACIAAABkcnMvZG93bnJldi54bWxQSwECFAAUAAAACACHTuJAMy8FnjsA&#10;AAA5AAAAEAAAAAAAAAABACAAAAAJAQAAZHJzL3NoYXBleG1sLnhtbFBLBQYAAAAABgAGAFsBAACz&#10;AwAAAAA=&#10;" adj="10800">
                  <v:fill on="f" focussize="0,0"/>
                  <v:stroke color="#000000" joinstyle="miter" endarrow="block"/>
                  <v:imagedata o:title=""/>
                  <o:lock v:ext="edit" aspectratio="f"/>
                </v:shape>
                <v:shape id="AutoShape 14" o:spid="_x0000_s1026" o:spt="34" type="#_x0000_t34" style="position:absolute;left:2319;top:579;height:90;width:312;rotation:5898240f;" filled="f" stroked="t" coordsize="21600,21600" o:gfxdata="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ZYc74A&#10;AADcAAAADwAAAAAAAAABACAAAAAiAAAAZHJzL2Rvd25yZXYueG1sUEsBAhQAFAAAAAgAh07iQDMv&#10;BZ47AAAAOQAAABAAAAAAAAAAAQAgAAAADQEAAGRycy9zaGFwZXhtbC54bWxQSwUGAAAAAAYABgBb&#10;AQAAtwMAAAAA&#10;" adj="10800">
                  <v:fill on="f" focussize="0,0"/>
                  <v:stroke color="#000000" joinstyle="miter" endarrow="block"/>
                  <v:imagedata o:title=""/>
                  <o:lock v:ext="edit" aspectratio="f"/>
                </v:shape>
                <v:shape id="AutoShape 15" o:spid="_x0000_s1026" o:spt="34" type="#_x0000_t34" style="position:absolute;left:1495;top:-230;height:1709;width:312;rotation:5898240f;" filled="f" stroked="t" coordsize="21600,21600" o:gfxdata="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yv3ovQAA&#10;ANwAAAAPAAAAAAAAAAEAIAAAACIAAABkcnMvZG93bnJldi54bWxQSwECFAAUAAAACACHTuJAMy8F&#10;njsAAAA5AAAAEAAAAAAAAAABACAAAAAMAQAAZHJzL3NoYXBleG1sLnhtbFBLBQYAAAAABgAGAFsB&#10;AAC2AwAAAAA=&#10;" adj="10800">
                  <v:fill on="f" focussize="0,0"/>
                  <v:stroke color="#000000" joinstyle="miter" endarrow="block"/>
                  <v:imagedata o:title=""/>
                  <o:lock v:ext="edit" aspectratio="f"/>
                </v:shape>
                <v:shape id="AutoShape 16" o:spid="_x0000_s1026" o:spt="34" type="#_x0000_t34" style="position:absolute;left:1226;top:805;flip:x;height:1709;width:851;rotation:5898240f;" filled="f" stroked="t" coordsize="21600,21600" o:gfxdata="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JWFsvQAA&#10;ANwAAAAPAAAAAAAAAAEAIAAAACIAAABkcnMvZG93bnJldi54bWxQSwECFAAUAAAACACHTuJAMy8F&#10;njsAAAA5AAAAEAAAAAAAAAABACAAAAAMAQAAZHJzL3NoYXBleG1sLnhtbFBLBQYAAAAABgAGAFsB&#10;AAC2AwAAAAA=&#10;" adj="10787">
                  <v:fill on="f" focussize="0,0"/>
                  <v:stroke color="#000000" joinstyle="miter" endarrow="block"/>
                  <v:imagedata o:title=""/>
                  <o:lock v:ext="edit" aspectratio="f"/>
                </v:shape>
                <v:shape id="AutoShape 17" o:spid="_x0000_s1026" o:spt="34" type="#_x0000_t34" style="position:absolute;left:2035;top:1614;flip:x;height:90;width:851;rotation:5898240f;" filled="f" stroked="t" coordsize="21600,21600" o:gfxdata="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nE974A&#10;AADcAAAADwAAAAAAAAABACAAAAAiAAAAZHJzL2Rvd25yZXYueG1sUEsBAhQAFAAAAAgAh07iQDMv&#10;BZ47AAAAOQAAABAAAAAAAAAAAQAgAAAADQEAAGRycy9zaGFwZXhtbC54bWxQSwUGAAAAAAYABgBb&#10;AQAAtwMAAAAA&#10;" adj="10787">
                  <v:fill on="f" focussize="0,0"/>
                  <v:stroke color="#000000" joinstyle="miter" endarrow="block"/>
                  <v:imagedata o:title=""/>
                  <o:lock v:ext="edit" aspectratio="f"/>
                </v:shape>
                <v:shape id="AutoShape 18" o:spid="_x0000_s1026" o:spt="34" type="#_x0000_t34" style="position:absolute;left:2935;top:804;height:1710;width:851;rotation:5898240f;" filled="f" stroked="t" coordsize="21600,21600" o:gfxdata="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VwSS8AAAA&#10;3AAAAA8AAAAAAAAAAQAgAAAAIgAAAGRycy9kb3ducmV2LnhtbFBLAQIUABQAAAAIAIdO4kAzLwWe&#10;OwAAADkAAAAQAAAAAAAAAAEAIAAAAAsBAABkcnMvc2hhcGV4bWwueG1sUEsFBgAAAAAGAAYAWwEA&#10;ALUDAAAAAA==&#10;" adj="10787">
                  <v:fill on="f" focussize="0,0"/>
                  <v:stroke color="#000000" joinstyle="miter" endarrow="block"/>
                  <v:imagedata o:title=""/>
                  <o:lock v:ext="edit" aspectratio="f"/>
                </v:shape>
                <v:shape id="AutoShape 19" o:spid="_x0000_s1026" o:spt="32" type="#_x0000_t32" style="position:absolute;left:2520;top:2568;height:552;width:1;" filled="f" stroked="t" coordsize="21600,21600" o:gfxdata="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ECa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Text Box 20" o:spid="_x0000_s1026" o:spt="202" type="#_x0000_t202" style="position:absolute;left:181;top:4055;height:469;width:2159;" fillcolor="#FFFFFF" filled="t" stroked="t" coordsize="21600,21600" o:gfxdata="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Ioh7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1C8600C">
                        <w:pPr>
                          <w:ind w:firstLine="540" w:firstLineChars="300"/>
                          <w:rPr>
                            <w:rFonts w:ascii="Calibri" w:hAnsi="Calibri" w:eastAsia="宋体" w:cs="Times New Roman"/>
                            <w:sz w:val="18"/>
                            <w:szCs w:val="18"/>
                          </w:rPr>
                        </w:pPr>
                        <w:r>
                          <w:rPr>
                            <w:rFonts w:hint="eastAsia" w:ascii="Calibri" w:hAnsi="Calibri" w:eastAsia="宋体" w:cs="Times New Roman"/>
                            <w:sz w:val="18"/>
                            <w:szCs w:val="18"/>
                          </w:rPr>
                          <w:t>事件核实</w:t>
                        </w:r>
                      </w:p>
                    </w:txbxContent>
                  </v:textbox>
                </v:shape>
                <v:shape id="Text Box 21" o:spid="_x0000_s1026" o:spt="202" type="#_x0000_t202" style="position:absolute;left:2700;top:4055;height:469;width:2160;" fillcolor="#FFFFFF" filled="t" stroked="t" coordsize="21600,21600" o:gfxdata="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aEd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AA08AA9">
                        <w:pPr>
                          <w:jc w:val="center"/>
                          <w:rPr>
                            <w:rFonts w:ascii="Calibri" w:hAnsi="Calibri" w:eastAsia="宋体" w:cs="Times New Roman"/>
                            <w:sz w:val="18"/>
                            <w:szCs w:val="18"/>
                          </w:rPr>
                        </w:pPr>
                        <w:r>
                          <w:rPr>
                            <w:rFonts w:hint="eastAsia" w:ascii="Calibri" w:hAnsi="Calibri" w:eastAsia="宋体" w:cs="Times New Roman"/>
                            <w:sz w:val="18"/>
                            <w:szCs w:val="18"/>
                          </w:rPr>
                          <w:t>评估</w:t>
                        </w:r>
                      </w:p>
                    </w:txbxContent>
                  </v:textbox>
                </v:shape>
                <v:shape id="Text Box 22" o:spid="_x0000_s1026" o:spt="202" type="#_x0000_t202" style="position:absolute;left:5250;top:4055;height:469;width:2220;" fillcolor="#FFFFFF" filled="t" stroked="t" coordsize="21600,21600" o:gfxdata="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xQaA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C87E9E3">
                        <w:pPr>
                          <w:jc w:val="center"/>
                          <w:rPr>
                            <w:rFonts w:ascii="Calibri" w:hAnsi="Calibri" w:eastAsia="宋体" w:cs="Times New Roman"/>
                            <w:sz w:val="18"/>
                            <w:szCs w:val="18"/>
                          </w:rPr>
                        </w:pPr>
                        <w:r>
                          <w:rPr>
                            <w:rFonts w:hint="eastAsia" w:ascii="Calibri" w:hAnsi="Calibri" w:eastAsia="宋体" w:cs="Times New Roman"/>
                            <w:sz w:val="18"/>
                            <w:szCs w:val="18"/>
                          </w:rPr>
                          <w:t>事故信息收集</w:t>
                        </w:r>
                      </w:p>
                    </w:txbxContent>
                  </v:textbox>
                </v:shape>
                <v:shape id="Text Box 23" o:spid="_x0000_s1026" o:spt="202" type="#_x0000_t202" style="position:absolute;left:181;top:4746;height:469;width:2159;" fillcolor="#FFFFFF" filled="t" stroked="t" coordsize="21600,21600" o:gfxdata="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i/m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D42F65D">
                        <w:pPr>
                          <w:jc w:val="center"/>
                          <w:rPr>
                            <w:rFonts w:ascii="Calibri" w:hAnsi="Calibri" w:eastAsia="宋体" w:cs="Times New Roman"/>
                            <w:sz w:val="18"/>
                            <w:szCs w:val="18"/>
                          </w:rPr>
                        </w:pPr>
                        <w:r>
                          <w:rPr>
                            <w:rFonts w:hint="eastAsia" w:ascii="Calibri" w:hAnsi="Calibri" w:eastAsia="宋体" w:cs="Times New Roman"/>
                            <w:sz w:val="18"/>
                            <w:szCs w:val="18"/>
                          </w:rPr>
                          <w:t>前期处置</w:t>
                        </w:r>
                      </w:p>
                    </w:txbxContent>
                  </v:textbox>
                </v:shape>
                <v:shape id="Text Box 24" o:spid="_x0000_s1026" o:spt="202" type="#_x0000_t202" style="position:absolute;left:181;top:5451;height:468;width:2159;" fillcolor="#FFFFFF" filled="t" stroked="t" coordsize="21600,21600" o:gfxdata="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xJ+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5B51F80F">
                        <w:pPr>
                          <w:jc w:val="center"/>
                          <w:rPr>
                            <w:rFonts w:ascii="Calibri" w:hAnsi="Calibri" w:eastAsia="宋体" w:cs="Times New Roman"/>
                            <w:sz w:val="18"/>
                            <w:szCs w:val="18"/>
                          </w:rPr>
                        </w:pPr>
                        <w:r>
                          <w:rPr>
                            <w:rFonts w:hint="eastAsia" w:ascii="Calibri" w:hAnsi="Calibri" w:eastAsia="宋体" w:cs="Times New Roman"/>
                            <w:sz w:val="18"/>
                            <w:szCs w:val="18"/>
                          </w:rPr>
                          <w:t>初步认定级别</w:t>
                        </w:r>
                      </w:p>
                    </w:txbxContent>
                  </v:textbox>
                </v:shape>
                <v:shape id="Text Box 25" o:spid="_x0000_s1026" o:spt="202" type="#_x0000_t202" style="position:absolute;left:5310;top:4731;height:469;width:2160;" fillcolor="#FFFFFF" filled="t" stroked="t" coordsize="21600,21600" o:gfxdata="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9gne/&#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0C076203">
                        <w:pPr>
                          <w:jc w:val="center"/>
                          <w:rPr>
                            <w:rFonts w:ascii="Calibri" w:hAnsi="Calibri" w:eastAsia="宋体" w:cs="Times New Roman"/>
                            <w:sz w:val="18"/>
                            <w:szCs w:val="18"/>
                          </w:rPr>
                        </w:pPr>
                        <w:r>
                          <w:rPr>
                            <w:rFonts w:hint="eastAsia" w:ascii="Calibri" w:hAnsi="Calibri" w:eastAsia="宋体" w:cs="Times New Roman"/>
                            <w:sz w:val="18"/>
                            <w:szCs w:val="18"/>
                          </w:rPr>
                          <w:t>现场监测</w:t>
                        </w:r>
                      </w:p>
                    </w:txbxContent>
                  </v:textbox>
                </v:shape>
                <v:shape id="Text Box 26" o:spid="_x0000_s1026" o:spt="202" type="#_x0000_t202" style="position:absolute;left:5310;top:5436;height:469;width:2160;" fillcolor="#FFFFFF" filled="t" stroked="t" coordsize="21600,21600" o:gfxdata="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vHA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4B7BFFBB">
                        <w:pPr>
                          <w:jc w:val="center"/>
                          <w:rPr>
                            <w:rFonts w:ascii="Calibri" w:hAnsi="Calibri" w:eastAsia="宋体" w:cs="Times New Roman"/>
                            <w:sz w:val="18"/>
                            <w:szCs w:val="18"/>
                          </w:rPr>
                        </w:pPr>
                        <w:r>
                          <w:rPr>
                            <w:rFonts w:hint="eastAsia" w:ascii="Calibri" w:hAnsi="Calibri" w:eastAsia="宋体" w:cs="Times New Roman"/>
                            <w:sz w:val="18"/>
                            <w:szCs w:val="18"/>
                          </w:rPr>
                          <w:t>事故信息分析</w:t>
                        </w:r>
                      </w:p>
                    </w:txbxContent>
                  </v:textbox>
                </v:shape>
                <v:shape id="Text Box 27" o:spid="_x0000_s1026" o:spt="202" type="#_x0000_t202" style="position:absolute;left:2700;top:5148;height:469;width:2160;" fillcolor="#FFFFFF" filled="t" stroked="t" coordsize="21600,21600" o:gfxdata="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juZ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9F7151E">
                        <w:pPr>
                          <w:jc w:val="center"/>
                          <w:rPr>
                            <w:rFonts w:ascii="Calibri" w:hAnsi="Calibri" w:eastAsia="宋体" w:cs="Times New Roman"/>
                            <w:sz w:val="18"/>
                            <w:szCs w:val="18"/>
                          </w:rPr>
                        </w:pPr>
                        <w:r>
                          <w:rPr>
                            <w:rFonts w:hint="eastAsia" w:ascii="Calibri" w:hAnsi="Calibri" w:eastAsia="宋体" w:cs="Times New Roman"/>
                            <w:sz w:val="18"/>
                            <w:szCs w:val="18"/>
                          </w:rPr>
                          <w:t>信息上报</w:t>
                        </w:r>
                      </w:p>
                    </w:txbxContent>
                  </v:textbox>
                </v:shape>
                <v:shape id="AutoShape 28" o:spid="_x0000_s1026" o:spt="34" type="#_x0000_t34" style="position:absolute;left:1643;top:3178;height:1259;width:467;rotation:5898240f;" filled="f" stroked="t" coordsize="21600,21600" o:gfxdata="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ge98vQAA&#10;ANwAAAAPAAAAAAAAAAEAIAAAACIAAABkcnMvZG93bnJldi54bWxQSwECFAAUAAAACACHTuJAMy8F&#10;njsAAAA5AAAAEAAAAAAAAAABACAAAAAMAQAAZHJzL3NoYXBleG1sLnhtbFBLBQYAAAAABgAGAFsB&#10;AAC2AwAAAAA=&#10;" adj="10777">
                  <v:fill on="f" focussize="0,0"/>
                  <v:stroke color="#000000" joinstyle="miter" endarrow="block"/>
                  <v:imagedata o:title=""/>
                  <o:lock v:ext="edit" aspectratio="f"/>
                </v:shape>
                <v:shape id="AutoShape 29" o:spid="_x0000_s1026" o:spt="34" type="#_x0000_t34" style="position:absolute;left:2902;top:3177;flip:x;height:1260;width:467;rotation:5898240f;" filled="f" stroked="t" coordsize="21600,21600" o:gfxdata="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t+wr4A&#10;AADcAAAADwAAAAAAAAABACAAAAAiAAAAZHJzL2Rvd25yZXYueG1sUEsBAhQAFAAAAAgAh07iQDMv&#10;BZ47AAAAOQAAABAAAAAAAAAAAQAgAAAADQEAAGRycy9zaGFwZXhtbC54bWxQSwUGAAAAAAYABgBb&#10;AQAAtwMAAAAA&#10;" adj="10777">
                  <v:fill on="f" focussize="0,0"/>
                  <v:stroke color="#000000" joinstyle="miter" endarrow="block"/>
                  <v:imagedata o:title=""/>
                  <o:lock v:ext="edit" aspectratio="f"/>
                </v:shape>
                <v:shape id="AutoShape 30" o:spid="_x0000_s1026" o:spt="34" type="#_x0000_t34" style="position:absolute;left:4192;top:1887;flip:x;height:3840;width:467;rotation:5898240f;" filled="f" stroked="t" coordsize="21600,21600" o:gfxdata="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hBgrsAAADc&#10;AAAADwAAAAAAAAABACAAAAAiAAAAZHJzL2Rvd25yZXYueG1sUEsBAhQAFAAAAAgAh07iQDMvBZ47&#10;AAAAOQAAABAAAAAAAAAAAQAgAAAACgEAAGRycy9zaGFwZXhtbC54bWxQSwUGAAAAAAYABgBbAQAA&#10;tAMAAAAA&#10;" adj="10777">
                  <v:fill on="f" focussize="0,0"/>
                  <v:stroke color="#000000" joinstyle="miter" endarrow="block"/>
                  <v:imagedata o:title=""/>
                  <o:lock v:ext="edit" aspectratio="f"/>
                </v:shape>
                <v:shape id="AutoShape 31" o:spid="_x0000_s1026" o:spt="32" type="#_x0000_t32" style="position:absolute;left:1136;top:4620;height:1;width:222;rotation:5898240f;" filled="f" stroked="t" coordsize="21600,21600" o:gfxdata="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OJ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32" o:spid="_x0000_s1026" o:spt="32" type="#_x0000_t32" style="position:absolute;left:1261;top:5215;height:236;width:1;" filled="f" stroked="t" coordsize="21600,21600" o:gfxdata="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fn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33" o:spid="_x0000_s1026" o:spt="34" type="#_x0000_t34" style="position:absolute;left:2340;top:4290;flip:y;height:1395;width:360;" filled="f" stroked="t" coordsize="21600,21600" o:gfxdata="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6KnUC8AAAA&#10;3AAAAA8AAAAAAAAAAQAgAAAAIgAAAGRycy9kb3ducmV2LnhtbFBLAQIUABQAAAAIAIdO4kAzLwWe&#10;OwAAADkAAAAQAAAAAAAAAAEAIAAAAAsBAABkcnMvc2hhcGV4bWwueG1sUEsFBgAAAAAGAAYAWwEA&#10;ALUDAAAAAA==&#10;" adj="10740">
                  <v:fill on="f" focussize="0,0"/>
                  <v:stroke color="#000000" joinstyle="miter" endarrow="block"/>
                  <v:imagedata o:title=""/>
                  <o:lock v:ext="edit" aspectratio="f"/>
                </v:shape>
                <v:shape id="AutoShape 34" o:spid="_x0000_s1026" o:spt="32" type="#_x0000_t32" style="position:absolute;left:6360;top:4524;height:207;width:30;" filled="f" stroked="t" coordsize="21600,21600" o:gfxdata="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aQ5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35" o:spid="_x0000_s1026" o:spt="32" type="#_x0000_t32" style="position:absolute;left:6390;top:5200;height:236;width:1;" filled="f" stroked="t" coordsize="21600,21600" o:gfxdata="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W5g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36" o:spid="_x0000_s1026" o:spt="34" type="#_x0000_t34" style="position:absolute;left:4860;top:4290;height:1381;width:450;rotation:11796480f;" filled="f" stroked="t" coordsize="21600,21600" o:gfxdata="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KC8eb4A&#10;AADcAAAADwAAAAAAAAABACAAAAAiAAAAZHJzL2Rvd25yZXYueG1sUEsBAhQAFAAAAAgAh07iQDMv&#10;BZ47AAAAOQAAABAAAAAAAAAAAQAgAAAADQEAAGRycy9zaGFwZXhtbC54bWxQSwUGAAAAAAYABgBb&#10;AQAAtwMAAAAA&#10;" adj="10800">
                  <v:fill on="f" focussize="0,0"/>
                  <v:stroke color="#000000" joinstyle="miter" endarrow="block"/>
                  <v:imagedata o:title=""/>
                  <o:lock v:ext="edit" aspectratio="f"/>
                </v:shape>
                <v:shape id="AutoShape 37" o:spid="_x0000_s1026" o:spt="32" type="#_x0000_t32" style="position:absolute;left:3780;top:4524;height:624;width:1;" filled="f" stroked="t" coordsize="21600,21600" o:gfxdata="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SN3i&#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Text Box 38" o:spid="_x0000_s1026" o:spt="202" type="#_x0000_t202" style="position:absolute;left:180;top:6396;height:469;width:3600;" fillcolor="#FFFFFF" filled="t" stroked="t" coordsize="21600,21600" o:gfxdata="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yW7N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F62A661">
                        <w:pPr>
                          <w:jc w:val="center"/>
                          <w:rPr>
                            <w:rFonts w:ascii="Calibri" w:hAnsi="Calibri" w:eastAsia="宋体" w:cs="Times New Roman"/>
                            <w:sz w:val="18"/>
                            <w:szCs w:val="18"/>
                          </w:rPr>
                        </w:pPr>
                        <w:r>
                          <w:rPr>
                            <w:rFonts w:hint="eastAsia" w:ascii="Calibri" w:hAnsi="Calibri" w:eastAsia="宋体" w:cs="Times New Roman"/>
                            <w:sz w:val="18"/>
                            <w:szCs w:val="18"/>
                          </w:rPr>
                          <w:t>市危险化学品事故应急指挥部</w:t>
                        </w:r>
                      </w:p>
                    </w:txbxContent>
                  </v:textbox>
                </v:shape>
                <v:shape id="Text Box 39" o:spid="_x0000_s1026" o:spt="202" type="#_x0000_t202" style="position:absolute;left:5775;top:6396;height:469;width:2861;" fillcolor="#FFFFFF" filled="t" stroked="t" coordsize="21600,21600" o:gfxdata="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pH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0FD010AB">
                        <w:pPr>
                          <w:jc w:val="center"/>
                          <w:rPr>
                            <w:rFonts w:ascii="Calibri" w:hAnsi="Calibri" w:eastAsia="宋体" w:cs="Times New Roman"/>
                            <w:sz w:val="18"/>
                            <w:szCs w:val="18"/>
                          </w:rPr>
                        </w:pPr>
                        <w:r>
                          <w:rPr>
                            <w:rFonts w:hint="eastAsia" w:ascii="Calibri" w:hAnsi="Calibri" w:eastAsia="宋体" w:cs="Times New Roman"/>
                            <w:sz w:val="18"/>
                            <w:szCs w:val="18"/>
                          </w:rPr>
                          <w:t>县危险化学品事故应急指挥部</w:t>
                        </w:r>
                      </w:p>
                      <w:p w14:paraId="5864B90C">
                        <w:pPr>
                          <w:rPr>
                            <w:rFonts w:ascii="Calibri" w:hAnsi="Calibri" w:eastAsia="宋体" w:cs="Times New Roman"/>
                          </w:rPr>
                        </w:pPr>
                      </w:p>
                    </w:txbxContent>
                  </v:textbox>
                </v:shape>
                <v:shape id="AutoShape 40" o:spid="_x0000_s1026" o:spt="34" type="#_x0000_t34" style="position:absolute;left:2476;top:5092;height:1800;width:779;rotation:5898240f;" filled="f" stroked="t" coordsize="21600,21600" o:gfxdata="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IQKG5AAAA3AAA&#10;AA8AAAAAAAAAAQAgAAAAIgAAAGRycy9kb3ducmV2LnhtbFBLAQIUABQAAAAIAIdO4kAzLwWeOwAA&#10;ADkAAAAQAAAAAAAAAAEAIAAAAAgBAABkcnMvc2hhcGV4bWwueG1sUEsFBgAAAAAGAAYAWwEAALID&#10;AAAAAA==&#10;" adj="10786">
                  <v:fill on="f" focussize="0,0"/>
                  <v:stroke color="#000000" joinstyle="miter" endarrow="block"/>
                  <v:imagedata o:title=""/>
                  <o:lock v:ext="edit" aspectratio="f"/>
                </v:shape>
                <v:shape id="AutoShape 41" o:spid="_x0000_s1026" o:spt="34" type="#_x0000_t34" style="position:absolute;left:5104;top:4294;flip:y;height:3425;width:779;rotation:-5898240f;" filled="f" stroked="t" coordsize="21600,21600" o:gfxdata="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KTLG8AAAA&#10;3AAAAA8AAAAAAAAAAQAgAAAAIgAAAGRycy9kb3ducmV2LnhtbFBLAQIUABQAAAAIAIdO4kAzLwWe&#10;OwAAADkAAAAQAAAAAAAAAAEAIAAAAAsBAABkcnMvc2hhcGV4bWwueG1sUEsFBgAAAAAGAAYAWwEA&#10;ALUDAAAAAA==&#10;" adj="10816">
                  <v:fill on="f" focussize="0,0"/>
                  <v:stroke color="#000000" joinstyle="miter" endarrow="block"/>
                  <v:imagedata o:title=""/>
                  <o:lock v:ext="edit" aspectratio="f"/>
                </v:shape>
                <v:shape id="Text Box 42" o:spid="_x0000_s1026" o:spt="202" type="#_x0000_t202" style="position:absolute;left:180;top:7176;height:469;width:3600;" fillcolor="#FFFFFF" filled="t" stroked="t" coordsize="21600,21600" o:gfxdata="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hRm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3D92669">
                        <w:pPr>
                          <w:jc w:val="center"/>
                          <w:rPr>
                            <w:rFonts w:ascii="Calibri" w:hAnsi="Calibri" w:eastAsia="宋体" w:cs="Times New Roman"/>
                            <w:sz w:val="18"/>
                            <w:szCs w:val="18"/>
                          </w:rPr>
                        </w:pPr>
                        <w:r>
                          <w:rPr>
                            <w:rFonts w:hint="eastAsia" w:ascii="Calibri" w:hAnsi="Calibri" w:eastAsia="宋体" w:cs="Times New Roman"/>
                            <w:sz w:val="18"/>
                            <w:szCs w:val="18"/>
                          </w:rPr>
                          <w:t>Ⅰ级、Ⅱ级、Ⅲ级事故</w:t>
                        </w:r>
                      </w:p>
                    </w:txbxContent>
                  </v:textbox>
                </v:shape>
                <v:shape id="Text Box 43" o:spid="_x0000_s1026" o:spt="202" type="#_x0000_t202" style="position:absolute;left:5760;top:7176;height:468;width:2160;" fillcolor="#FFFFFF" filled="t" stroked="t" coordsize="21600,21600" o:gfxdata="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j+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0AC6F53">
                        <w:pPr>
                          <w:ind w:firstLine="540" w:firstLineChars="300"/>
                          <w:rPr>
                            <w:rFonts w:ascii="Calibri" w:hAnsi="Calibri" w:eastAsia="宋体" w:cs="Times New Roman"/>
                          </w:rPr>
                        </w:pPr>
                        <w:r>
                          <w:rPr>
                            <w:rFonts w:hint="eastAsia" w:ascii="Calibri" w:hAnsi="Calibri" w:eastAsia="宋体" w:cs="Times New Roman"/>
                            <w:sz w:val="18"/>
                            <w:szCs w:val="18"/>
                          </w:rPr>
                          <w:t>Ⅳ级事故</w:t>
                        </w:r>
                      </w:p>
                    </w:txbxContent>
                  </v:textbox>
                </v:shape>
                <v:shape id="Text Box 44" o:spid="_x0000_s1026" o:spt="202" type="#_x0000_t202" style="position:absolute;left:5805;top:8376;height:469;width:2160;" fillcolor="#FFFFFF" filled="t" stroked="t" coordsize="21600,21600" o:gfxdata="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Ee4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EA642E4">
                        <w:pPr>
                          <w:jc w:val="center"/>
                          <w:rPr>
                            <w:rFonts w:ascii="Calibri" w:hAnsi="Calibri" w:eastAsia="宋体" w:cs="Times New Roman"/>
                            <w:sz w:val="18"/>
                            <w:szCs w:val="18"/>
                          </w:rPr>
                        </w:pPr>
                        <w:r>
                          <w:rPr>
                            <w:rFonts w:hint="eastAsia" w:ascii="Calibri" w:hAnsi="Calibri" w:eastAsia="宋体" w:cs="Times New Roman"/>
                            <w:sz w:val="18"/>
                            <w:szCs w:val="18"/>
                          </w:rPr>
                          <w:t>启动事故应急预案</w:t>
                        </w:r>
                      </w:p>
                    </w:txbxContent>
                  </v:textbox>
                </v:shape>
                <v:shape id="Text Box 45" o:spid="_x0000_s1026" o:spt="202" type="#_x0000_t202" style="position:absolute;left:5835;top:9306;height:469;width:2160;" fillcolor="#FFFFFF" filled="t" stroked="t" coordsize="21600,21600" o:gfxdata="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0jeF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A6D6D1A">
                        <w:pPr>
                          <w:ind w:firstLine="450" w:firstLineChars="250"/>
                          <w:rPr>
                            <w:rFonts w:ascii="Calibri" w:hAnsi="Calibri" w:eastAsia="宋体" w:cs="Times New Roman"/>
                            <w:sz w:val="18"/>
                            <w:szCs w:val="18"/>
                          </w:rPr>
                        </w:pPr>
                        <w:r>
                          <w:rPr>
                            <w:rFonts w:hint="eastAsia" w:ascii="Calibri" w:hAnsi="Calibri" w:eastAsia="宋体" w:cs="Times New Roman"/>
                            <w:sz w:val="18"/>
                            <w:szCs w:val="18"/>
                          </w:rPr>
                          <w:t>应急救援</w:t>
                        </w:r>
                      </w:p>
                    </w:txbxContent>
                  </v:textbox>
                </v:shape>
                <v:shape id="AutoShape 46" o:spid="_x0000_s1026" o:spt="32" type="#_x0000_t32" style="position:absolute;left:1811;top:7006;height:1;width:311;rotation:5898240f;" filled="f" stroked="t" coordsize="21600,21600" o:gfxdata="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7LdM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Text Box 47" o:spid="_x0000_s1026" o:spt="202" type="#_x0000_t202" style="position:absolute;left:900;top:8337;height:469;width:2709;" fillcolor="#FFFFFF" filled="t" stroked="t" coordsize="21600,21600" o:gfxdata="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bl+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55F455F">
                        <w:pPr>
                          <w:jc w:val="center"/>
                          <w:rPr>
                            <w:rFonts w:ascii="Calibri" w:hAnsi="Calibri" w:eastAsia="宋体" w:cs="Times New Roman"/>
                            <w:sz w:val="18"/>
                            <w:szCs w:val="18"/>
                          </w:rPr>
                        </w:pPr>
                        <w:r>
                          <w:rPr>
                            <w:rFonts w:hint="eastAsia" w:ascii="Calibri" w:hAnsi="Calibri" w:eastAsia="宋体" w:cs="Times New Roman"/>
                            <w:sz w:val="18"/>
                            <w:szCs w:val="18"/>
                          </w:rPr>
                          <w:t>启动事故应急预案</w:t>
                        </w:r>
                      </w:p>
                    </w:txbxContent>
                  </v:textbox>
                </v:shape>
                <v:shape id="Text Box 48" o:spid="_x0000_s1026" o:spt="202" type="#_x0000_t202" style="position:absolute;left:900;top:9291;height:469;width:2700;" fillcolor="#FFFFFF" filled="t" stroked="t" coordsize="21600,21600" o:gfxdata="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lxi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43B79F5">
                        <w:pPr>
                          <w:jc w:val="center"/>
                          <w:rPr>
                            <w:rFonts w:ascii="Calibri" w:hAnsi="Calibri" w:eastAsia="宋体" w:cs="Times New Roman"/>
                            <w:sz w:val="18"/>
                            <w:szCs w:val="18"/>
                          </w:rPr>
                        </w:pPr>
                        <w:r>
                          <w:rPr>
                            <w:rFonts w:hint="eastAsia" w:ascii="Calibri" w:hAnsi="Calibri" w:eastAsia="宋体" w:cs="Times New Roman"/>
                            <w:sz w:val="18"/>
                            <w:szCs w:val="18"/>
                          </w:rPr>
                          <w:t>现场指挥部</w:t>
                        </w:r>
                      </w:p>
                    </w:txbxContent>
                  </v:textbox>
                </v:shape>
                <v:shape id="Text Box 49" o:spid="_x0000_s1026" o:spt="202" type="#_x0000_t202" style="position:absolute;left:2700;top:10452;height:469;width:1089;" fillcolor="#FFFFFF" filled="t" stroked="t" coordsize="21600,21600" o:gfxdata="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XUE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8D26400">
                        <w:pPr>
                          <w:jc w:val="center"/>
                          <w:rPr>
                            <w:rFonts w:ascii="Calibri" w:hAnsi="Calibri" w:eastAsia="宋体" w:cs="Times New Roman"/>
                            <w:sz w:val="18"/>
                            <w:szCs w:val="18"/>
                          </w:rPr>
                        </w:pPr>
                        <w:r>
                          <w:rPr>
                            <w:rFonts w:hint="eastAsia" w:ascii="Calibri" w:hAnsi="Calibri" w:eastAsia="宋体" w:cs="Times New Roman"/>
                            <w:sz w:val="18"/>
                            <w:szCs w:val="18"/>
                          </w:rPr>
                          <w:t>信息管理</w:t>
                        </w:r>
                      </w:p>
                    </w:txbxContent>
                  </v:textbox>
                </v:shape>
                <v:shape id="Text Box 50" o:spid="_x0000_s1026" o:spt="202" type="#_x0000_t202" style="position:absolute;left:420;top:11313;height:469;width:1380;" fillcolor="#FFFFFF" filled="t" stroked="t" coordsize="21600,21600" o:gfxdata="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ubr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A7380E">
                        <w:pPr>
                          <w:jc w:val="center"/>
                          <w:rPr>
                            <w:rFonts w:ascii="Calibri" w:hAnsi="Calibri" w:eastAsia="宋体" w:cs="Times New Roman"/>
                            <w:sz w:val="18"/>
                            <w:szCs w:val="18"/>
                          </w:rPr>
                        </w:pPr>
                        <w:r>
                          <w:rPr>
                            <w:rFonts w:hint="eastAsia" w:ascii="Calibri" w:hAnsi="Calibri" w:eastAsia="宋体" w:cs="Times New Roman"/>
                            <w:sz w:val="18"/>
                            <w:szCs w:val="18"/>
                          </w:rPr>
                          <w:t>响应升级</w:t>
                        </w:r>
                      </w:p>
                    </w:txbxContent>
                  </v:textbox>
                </v:shape>
                <v:shape id="Text Box 51" o:spid="_x0000_s1026" o:spt="202" type="#_x0000_t202" style="position:absolute;left:6660;top:10452;height:469;width:1620;" fillcolor="#FFFFFF" filled="t" stroked="t" coordsize="21600,21600" o:gfxdata="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qk7J&#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5E77F7A7">
                        <w:pPr>
                          <w:jc w:val="center"/>
                          <w:rPr>
                            <w:rFonts w:ascii="Calibri" w:hAnsi="Calibri" w:eastAsia="宋体" w:cs="Times New Roman"/>
                            <w:sz w:val="18"/>
                            <w:szCs w:val="18"/>
                          </w:rPr>
                        </w:pPr>
                        <w:r>
                          <w:rPr>
                            <w:rFonts w:hint="eastAsia" w:ascii="Calibri" w:hAnsi="Calibri" w:eastAsia="宋体" w:cs="Times New Roman"/>
                            <w:sz w:val="18"/>
                            <w:szCs w:val="18"/>
                          </w:rPr>
                          <w:t>应急监测</w:t>
                        </w:r>
                      </w:p>
                    </w:txbxContent>
                  </v:textbox>
                </v:shape>
                <v:shape id="Text Box 52" o:spid="_x0000_s1026" o:spt="202" type="#_x0000_t202" style="position:absolute;left:4320;top:10452;height:469;width:1629;" fillcolor="#FFFFFF" filled="t" stroked="t" coordsize="21600,21600" o:gfxdata="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jQv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6988F13">
                        <w:pPr>
                          <w:jc w:val="center"/>
                          <w:rPr>
                            <w:rFonts w:ascii="Calibri" w:hAnsi="Calibri" w:eastAsia="宋体" w:cs="Times New Roman"/>
                            <w:sz w:val="18"/>
                            <w:szCs w:val="18"/>
                          </w:rPr>
                        </w:pPr>
                        <w:r>
                          <w:rPr>
                            <w:rFonts w:hint="eastAsia" w:ascii="Calibri" w:hAnsi="Calibri" w:eastAsia="宋体" w:cs="Times New Roman"/>
                            <w:sz w:val="18"/>
                            <w:szCs w:val="18"/>
                          </w:rPr>
                          <w:t>应急保障</w:t>
                        </w:r>
                      </w:p>
                    </w:txbxContent>
                  </v:textbox>
                </v:shape>
                <v:shape id="Text Box 53" o:spid="_x0000_s1026" o:spt="202" type="#_x0000_t202" style="position:absolute;left:360;top:10431;height:469;width:1440;" fillcolor="#FFFFFF" filled="t" stroked="t" coordsize="21600,21600" o:gfxdata="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jR1J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57A168A">
                        <w:pPr>
                          <w:jc w:val="center"/>
                          <w:rPr>
                            <w:rFonts w:ascii="Calibri" w:hAnsi="Calibri" w:eastAsia="宋体" w:cs="Times New Roman"/>
                            <w:sz w:val="18"/>
                            <w:szCs w:val="18"/>
                          </w:rPr>
                        </w:pPr>
                        <w:r>
                          <w:rPr>
                            <w:rFonts w:hint="eastAsia" w:ascii="Calibri" w:hAnsi="Calibri" w:eastAsia="宋体" w:cs="Times New Roman"/>
                            <w:sz w:val="18"/>
                            <w:szCs w:val="18"/>
                          </w:rPr>
                          <w:t>现场处置</w:t>
                        </w:r>
                      </w:p>
                    </w:txbxContent>
                  </v:textbox>
                </v:shape>
                <v:shape id="Text Box 54" o:spid="_x0000_s1026" o:spt="202" type="#_x0000_t202" style="position:absolute;left:1686;top:11964;height:469;width:1089;" fillcolor="#FFFFFF" filled="t" stroked="t" coordsize="21600,21600" o:gfxdata="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d7V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0E1AD6D2">
                        <w:pPr>
                          <w:jc w:val="center"/>
                          <w:rPr>
                            <w:rFonts w:ascii="Calibri" w:hAnsi="Calibri" w:eastAsia="宋体" w:cs="Times New Roman"/>
                            <w:sz w:val="18"/>
                            <w:szCs w:val="18"/>
                          </w:rPr>
                        </w:pPr>
                        <w:r>
                          <w:rPr>
                            <w:rFonts w:hint="eastAsia" w:ascii="Calibri" w:hAnsi="Calibri" w:eastAsia="宋体" w:cs="Times New Roman"/>
                            <w:sz w:val="18"/>
                            <w:szCs w:val="18"/>
                          </w:rPr>
                          <w:t>市政府</w:t>
                        </w:r>
                      </w:p>
                    </w:txbxContent>
                  </v:textbox>
                </v:shape>
                <v:shape id="Text Box 55" o:spid="_x0000_s1026" o:spt="202" type="#_x0000_t202" style="position:absolute;left:3201;top:11964;height:469;width:1449;" fillcolor="#FFFFFF" filled="t" stroked="t" coordsize="21600,21600" o:gfxdata="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kUjK&#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4C57E06A">
                        <w:pPr>
                          <w:jc w:val="center"/>
                          <w:rPr>
                            <w:rFonts w:ascii="Calibri" w:hAnsi="Calibri" w:eastAsia="宋体" w:cs="Times New Roman"/>
                            <w:sz w:val="18"/>
                            <w:szCs w:val="18"/>
                          </w:rPr>
                        </w:pPr>
                        <w:r>
                          <w:rPr>
                            <w:rFonts w:hint="eastAsia" w:ascii="Calibri" w:hAnsi="Calibri" w:eastAsia="宋体" w:cs="Times New Roman"/>
                            <w:sz w:val="18"/>
                            <w:szCs w:val="18"/>
                          </w:rPr>
                          <w:t>安徽省应急厅局</w:t>
                        </w:r>
                      </w:p>
                    </w:txbxContent>
                  </v:textbox>
                </v:shape>
                <v:shape id="Text Box 56" o:spid="_x0000_s1026" o:spt="202" type="#_x0000_t202" style="position:absolute;left:5091;top:11949;height:469;width:1449;" fillcolor="#FFFFFF" filled="t" stroked="t" coordsize="21600,21600" o:gfxdata="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PWv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9A40D26">
                        <w:pPr>
                          <w:jc w:val="center"/>
                          <w:rPr>
                            <w:rFonts w:ascii="Calibri" w:hAnsi="Calibri" w:eastAsia="宋体" w:cs="Times New Roman"/>
                            <w:sz w:val="18"/>
                            <w:szCs w:val="18"/>
                          </w:rPr>
                        </w:pPr>
                        <w:r>
                          <w:rPr>
                            <w:rFonts w:hint="eastAsia" w:ascii="Calibri" w:hAnsi="Calibri" w:eastAsia="宋体" w:cs="Times New Roman"/>
                            <w:sz w:val="18"/>
                            <w:szCs w:val="18"/>
                          </w:rPr>
                          <w:t>国家应急部</w:t>
                        </w:r>
                      </w:p>
                      <w:p w14:paraId="4103BF4C">
                        <w:pPr>
                          <w:rPr>
                            <w:rFonts w:ascii="Calibri" w:hAnsi="Calibri" w:eastAsia="宋体" w:cs="Times New Roman"/>
                            <w:sz w:val="18"/>
                            <w:szCs w:val="18"/>
                          </w:rPr>
                        </w:pPr>
                      </w:p>
                    </w:txbxContent>
                  </v:textbox>
                </v:shape>
                <v:shape id="AutoShape 57" o:spid="_x0000_s1026" o:spt="32" type="#_x0000_t32" style="position:absolute;left:2250;top:8806;flip:x;height:485;width:5;" filled="f" stroked="t" coordsize="21600,21600" o:gfxdata="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011&#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58" o:spid="_x0000_s1026" o:spt="34" type="#_x0000_t34" style="position:absolute;left:1315;top:9496;height:1170;width:671;rotation:5898240f;" filled="f" stroked="t" coordsize="21600,21600" o:gfxdata="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bkz0twAAANwAAAAP&#10;AAAAAAAAAAEAIAAAACIAAABkcnMvZG93bnJldi54bWxQSwECFAAUAAAACACHTuJAMy8FnjsAAAA5&#10;AAAAEAAAAAAAAAABACAAAAAGAQAAZHJzL3NoYXBleG1sLnhtbFBLBQYAAAAABgAGAFsBAACwAwAA&#10;AAA=&#10;" adj="10784">
                  <v:fill on="f" focussize="0,0"/>
                  <v:stroke color="#000000" joinstyle="miter" endarrow="block"/>
                  <v:imagedata o:title=""/>
                  <o:lock v:ext="edit" aspectratio="f"/>
                </v:shape>
                <v:shape id="AutoShape 59" o:spid="_x0000_s1026" o:spt="34" type="#_x0000_t34" style="position:absolute;left:2387;top:9594;flip:x;height:995;width:692;rotation:5898240f;" filled="f" stroked="t" coordsize="21600,21600" o:gfxdata="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iyG6/&#10;AAAA3AAAAA8AAAAAAAAAAQAgAAAAIgAAAGRycy9kb3ducmV2LnhtbFBLAQIUABQAAAAIAIdO4kAz&#10;LwWeOwAAADkAAAAQAAAAAAAAAAEAIAAAAA4BAABkcnMvc2hhcGV4bWwueG1sUEsFBgAAAAAGAAYA&#10;WwEAALgDAAAAAA==&#10;" adj="10769">
                  <v:fill on="f" focussize="0,0"/>
                  <v:stroke color="#000000" joinstyle="miter" endarrow="block"/>
                  <v:imagedata o:title=""/>
                  <o:lock v:ext="edit" aspectratio="f"/>
                </v:shape>
                <v:shape id="AutoShape 60" o:spid="_x0000_s1026" o:spt="34" type="#_x0000_t34" style="position:absolute;left:3332;top:8649;flip:x;height:2885;width:692;rotation:5898240f;" filled="f" stroked="t" coordsize="21600,21600" o:gfxdata="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0R1LsAAADc&#10;AAAADwAAAAAAAAABACAAAAAiAAAAZHJzL2Rvd25yZXYueG1sUEsBAhQAFAAAAAgAh07iQDMvBZ47&#10;AAAAOQAAABAAAAAAAAAAAQAgAAAACgEAAGRycy9zaGFwZXhtbC54bWxQSwUGAAAAAAYABgBbAQAA&#10;tAMAAAAA&#10;" adj="10769">
                  <v:fill on="f" focussize="0,0"/>
                  <v:stroke color="#000000" joinstyle="miter" endarrow="block"/>
                  <v:imagedata o:title=""/>
                  <o:lock v:ext="edit" aspectratio="f"/>
                </v:shape>
                <v:shape id="AutoShape 61" o:spid="_x0000_s1026" o:spt="34" type="#_x0000_t34" style="position:absolute;left:4514;top:7496;flip:x;height:5220;width:692;rotation:5898240f;" filled="f" stroked="t" coordsize="21600,21600" o:gfxdata="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G0T74A&#10;AADcAAAADwAAAAAAAAABACAAAAAiAAAAZHJzL2Rvd25yZXYueG1sUEsBAhQAFAAAAAgAh07iQDMv&#10;BZ47AAAAOQAAABAAAAAAAAAAAQAgAAAADQEAAGRycy9zaGFwZXhtbC54bWxQSwUGAAAAAAYABgBb&#10;AQAAtwMAAAAA&#10;" adj="10769">
                  <v:fill on="f" focussize="0,0"/>
                  <v:stroke color="#000000" joinstyle="miter" endarrow="block"/>
                  <v:imagedata o:title=""/>
                  <o:lock v:ext="edit" aspectratio="f"/>
                </v:shape>
                <v:shape id="AutoShape 62" o:spid="_x0000_s1026" o:spt="32" type="#_x0000_t32" style="position:absolute;left:3240;top:10920;flip:x;height:624;width:5;" filled="f" stroked="t" coordsize="21600,21600" o:gfxdata="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PF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3" o:spid="_x0000_s1026" o:spt="32" type="#_x0000_t32" style="position:absolute;left:2261;top:11547;flip:x;height:387;width:4;" filled="f" stroked="t" coordsize="21600,21600" o:gfxdata="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RO1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64" o:spid="_x0000_s1026" o:spt="32" type="#_x0000_t32" style="position:absolute;left:3941;top:11547;flip:x;height:387;width:4;" filled="f" stroked="t" coordsize="21600,21600" o:gfxdata="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4oy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65" o:spid="_x0000_s1026" o:spt="32" type="#_x0000_t32" style="position:absolute;left:5771;top:11532;flip:x;height:387;width:4;" filled="f" stroked="t" coordsize="21600,21600" o:gfxdata="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0Br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line id="Line 66" o:spid="_x0000_s1026" o:spt="20" style="position:absolute;left:3780;top:6552;height:0;width:1980;" filled="f" stroked="t" coordsize="21600,21600" o:gfxdata="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pWO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67" o:spid="_x0000_s1026" o:spt="20" style="position:absolute;left:3780;top:6708;flip:x;height:0;width:1980;" filled="f" stroked="t" coordsize="21600,21600" o:gfxdata="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MKk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68" o:spid="_x0000_s1026" o:spt="20" style="position:absolute;left:225;top:11544;flip:x;height:1;width:180;" filled="f" stroked="t" coordsize="21600,21600" o:gfxdata="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dV3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69" o:spid="_x0000_s1026" o:spt="20" style="position:absolute;left:195;top:9516;height:2043;width:1;" filled="f" stroked="t" coordsize="21600,21600" o:gfxdata="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Y1/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70" o:spid="_x0000_s1026" o:spt="20" style="position:absolute;left:180;top:9516;height:0;width:720;" filled="f" stroked="t" coordsize="21600,21600" o:gfxdata="UEsDBAoAAAAAAIdO4kAAAAAAAAAAAAAAAAAEAAAAZHJzL1BLAwQUAAAACACHTuJAdzr39cAAAADc&#10;AAAADwAAAGRycy9kb3ducmV2LnhtbEWPT2vCQBTE7wW/w/KE3uomUkqM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Ovf1&#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71" o:spid="_x0000_s1026" o:spt="20" style="position:absolute;left:1170;top:10935;height:312;width:1;" filled="f" stroked="t" coordsize="21600,21600" o:gfxdata="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2ci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72" o:spid="_x0000_s1026" o:spt="20" style="position:absolute;left:2160;top:7674;height:624;width:1;" filled="f" stroked="t" coordsize="21600,21600" o:gfxdata="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lW0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73" o:spid="_x0000_s1026" o:spt="20" style="position:absolute;left:6840;top:7644;height:780;width:1;" filled="f" stroked="t" coordsize="21600,21600" o:gfxdata="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N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74" o:spid="_x0000_s1026" o:spt="20" style="position:absolute;left:7695;top:11544;height:312;width:1;" filled="f" stroked="t" coordsize="21600,21600" o:gfxdata="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C1b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Rectangle 75" o:spid="_x0000_s1026" o:spt="1" style="position:absolute;left:7020;top:11916;height:468;width:1440;" fillcolor="#FFFFFF" filled="t" stroked="t" coordsize="21600,21600" o:gfxdata="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uSB+/&#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32A8284">
                        <w:pPr>
                          <w:ind w:firstLine="420" w:firstLineChars="200"/>
                          <w:rPr>
                            <w:rFonts w:ascii="Calibri" w:hAnsi="Calibri" w:eastAsia="宋体" w:cs="Times New Roman"/>
                          </w:rPr>
                        </w:pPr>
                        <w:r>
                          <w:rPr>
                            <w:rFonts w:hint="eastAsia" w:ascii="Calibri" w:hAnsi="Calibri" w:eastAsia="宋体" w:cs="Times New Roman"/>
                            <w:sz w:val="21"/>
                            <w:szCs w:val="21"/>
                          </w:rPr>
                          <w:t>媒体</w:t>
                        </w:r>
                      </w:p>
                    </w:txbxContent>
                  </v:textbox>
                </v:rect>
                <v:line id="Line 76" o:spid="_x0000_s1026" o:spt="20" style="position:absolute;left:2280;top:11544;height:1;width:5400;" filled="f" stroked="t" coordsize="21600,21600" o:gfxdata="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4Mv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77" o:spid="_x0000_s1026" o:spt="20" style="position:absolute;left:6660;top:468;height:1872;width:1;" filled="f" stroked="t" coordsize="21600,21600" o:gfxdata="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8ks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78" o:spid="_x0000_s1026" o:spt="20" style="position:absolute;left:3600;top:2319;flip:x;height:1;width:3060;" filled="f" stroked="t" coordsize="21600,21600" o:gfxdata="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jlx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79" o:spid="_x0000_s1026" o:spt="20" style="position:absolute;left:6840;top:8847;height:468;width:1;" filled="f" stroked="t" coordsize="21600,21600" o:gfxdata="UEsDBAoAAAAAAIdO4kAAAAAAAAAAAAAAAAAEAAAAZHJzL1BLAwQUAAAACACHTuJAna/Es70AAADc&#10;AAAADwAAAGRycy9kb3ducmV2LnhtbEVPz2vCMBS+D/wfwhN2m2ll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8S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80" o:spid="_x0000_s1026" o:spt="20" style="position:absolute;left:6840;top:6864;height:312;width:1;" filled="f" stroked="t" coordsize="21600,21600" o:gfxdata="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jYS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none"/>
                <w10:anchorlock/>
              </v:group>
            </w:pict>
          </mc:Fallback>
        </mc:AlternateContent>
      </w:r>
    </w:p>
    <w:p w14:paraId="19A9C91E">
      <w:pPr>
        <w:jc w:val="center"/>
        <w:rPr>
          <w:rFonts w:hint="eastAsia" w:ascii="Times New Roman" w:hAnsi="Times New Roman" w:eastAsia="方正小标宋简体" w:cs="方正小标宋简体"/>
          <w:kern w:val="44"/>
          <w:sz w:val="44"/>
          <w:szCs w:val="44"/>
        </w:rPr>
        <w:sectPr>
          <w:type w:val="continuous"/>
          <w:pgSz w:w="11906" w:h="16838"/>
          <w:pgMar w:top="2098" w:right="1474" w:bottom="1984" w:left="1587" w:header="851" w:footer="992" w:gutter="0"/>
          <w:pgNumType w:fmt="decimal"/>
          <w:cols w:space="425" w:num="1"/>
          <w:docGrid w:type="lines" w:linePitch="312" w:charSpace="0"/>
        </w:sectPr>
      </w:pPr>
    </w:p>
    <w:p w14:paraId="4E58A82D">
      <w:pPr>
        <w:spacing w:line="580" w:lineRule="exact"/>
        <w:rPr>
          <w:rFonts w:hint="eastAsia" w:ascii="黑体" w:hAnsi="黑体" w:eastAsia="黑体" w:cs="黑体"/>
          <w:color w:val="000000"/>
          <w:sz w:val="32"/>
          <w:szCs w:val="48"/>
        </w:rPr>
      </w:pPr>
      <w:r>
        <w:rPr>
          <w:rFonts w:hint="eastAsia" w:ascii="黑体" w:hAnsi="黑体" w:eastAsia="黑体" w:cs="黑体"/>
          <w:color w:val="000000"/>
          <w:sz w:val="32"/>
          <w:szCs w:val="48"/>
        </w:rPr>
        <w:t>附件4</w:t>
      </w:r>
    </w:p>
    <w:p w14:paraId="53D4D45F">
      <w:pPr>
        <w:spacing w:line="580" w:lineRule="exact"/>
        <w:jc w:val="center"/>
        <w:rPr>
          <w:rFonts w:hint="eastAsia" w:ascii="Times New Roman" w:hAnsi="Times New Roman" w:eastAsia="方正小标宋简体" w:cs="方正小标宋简体"/>
          <w:color w:val="000000"/>
          <w:spacing w:val="-8"/>
          <w:sz w:val="44"/>
          <w:szCs w:val="44"/>
          <w:highlight w:val="none"/>
          <w:lang w:val="en-US" w:eastAsia="zh-CN"/>
        </w:rPr>
      </w:pPr>
      <w:r>
        <w:rPr>
          <w:rFonts w:hint="eastAsia" w:ascii="Times New Roman" w:hAnsi="Times New Roman" w:eastAsia="方正小标宋简体" w:cs="方正小标宋简体"/>
          <w:color w:val="000000"/>
          <w:spacing w:val="-8"/>
          <w:sz w:val="44"/>
          <w:szCs w:val="44"/>
          <w:highlight w:val="none"/>
          <w:lang w:val="en-US" w:eastAsia="zh-CN"/>
        </w:rPr>
        <w:t>构成重大危险源的涉危企业</w:t>
      </w:r>
    </w:p>
    <w:p w14:paraId="70B0A9DA">
      <w:pPr>
        <w:rPr>
          <w:rFonts w:ascii="Times New Roman" w:hAnsi="Times New Roman" w:eastAsia="宋体" w:cs="Times New Roman"/>
          <w:color w:val="000000"/>
        </w:rPr>
      </w:pPr>
    </w:p>
    <w:tbl>
      <w:tblPr>
        <w:tblStyle w:val="2"/>
        <w:tblW w:w="14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600"/>
        <w:gridCol w:w="4545"/>
        <w:gridCol w:w="2435"/>
        <w:gridCol w:w="2163"/>
      </w:tblGrid>
      <w:tr w14:paraId="253B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jc w:val="center"/>
        </w:trPr>
        <w:tc>
          <w:tcPr>
            <w:tcW w:w="3355" w:type="dxa"/>
            <w:vAlign w:val="center"/>
          </w:tcPr>
          <w:p w14:paraId="58DD4008">
            <w:pPr>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单位名称</w:t>
            </w:r>
          </w:p>
        </w:tc>
        <w:tc>
          <w:tcPr>
            <w:tcW w:w="1600" w:type="dxa"/>
            <w:vAlign w:val="center"/>
          </w:tcPr>
          <w:p w14:paraId="7E1AB882">
            <w:pPr>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单位位置</w:t>
            </w:r>
          </w:p>
        </w:tc>
        <w:tc>
          <w:tcPr>
            <w:tcW w:w="4545" w:type="dxa"/>
            <w:vAlign w:val="center"/>
          </w:tcPr>
          <w:p w14:paraId="57678FC3">
            <w:pPr>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危化品种类</w:t>
            </w:r>
          </w:p>
        </w:tc>
        <w:tc>
          <w:tcPr>
            <w:tcW w:w="2435" w:type="dxa"/>
            <w:vAlign w:val="center"/>
          </w:tcPr>
          <w:p w14:paraId="0BF3E779">
            <w:pPr>
              <w:jc w:val="center"/>
              <w:rPr>
                <w:rFonts w:ascii="Times New Roman" w:hAnsi="Times New Roman" w:eastAsia="黑体" w:cs="Times New Roman"/>
                <w:color w:val="000000"/>
                <w:szCs w:val="21"/>
              </w:rPr>
            </w:pPr>
            <w:r>
              <w:rPr>
                <w:rFonts w:hint="eastAsia" w:ascii="Times New Roman" w:hAnsi="Times New Roman" w:eastAsia="黑体" w:cs="Times New Roman"/>
                <w:color w:val="000000"/>
                <w:szCs w:val="21"/>
              </w:rPr>
              <w:t>等级（个数）</w:t>
            </w:r>
          </w:p>
        </w:tc>
        <w:tc>
          <w:tcPr>
            <w:tcW w:w="2163" w:type="dxa"/>
            <w:vAlign w:val="center"/>
          </w:tcPr>
          <w:p w14:paraId="77828821">
            <w:pPr>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联系人及电话</w:t>
            </w:r>
          </w:p>
        </w:tc>
      </w:tr>
      <w:tr w14:paraId="209D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355" w:type="dxa"/>
            <w:vAlign w:val="center"/>
          </w:tcPr>
          <w:p w14:paraId="66036D6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1.</w:t>
            </w:r>
            <w:r>
              <w:rPr>
                <w:rFonts w:ascii="Times New Roman" w:hAnsi="Times New Roman" w:eastAsia="仿宋_GB2312" w:cs="Times New Roman"/>
                <w:color w:val="000000"/>
                <w:sz w:val="21"/>
                <w:szCs w:val="21"/>
              </w:rPr>
              <w:t>濉溪县鸿源煤化有限公司</w:t>
            </w:r>
          </w:p>
        </w:tc>
        <w:tc>
          <w:tcPr>
            <w:tcW w:w="1600" w:type="dxa"/>
            <w:vAlign w:val="center"/>
          </w:tcPr>
          <w:p w14:paraId="09BC40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濉溪化工园区</w:t>
            </w:r>
          </w:p>
        </w:tc>
        <w:tc>
          <w:tcPr>
            <w:tcW w:w="4545" w:type="dxa"/>
            <w:vAlign w:val="center"/>
          </w:tcPr>
          <w:p w14:paraId="73C43DC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氨溶液[含氨＞10%]、硫磺、煤焦油、粗苯、焦炉煤气、洗油、氢氧化钠溶液[含量≥30%]</w:t>
            </w:r>
          </w:p>
        </w:tc>
        <w:tc>
          <w:tcPr>
            <w:tcW w:w="2435" w:type="dxa"/>
            <w:vAlign w:val="center"/>
          </w:tcPr>
          <w:p w14:paraId="446091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三级</w:t>
            </w:r>
            <w:r>
              <w:rPr>
                <w:rFonts w:hint="eastAsia" w:ascii="Times New Roman" w:hAnsi="Times New Roman" w:eastAsia="仿宋_GB2312" w:cs="Times New Roman"/>
                <w:color w:val="000000"/>
                <w:sz w:val="21"/>
                <w:szCs w:val="21"/>
              </w:rPr>
              <w:t>（1）、四级（1）</w:t>
            </w:r>
          </w:p>
        </w:tc>
        <w:tc>
          <w:tcPr>
            <w:tcW w:w="2163" w:type="dxa"/>
            <w:vAlign w:val="center"/>
          </w:tcPr>
          <w:p w14:paraId="64F0B00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王</w:t>
            </w:r>
            <w:r>
              <w:rPr>
                <w:rFonts w:hint="eastAsia" w:ascii="Times New Roman" w:hAnsi="Times New Roman" w:eastAsia="仿宋_GB2312" w:cs="Times New Roman"/>
                <w:color w:val="000000"/>
                <w:sz w:val="21"/>
                <w:szCs w:val="21"/>
              </w:rPr>
              <w:t xml:space="preserve">  </w:t>
            </w:r>
            <w:r>
              <w:rPr>
                <w:rFonts w:ascii="Times New Roman" w:hAnsi="Times New Roman" w:eastAsia="仿宋_GB2312" w:cs="Times New Roman"/>
                <w:color w:val="000000"/>
                <w:sz w:val="21"/>
                <w:szCs w:val="21"/>
              </w:rPr>
              <w:t>超13155618836</w:t>
            </w:r>
          </w:p>
        </w:tc>
      </w:tr>
      <w:tr w14:paraId="116E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3355" w:type="dxa"/>
            <w:vAlign w:val="center"/>
          </w:tcPr>
          <w:p w14:paraId="6A03C7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2.</w:t>
            </w:r>
            <w:r>
              <w:rPr>
                <w:rFonts w:ascii="Times New Roman" w:hAnsi="Times New Roman" w:eastAsia="仿宋_GB2312" w:cs="Times New Roman"/>
                <w:color w:val="000000"/>
                <w:sz w:val="21"/>
                <w:szCs w:val="21"/>
              </w:rPr>
              <w:t>安徽巨成精细化工有限公司</w:t>
            </w:r>
          </w:p>
        </w:tc>
        <w:tc>
          <w:tcPr>
            <w:tcW w:w="1600" w:type="dxa"/>
            <w:vAlign w:val="center"/>
          </w:tcPr>
          <w:p w14:paraId="55BDCD7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濉溪化工园区</w:t>
            </w:r>
          </w:p>
        </w:tc>
        <w:tc>
          <w:tcPr>
            <w:tcW w:w="4545" w:type="dxa"/>
            <w:vAlign w:val="center"/>
          </w:tcPr>
          <w:p w14:paraId="5763FF4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丙烯酰胺、乙醇溶液[闪点＜23℃]、二甲基氨基乙醇、氮[压缩的]、丙烯酸[稳定的]、氢氧化钠溶液[含量≥30%]、一氯二氟甲烷、2-丙烯腈[稳定的]、正己烷、盐酸、过二硫酸钾、煤气、氯甲烷、丙烯酸乙酯[稳定的]</w:t>
            </w:r>
          </w:p>
        </w:tc>
        <w:tc>
          <w:tcPr>
            <w:tcW w:w="2435" w:type="dxa"/>
            <w:vAlign w:val="center"/>
          </w:tcPr>
          <w:p w14:paraId="20EFD12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二级（1）、</w:t>
            </w:r>
            <w:r>
              <w:rPr>
                <w:rFonts w:ascii="Times New Roman" w:hAnsi="Times New Roman" w:eastAsia="仿宋_GB2312" w:cs="Times New Roman"/>
                <w:color w:val="000000"/>
                <w:sz w:val="21"/>
                <w:szCs w:val="21"/>
              </w:rPr>
              <w:t>三级</w:t>
            </w:r>
            <w:r>
              <w:rPr>
                <w:rFonts w:hint="eastAsia" w:ascii="Times New Roman" w:hAnsi="Times New Roman" w:eastAsia="仿宋_GB2312" w:cs="Times New Roman"/>
                <w:color w:val="000000"/>
                <w:sz w:val="21"/>
                <w:szCs w:val="21"/>
              </w:rPr>
              <w:t>（1）</w:t>
            </w:r>
          </w:p>
        </w:tc>
        <w:tc>
          <w:tcPr>
            <w:tcW w:w="2163" w:type="dxa"/>
            <w:vAlign w:val="center"/>
          </w:tcPr>
          <w:p w14:paraId="515E6C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陈</w:t>
            </w:r>
            <w:r>
              <w:rPr>
                <w:rFonts w:hint="eastAsia" w:ascii="Times New Roman" w:hAnsi="Times New Roman" w:eastAsia="仿宋_GB2312" w:cs="Times New Roman"/>
                <w:color w:val="000000"/>
                <w:sz w:val="21"/>
                <w:szCs w:val="21"/>
              </w:rPr>
              <w:t xml:space="preserve">  </w:t>
            </w:r>
            <w:r>
              <w:rPr>
                <w:rFonts w:ascii="Times New Roman" w:hAnsi="Times New Roman" w:eastAsia="仿宋_GB2312" w:cs="Times New Roman"/>
                <w:color w:val="000000"/>
                <w:sz w:val="21"/>
                <w:szCs w:val="21"/>
              </w:rPr>
              <w:t>刚15856175828</w:t>
            </w:r>
          </w:p>
        </w:tc>
      </w:tr>
      <w:tr w14:paraId="3059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3355" w:type="dxa"/>
            <w:vAlign w:val="center"/>
          </w:tcPr>
          <w:p w14:paraId="5F2CEA1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3.</w:t>
            </w:r>
            <w:r>
              <w:rPr>
                <w:rFonts w:ascii="Times New Roman" w:hAnsi="Times New Roman" w:eastAsia="仿宋_GB2312" w:cs="Times New Roman"/>
                <w:color w:val="000000"/>
                <w:sz w:val="21"/>
                <w:szCs w:val="21"/>
              </w:rPr>
              <w:t>安徽</w:t>
            </w:r>
            <w:r>
              <w:rPr>
                <w:rFonts w:hint="eastAsia" w:ascii="Times New Roman" w:hAnsi="Times New Roman" w:eastAsia="仿宋_GB2312" w:cs="Times New Roman"/>
                <w:color w:val="000000"/>
                <w:sz w:val="21"/>
                <w:szCs w:val="21"/>
              </w:rPr>
              <w:t>省久江新能源科技有限公司</w:t>
            </w:r>
          </w:p>
        </w:tc>
        <w:tc>
          <w:tcPr>
            <w:tcW w:w="1600" w:type="dxa"/>
            <w:vAlign w:val="center"/>
          </w:tcPr>
          <w:p w14:paraId="56D5074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濉溪化工园区</w:t>
            </w:r>
          </w:p>
        </w:tc>
        <w:tc>
          <w:tcPr>
            <w:tcW w:w="4545" w:type="dxa"/>
            <w:vAlign w:val="center"/>
          </w:tcPr>
          <w:p w14:paraId="174F636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乙醇[无水]、稀硫酸80%、硫酸98%、氢氧化钠溶液[含量≥30%]、五氯化磷、氯、纯碱、氯乙烷、三氯化磷、亚磷酸60%、盐酸31%</w:t>
            </w:r>
          </w:p>
        </w:tc>
        <w:tc>
          <w:tcPr>
            <w:tcW w:w="2435" w:type="dxa"/>
            <w:vAlign w:val="center"/>
          </w:tcPr>
          <w:p w14:paraId="09AF097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一级（1）、三</w:t>
            </w:r>
            <w:r>
              <w:rPr>
                <w:rFonts w:ascii="Times New Roman" w:hAnsi="Times New Roman" w:eastAsia="仿宋_GB2312" w:cs="Times New Roman"/>
                <w:color w:val="000000"/>
                <w:sz w:val="21"/>
                <w:szCs w:val="21"/>
              </w:rPr>
              <w:t>级</w:t>
            </w:r>
            <w:r>
              <w:rPr>
                <w:rFonts w:hint="eastAsia" w:ascii="Times New Roman" w:hAnsi="Times New Roman" w:eastAsia="仿宋_GB2312" w:cs="Times New Roman"/>
                <w:color w:val="000000"/>
                <w:sz w:val="21"/>
                <w:szCs w:val="21"/>
              </w:rPr>
              <w:t>（1）</w:t>
            </w:r>
          </w:p>
        </w:tc>
        <w:tc>
          <w:tcPr>
            <w:tcW w:w="2163" w:type="dxa"/>
            <w:vAlign w:val="center"/>
          </w:tcPr>
          <w:p w14:paraId="1595D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赵中欢15852035901</w:t>
            </w:r>
          </w:p>
        </w:tc>
      </w:tr>
      <w:tr w14:paraId="6775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355" w:type="dxa"/>
            <w:vAlign w:val="center"/>
          </w:tcPr>
          <w:p w14:paraId="79A6CAC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4.中国石化销售股份有限公司安徽淮北石油分公司</w:t>
            </w:r>
          </w:p>
        </w:tc>
        <w:tc>
          <w:tcPr>
            <w:tcW w:w="1600" w:type="dxa"/>
            <w:vAlign w:val="center"/>
          </w:tcPr>
          <w:p w14:paraId="45DE893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濉溪县百善镇东2000米处</w:t>
            </w:r>
          </w:p>
        </w:tc>
        <w:tc>
          <w:tcPr>
            <w:tcW w:w="4545" w:type="dxa"/>
            <w:vAlign w:val="center"/>
          </w:tcPr>
          <w:p w14:paraId="3AFCC90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汽油、乙醇[无水]</w:t>
            </w:r>
          </w:p>
        </w:tc>
        <w:tc>
          <w:tcPr>
            <w:tcW w:w="2435" w:type="dxa"/>
            <w:vAlign w:val="center"/>
          </w:tcPr>
          <w:p w14:paraId="3ABC498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二级（1）、三级（1）</w:t>
            </w:r>
          </w:p>
        </w:tc>
        <w:tc>
          <w:tcPr>
            <w:tcW w:w="2163" w:type="dxa"/>
            <w:vAlign w:val="center"/>
          </w:tcPr>
          <w:p w14:paraId="454F960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仲建平13956473836</w:t>
            </w:r>
          </w:p>
        </w:tc>
      </w:tr>
    </w:tbl>
    <w:p w14:paraId="35A1F7B1">
      <w:pPr>
        <w:spacing w:line="580" w:lineRule="exact"/>
        <w:rPr>
          <w:rFonts w:ascii="Times New Roman" w:hAnsi="Times New Roman" w:eastAsia="仿宋_GB2312" w:cs="Times New Roman"/>
          <w:color w:val="000000"/>
          <w:sz w:val="28"/>
          <w:szCs w:val="28"/>
        </w:rPr>
      </w:pPr>
    </w:p>
    <w:p w14:paraId="1D8491AE">
      <w:pPr>
        <w:jc w:val="center"/>
        <w:rPr>
          <w:rFonts w:hint="eastAsia" w:ascii="Times New Roman" w:hAnsi="Times New Roman" w:eastAsia="方正小标宋简体" w:cs="方正小标宋简体"/>
          <w:kern w:val="44"/>
          <w:sz w:val="44"/>
          <w:szCs w:val="44"/>
        </w:rPr>
        <w:sectPr>
          <w:type w:val="continuous"/>
          <w:pgSz w:w="16838" w:h="11906" w:orient="landscape"/>
          <w:pgMar w:top="1587" w:right="2098" w:bottom="1474" w:left="1984" w:header="851" w:footer="992" w:gutter="0"/>
          <w:pgNumType w:fmt="decimal"/>
          <w:cols w:space="425" w:num="1"/>
          <w:docGrid w:type="lines" w:linePitch="312" w:charSpace="0"/>
        </w:sectPr>
      </w:pPr>
    </w:p>
    <w:p w14:paraId="4545691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7C4DB141">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0570DB13">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1377EDA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65EA6938">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7BC6C01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542C2FAF">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5F124AAE">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51339B1E">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1E64E653">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57CA27ED">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01590FEF">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67BAD11A">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7E5333B6">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72A8D1C6">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055D1D4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7E8F8DE8">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624E387F">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p>
    <w:p w14:paraId="3C8818B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color w:val="000000"/>
          <w:kern w:val="0"/>
          <w:sz w:val="28"/>
          <w:szCs w:val="28"/>
          <w:highlight w:val="none"/>
          <w:lang w:val="en-US" w:eastAsia="zh-CN" w:bidi="ar-SA"/>
        </w:rPr>
      </w:pPr>
      <w:r>
        <w:rPr>
          <w:rFonts w:hint="default" w:ascii="Times New Roman" w:hAnsi="Times New Roman" w:eastAsia="仿宋_GB2312" w:cs="Times New Roman"/>
          <w:color w:val="000000"/>
          <w:kern w:val="0"/>
          <w:sz w:val="28"/>
          <w:szCs w:val="28"/>
          <w:highlight w:val="none"/>
          <w:lang w:val="en-US" w:eastAsia="zh-CN" w:bidi="ar-SA"/>
        </w:rPr>
        <w:t>抄送</w:t>
      </w:r>
      <w:r>
        <w:rPr>
          <w:rFonts w:hint="eastAsia" w:ascii="Times New Roman" w:hAnsi="Times New Roman" w:eastAsia="仿宋_GB2312" w:cs="Times New Roman"/>
          <w:color w:val="000000"/>
          <w:kern w:val="0"/>
          <w:sz w:val="28"/>
          <w:szCs w:val="28"/>
          <w:highlight w:val="none"/>
          <w:lang w:val="en-US" w:eastAsia="zh-CN" w:bidi="ar-SA"/>
        </w:rPr>
        <w:t>：</w:t>
      </w:r>
      <w:r>
        <w:rPr>
          <w:rFonts w:hint="default" w:ascii="Times New Roman" w:hAnsi="Times New Roman" w:eastAsia="仿宋_GB2312" w:cs="Times New Roman"/>
          <w:color w:val="000000"/>
          <w:kern w:val="0"/>
          <w:sz w:val="28"/>
          <w:szCs w:val="28"/>
          <w:highlight w:val="none"/>
          <w:lang w:val="en-US" w:eastAsia="zh-CN" w:bidi="ar-SA"/>
        </w:rPr>
        <w:t>县委各部门，县人大常委会办公室，县政协办公室，县监察委，</w:t>
      </w:r>
    </w:p>
    <w:p w14:paraId="0B08935D">
      <w:pPr>
        <w:keepNext w:val="0"/>
        <w:keepLines w:val="0"/>
        <w:pageBreakBefore w:val="0"/>
        <w:widowControl w:val="0"/>
        <w:kinsoku/>
        <w:wordWrap/>
        <w:overflowPunct/>
        <w:topLinePunct w:val="0"/>
        <w:autoSpaceDE/>
        <w:autoSpaceDN/>
        <w:bidi w:val="0"/>
        <w:adjustRightInd/>
        <w:snapToGrid/>
        <w:ind w:firstLine="641" w:firstLineChars="229"/>
        <w:jc w:val="both"/>
        <w:textAlignment w:val="auto"/>
      </w:pPr>
      <w:r>
        <w:rPr>
          <w:rFonts w:hint="default" w:ascii="Times New Roman" w:hAnsi="Times New Roman" w:eastAsia="仿宋_GB2312" w:cs="Times New Roman"/>
          <w:color w:val="000000"/>
          <w:kern w:val="0"/>
          <w:sz w:val="28"/>
          <w:szCs w:val="28"/>
          <w:highlight w:val="none"/>
          <w:lang w:val="en-US" w:eastAsia="zh-CN" w:bidi="ar-SA"/>
        </w:rPr>
        <w:t>县法院、检察院，县人武部</w:t>
      </w:r>
    </w:p>
    <w:sectPr>
      <w:type w:val="continuous"/>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F9C2">
    <w:pPr>
      <w:widowControl w:val="0"/>
      <w:tabs>
        <w:tab w:val="center" w:pos="4153"/>
        <w:tab w:val="right" w:pos="8306"/>
      </w:tabs>
      <w:wordWrap w:val="0"/>
      <w:snapToGrid w:val="0"/>
      <w:ind w:right="360" w:firstLine="360"/>
      <w:jc w:val="lef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7" name="文本框 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82E0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136</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F14w7AgAAc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agXXjDsCAABzBAAADgAAAAAAAAABACAAAAAfAQAAZHJzL2Uyb0Rv&#10;Yy54bWxQSwUGAAAAAAYABgBZAQAAzAUAAAAA&#10;">
              <v:fill on="f" focussize="0,0"/>
              <v:stroke on="f" weight="0.5pt"/>
              <v:imagedata o:title=""/>
              <o:lock v:ext="edit" aspectratio="f"/>
              <v:textbox inset="0mm,0mm,0mm,0mm" style="mso-fit-shape-to-text:t;">
                <w:txbxContent>
                  <w:p w14:paraId="1FE82E0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136</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BC14E">
    <w:pPr>
      <w:widowControl w:val="0"/>
      <w:tabs>
        <w:tab w:val="center" w:pos="4153"/>
        <w:tab w:val="right" w:pos="8306"/>
      </w:tabs>
      <w:snapToGrid w:val="0"/>
      <w:ind w:right="360" w:firstLine="280" w:firstLineChars="100"/>
      <w:jc w:val="lef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1B0CD">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pnv46AgAAc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c6Z7+OgIAAHMEAAAOAAAAAAAAAAEAIAAAAB8BAABkcnMvZTJvRG9j&#10;LnhtbFBLBQYAAAAABgAGAFkBAADLBQAAAAA=&#10;">
              <v:fill on="f" focussize="0,0"/>
              <v:stroke on="f" weight="0.5pt"/>
              <v:imagedata o:title=""/>
              <o:lock v:ext="edit" aspectratio="f"/>
              <v:textbox inset="0mm,0mm,0mm,0mm" style="mso-fit-shape-to-text:t;">
                <w:txbxContent>
                  <w:p w14:paraId="7D11B0CD">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38A1">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8" name="文本框 5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19BA5">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135</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9YFIkOgIAAHMEAAAOAAAAAAAAAAEAIAAAAB8BAABkcnMvZTJvRG9j&#10;LnhtbFBLBQYAAAAABgAGAFkBAADLBQAAAAA=&#10;">
              <v:fill on="f" focussize="0,0"/>
              <v:stroke on="f" weight="0.5pt"/>
              <v:imagedata o:title=""/>
              <o:lock v:ext="edit" aspectratio="f"/>
              <v:textbox inset="0mm,0mm,0mm,0mm" style="mso-fit-shape-to-text:t;">
                <w:txbxContent>
                  <w:p w14:paraId="63919BA5">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135</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4063">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CEA1">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91C48">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C3ADA"/>
    <w:rsid w:val="1ED34BD2"/>
    <w:rsid w:val="1F5F5954"/>
    <w:rsid w:val="59D74A7A"/>
    <w:rsid w:val="63730C74"/>
    <w:rsid w:val="66CC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22748</Words>
  <Characters>23360</Characters>
  <Lines>0</Lines>
  <Paragraphs>0</Paragraphs>
  <TotalTime>1</TotalTime>
  <ScaleCrop>false</ScaleCrop>
  <LinksUpToDate>false</LinksUpToDate>
  <CharactersWithSpaces>23840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2026-04-30T09:19:00Z</dcterms:created>
  <dc:creator>Administrator</dc:creator>
  <cp:lastModifiedBy>WPS_1689736603</cp:lastModifiedBy>
  <dcterms:modified xsi:type="dcterms:W3CDTF">2026-05-12T03:03:49Z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eyJoZGlkIjoiMWY2Mjg4NmJlNzQyYmM2YjhhNTk1MmI1NDNhMzIzMWMiLCJ1c2VySWQiOiIxNTEzNDEwNDUwIn0=</vt:lpwstr>
  </property>
  <property fmtid="{D5CDD505-2E9C-101B-9397-08002B2CF9AE}" pid="4" name="ICV">
    <vt:lpwstr>F9A3D05918C5402A8FFDF0A92F0AFDFD_13</vt:lpwstr>
  </property>
</Properties>
</file>