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563E">
      <w:pPr>
        <w:spacing w:line="600" w:lineRule="exact"/>
        <w:rPr>
          <w:rFonts w:hint="eastAsia" w:ascii="仿宋_GB2312" w:hAnsi="仿宋" w:eastAsia="仿宋_GB2312"/>
          <w:sz w:val="32"/>
          <w:szCs w:val="30"/>
        </w:rPr>
      </w:pPr>
    </w:p>
    <w:p w14:paraId="4A52A093">
      <w:pPr>
        <w:spacing w:line="600" w:lineRule="exact"/>
        <w:rPr>
          <w:rFonts w:hint="eastAsia" w:ascii="仿宋_GB2312" w:hAnsi="仿宋" w:eastAsia="仿宋_GB2312"/>
          <w:sz w:val="32"/>
          <w:szCs w:val="30"/>
        </w:rPr>
      </w:pPr>
    </w:p>
    <w:p w14:paraId="07150E9E">
      <w:pPr>
        <w:spacing w:line="600" w:lineRule="exact"/>
        <w:rPr>
          <w:rFonts w:hint="eastAsia" w:ascii="仿宋_GB2312" w:hAnsi="仿宋" w:eastAsia="仿宋_GB2312"/>
          <w:sz w:val="32"/>
          <w:szCs w:val="30"/>
        </w:rPr>
      </w:pPr>
    </w:p>
    <w:p w14:paraId="72F3138C">
      <w:pPr>
        <w:spacing w:line="600" w:lineRule="exact"/>
        <w:rPr>
          <w:rFonts w:hint="eastAsia" w:ascii="仿宋_GB2312" w:hAnsi="仿宋" w:eastAsia="仿宋_GB2312"/>
          <w:sz w:val="32"/>
          <w:szCs w:val="30"/>
        </w:rPr>
      </w:pPr>
    </w:p>
    <w:p w14:paraId="53BE7579">
      <w:pPr>
        <w:spacing w:line="600" w:lineRule="exact"/>
        <w:rPr>
          <w:rFonts w:hint="eastAsia" w:ascii="仿宋_GB2312" w:hAnsi="仿宋" w:eastAsia="仿宋_GB2312"/>
          <w:sz w:val="32"/>
          <w:szCs w:val="30"/>
        </w:rPr>
      </w:pPr>
    </w:p>
    <w:p w14:paraId="79E81002">
      <w:pPr>
        <w:spacing w:line="600" w:lineRule="exact"/>
        <w:rPr>
          <w:rFonts w:hint="eastAsia" w:ascii="仿宋_GB2312" w:hAnsi="仿宋" w:eastAsia="仿宋_GB2312"/>
          <w:sz w:val="32"/>
          <w:szCs w:val="30"/>
        </w:rPr>
      </w:pPr>
    </w:p>
    <w:p w14:paraId="282FF358">
      <w:pPr>
        <w:spacing w:line="600" w:lineRule="exact"/>
        <w:rPr>
          <w:rFonts w:hint="eastAsia" w:ascii="仿宋_GB2312" w:hAnsi="仿宋" w:eastAsia="仿宋_GB2312"/>
          <w:sz w:val="32"/>
          <w:szCs w:val="30"/>
        </w:rPr>
      </w:pPr>
    </w:p>
    <w:p w14:paraId="0B269806">
      <w:pPr>
        <w:spacing w:line="560" w:lineRule="exact"/>
        <w:jc w:val="center"/>
        <w:rPr>
          <w:rFonts w:hint="eastAsia" w:ascii="仿宋_GB2312" w:hAnsi="仿宋" w:eastAsia="仿宋_GB2312"/>
          <w:sz w:val="32"/>
          <w:szCs w:val="30"/>
        </w:rPr>
      </w:pPr>
      <w:r>
        <w:rPr>
          <w:rFonts w:hint="default" w:ascii="Times New Roman" w:hAnsi="Times New Roman" w:eastAsia="仿宋_GB2312" w:cs="Times New Roman"/>
          <w:b w:val="0"/>
          <w:bCs w:val="0"/>
          <w:sz w:val="32"/>
          <w:szCs w:val="32"/>
        </w:rPr>
        <w:t>濉</w:t>
      </w:r>
      <w:r>
        <w:rPr>
          <w:rFonts w:hint="eastAsia" w:ascii="Times New Roman" w:hAnsi="Times New Roman" w:eastAsia="仿宋_GB2312" w:cs="Times New Roman"/>
          <w:b w:val="0"/>
          <w:bCs w:val="0"/>
          <w:sz w:val="32"/>
          <w:szCs w:val="32"/>
          <w:lang w:val="en-US" w:eastAsia="zh-CN"/>
        </w:rPr>
        <w:t>发</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rPr>
        <w:t>号</w:t>
      </w:r>
      <w:r>
        <w:rPr>
          <w:rFonts w:hint="eastAsia" w:ascii="仿宋_GB2312" w:hAnsi="仿宋" w:eastAsia="仿宋_GB2312"/>
          <w:sz w:val="32"/>
          <w:szCs w:val="30"/>
        </w:rPr>
        <mc:AlternateContent>
          <mc:Choice Requires="wps">
            <w:drawing>
              <wp:anchor distT="0" distB="0" distL="114300" distR="114300" simplePos="0" relativeHeight="251660288" behindDoc="0" locked="0" layoutInCell="1" allowOverlap="1">
                <wp:simplePos x="0" y="0"/>
                <wp:positionH relativeFrom="column">
                  <wp:posOffset>2548890</wp:posOffset>
                </wp:positionH>
                <wp:positionV relativeFrom="paragraph">
                  <wp:posOffset>344805</wp:posOffset>
                </wp:positionV>
                <wp:extent cx="525780" cy="394335"/>
                <wp:effectExtent l="4445" t="4445" r="22225" b="20320"/>
                <wp:wrapNone/>
                <wp:docPr id="1" name="文本框 1"/>
                <wp:cNvGraphicFramePr/>
                <a:graphic xmlns:a="http://schemas.openxmlformats.org/drawingml/2006/main">
                  <a:graphicData uri="http://schemas.microsoft.com/office/word/2010/wordprocessingShape">
                    <wps:wsp>
                      <wps:cNvSpPr txBox="1"/>
                      <wps:spPr>
                        <a:xfrm>
                          <a:off x="0" y="0"/>
                          <a:ext cx="525780" cy="394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7314042">
                            <w:pPr>
                              <w:spacing w:line="600" w:lineRule="exact"/>
                              <w:jc w:val="center"/>
                              <w:rPr>
                                <w:rFonts w:hint="eastAsia"/>
                                <w:color w:val="FF0000"/>
                                <w:sz w:val="52"/>
                                <w:szCs w:val="52"/>
                              </w:rPr>
                            </w:pPr>
                          </w:p>
                        </w:txbxContent>
                      </wps:txbx>
                      <wps:bodyPr lIns="0" tIns="0" rIns="0" bIns="0" upright="1"/>
                    </wps:wsp>
                  </a:graphicData>
                </a:graphic>
              </wp:anchor>
            </w:drawing>
          </mc:Choice>
          <mc:Fallback>
            <w:pict>
              <v:shape id="_x0000_s1026" o:spid="_x0000_s1026" o:spt="202" type="#_x0000_t202" style="position:absolute;left:0pt;margin-left:200.7pt;margin-top:27.15pt;height:31.05pt;width:41.4pt;z-index:251660288;mso-width-relative:page;mso-height-relative:page;" fillcolor="#FFFFFF" filled="t" stroked="t" coordsize="21600,21600" o:gfxdata="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YsqdgAAAAKAQAADwAAAAAA&#10;AAABACAAAAAiAAAAZHJzL2Rvd25yZXYueG1sUEsBAhQAFAAAAAgAh07iQK+FHt4TAgAAWQQAAA4A&#10;AAAAAAAAAQAgAAAAJwEAAGRycy9lMm9Eb2MueG1sUEsFBgAAAAAGAAYAWQEAAKwFAAAAAA==&#10;">
                <v:fill on="t" focussize="0,0"/>
                <v:stroke color="#FFFFFF" joinstyle="miter"/>
                <v:imagedata o:title=""/>
                <o:lock v:ext="edit" aspectratio="f"/>
                <v:textbox inset="0mm,0mm,0mm,0mm">
                  <w:txbxContent>
                    <w:p w14:paraId="27314042">
                      <w:pPr>
                        <w:spacing w:line="600" w:lineRule="exact"/>
                        <w:jc w:val="center"/>
                        <w:rPr>
                          <w:rFonts w:hint="eastAsia"/>
                          <w:color w:val="FF0000"/>
                          <w:sz w:val="52"/>
                          <w:szCs w:val="52"/>
                        </w:rPr>
                      </w:pPr>
                    </w:p>
                  </w:txbxContent>
                </v:textbox>
              </v:shape>
            </w:pict>
          </mc:Fallback>
        </mc:AlternateContent>
      </w:r>
    </w:p>
    <w:p w14:paraId="1A4676F5">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p>
    <w:p w14:paraId="7F25CB72">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中共濉溪县委</w:t>
      </w:r>
      <w:r>
        <w:rPr>
          <w:rFonts w:hint="default" w:ascii="Times New Roman" w:hAnsi="Times New Roman" w:eastAsia="方正小标宋简体" w:cs="Times New Roman"/>
          <w:b w:val="0"/>
          <w:bCs w:val="0"/>
          <w:w w:val="90"/>
          <w:sz w:val="44"/>
          <w:szCs w:val="44"/>
        </w:rPr>
        <w:t xml:space="preserve">  </w:t>
      </w:r>
      <w:r>
        <w:rPr>
          <w:rFonts w:hint="default" w:ascii="Times New Roman" w:hAnsi="Times New Roman" w:eastAsia="方正小标宋简体" w:cs="Times New Roman"/>
          <w:b w:val="0"/>
          <w:bCs w:val="0"/>
          <w:sz w:val="44"/>
          <w:szCs w:val="44"/>
        </w:rPr>
        <w:t>濉溪县人民政府</w:t>
      </w:r>
    </w:p>
    <w:p w14:paraId="35610383">
      <w:pPr>
        <w:overflowPunct w:val="0"/>
        <w:spacing w:line="576"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pacing w:val="-23"/>
          <w:sz w:val="44"/>
          <w:szCs w:val="44"/>
        </w:rPr>
        <w:t>关于印发《</w:t>
      </w:r>
      <w:r>
        <w:rPr>
          <w:rFonts w:hint="eastAsia" w:ascii="Times New Roman" w:hAnsi="Times New Roman" w:eastAsia="方正小标宋简体" w:cs="Times New Roman"/>
          <w:b w:val="0"/>
          <w:bCs w:val="0"/>
          <w:spacing w:val="-23"/>
          <w:sz w:val="44"/>
          <w:szCs w:val="44"/>
          <w:lang w:eastAsia="zh-CN"/>
        </w:rPr>
        <w:t>濉溪县“十四五”服务业发展规划</w:t>
      </w:r>
      <w:r>
        <w:rPr>
          <w:rFonts w:hint="default" w:ascii="Times New Roman" w:hAnsi="Times New Roman" w:eastAsia="方正小标宋简体" w:cs="Times New Roman"/>
          <w:b w:val="0"/>
          <w:bCs w:val="0"/>
          <w:color w:val="000000"/>
          <w:spacing w:val="-23"/>
          <w:sz w:val="44"/>
          <w:szCs w:val="44"/>
        </w:rPr>
        <w:t>》</w:t>
      </w:r>
      <w:r>
        <w:rPr>
          <w:rFonts w:hint="default" w:ascii="Times New Roman" w:hAnsi="Times New Roman" w:eastAsia="方正小标宋简体" w:cs="Times New Roman"/>
          <w:b w:val="0"/>
          <w:bCs w:val="0"/>
          <w:color w:val="000000"/>
          <w:sz w:val="44"/>
          <w:szCs w:val="44"/>
        </w:rPr>
        <w:t>的通</w:t>
      </w:r>
      <w:r>
        <w:rPr>
          <w:rFonts w:hint="eastAsia" w:ascii="Times New Roman" w:hAnsi="Times New Roman" w:eastAsia="方正小标宋简体" w:cs="Times New Roman"/>
          <w:b w:val="0"/>
          <w:bCs w:val="0"/>
          <w:color w:val="000000"/>
          <w:sz w:val="44"/>
          <w:szCs w:val="44"/>
          <w:lang w:val="en-US" w:eastAsia="zh-CN"/>
        </w:rPr>
        <w:t xml:space="preserve">  </w:t>
      </w:r>
      <w:r>
        <w:rPr>
          <w:rFonts w:hint="default" w:ascii="Times New Roman" w:hAnsi="Times New Roman" w:eastAsia="方正小标宋简体" w:cs="Times New Roman"/>
          <w:b w:val="0"/>
          <w:bCs w:val="0"/>
          <w:color w:val="000000"/>
          <w:sz w:val="44"/>
          <w:szCs w:val="44"/>
        </w:rPr>
        <w:t>知</w:t>
      </w:r>
    </w:p>
    <w:p w14:paraId="328FB6F7">
      <w:pPr>
        <w:keepNext w:val="0"/>
        <w:keepLines w:val="0"/>
        <w:pageBreakBefore w:val="0"/>
        <w:kinsoku/>
        <w:overflowPunct/>
        <w:topLinePunct w:val="0"/>
        <w:autoSpaceDE/>
        <w:autoSpaceDN/>
        <w:bidi w:val="0"/>
        <w:adjustRightInd/>
        <w:spacing w:line="550" w:lineRule="exact"/>
        <w:jc w:val="left"/>
        <w:textAlignment w:val="auto"/>
        <w:rPr>
          <w:rFonts w:hint="default" w:ascii="Times New Roman" w:hAnsi="Times New Roman" w:eastAsia="仿宋_GB2312" w:cs="Times New Roman"/>
          <w:b w:val="0"/>
          <w:bCs w:val="0"/>
          <w:spacing w:val="0"/>
          <w:sz w:val="32"/>
          <w:szCs w:val="32"/>
        </w:rPr>
      </w:pPr>
    </w:p>
    <w:p w14:paraId="32AE8515">
      <w:pPr>
        <w:keepNext w:val="0"/>
        <w:keepLines w:val="0"/>
        <w:pageBreakBefore w:val="0"/>
        <w:widowControl w:val="0"/>
        <w:kinsoku/>
        <w:overflowPunct/>
        <w:topLinePunct w:val="0"/>
        <w:autoSpaceDE/>
        <w:autoSpaceDN/>
        <w:bidi w:val="0"/>
        <w:adjustRightInd/>
        <w:spacing w:line="580" w:lineRule="exact"/>
        <w:ind w:right="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各镇党委、政府，县直各党组（党委），各部、委、办、局：</w:t>
      </w:r>
    </w:p>
    <w:p w14:paraId="72E46EFC">
      <w:pPr>
        <w:keepNext w:val="0"/>
        <w:keepLines w:val="0"/>
        <w:pageBreakBefore w:val="0"/>
        <w:widowControl w:val="0"/>
        <w:kinsoku/>
        <w:overflowPunct/>
        <w:topLinePunct w:val="0"/>
        <w:autoSpaceDE/>
        <w:autoSpaceDN/>
        <w:bidi w:val="0"/>
        <w:adjustRightInd/>
        <w:spacing w:line="580" w:lineRule="exact"/>
        <w:ind w:right="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濉溪县“十四五”服务业发展规划</w:t>
      </w:r>
      <w:r>
        <w:rPr>
          <w:rFonts w:hint="default" w:ascii="Times New Roman" w:hAnsi="Times New Roman" w:eastAsia="楷体_GB2312" w:cs="Times New Roman"/>
          <w:b w:val="0"/>
          <w:bCs w:val="0"/>
          <w:spacing w:val="0"/>
          <w:sz w:val="32"/>
          <w:szCs w:val="32"/>
        </w:rPr>
        <w:t>》已经县委、县政府同意，现印发给你们，请结合实际认真贯彻落实。</w:t>
      </w:r>
    </w:p>
    <w:p w14:paraId="20F442A0">
      <w:pPr>
        <w:keepNext w:val="0"/>
        <w:keepLines w:val="0"/>
        <w:pageBreakBefore w:val="0"/>
        <w:widowControl w:val="0"/>
        <w:kinsoku/>
        <w:wordWrap w:val="0"/>
        <w:overflowPunct/>
        <w:topLinePunct w:val="0"/>
        <w:autoSpaceDE/>
        <w:autoSpaceDN/>
        <w:bidi w:val="0"/>
        <w:adjustRightInd/>
        <w:snapToGrid w:val="0"/>
        <w:spacing w:line="580" w:lineRule="exact"/>
        <w:ind w:right="0" w:firstLine="640" w:firstLineChars="200"/>
        <w:jc w:val="right"/>
        <w:textAlignment w:val="auto"/>
        <w:rPr>
          <w:rFonts w:hint="eastAsia" w:ascii="Times New Roman" w:hAnsi="Times New Roman" w:eastAsia="仿宋_GB2312"/>
          <w:b w:val="0"/>
          <w:bCs w:val="0"/>
          <w:color w:val="000000"/>
          <w:spacing w:val="0"/>
          <w:sz w:val="32"/>
          <w:szCs w:val="32"/>
        </w:rPr>
      </w:pPr>
      <w:r>
        <w:rPr>
          <w:rFonts w:hint="default" w:ascii="Times New Roman" w:hAnsi="Times New Roman" w:eastAsia="楷体_GB2312" w:cs="Times New Roman"/>
          <w:b w:val="0"/>
          <w:bCs w:val="0"/>
          <w:spacing w:val="0"/>
          <w:sz w:val="32"/>
          <w:szCs w:val="32"/>
        </w:rPr>
        <w:tab/>
      </w:r>
    </w:p>
    <w:p w14:paraId="4FF84072">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28"/>
          <w:sz w:val="32"/>
          <w:szCs w:val="22"/>
        </w:rPr>
        <w:t>中共濉溪县</w:t>
      </w:r>
      <w:r>
        <w:rPr>
          <w:rFonts w:hint="eastAsia" w:ascii="楷体_GB2312" w:hAnsi="Times New Roman" w:eastAsia="楷体_GB2312" w:cs="Times New Roman"/>
          <w:b w:val="0"/>
          <w:bCs w:val="0"/>
          <w:color w:val="000000"/>
          <w:spacing w:val="0"/>
          <w:sz w:val="32"/>
          <w:szCs w:val="22"/>
        </w:rPr>
        <w:t>委</w:t>
      </w:r>
    </w:p>
    <w:p w14:paraId="4CE1D790">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0"/>
          <w:sz w:val="32"/>
          <w:szCs w:val="22"/>
        </w:rPr>
        <w:t>濉溪县人民政府</w:t>
      </w:r>
    </w:p>
    <w:p w14:paraId="797DD8AD">
      <w:pPr>
        <w:pStyle w:val="26"/>
        <w:keepNext w:val="0"/>
        <w:keepLines w:val="0"/>
        <w:pageBreakBefore w:val="0"/>
        <w:widowControl w:val="0"/>
        <w:kinsoku/>
        <w:wordWrap w:val="0"/>
        <w:overflowPunct/>
        <w:topLinePunct w:val="0"/>
        <w:autoSpaceDE/>
        <w:autoSpaceDN/>
        <w:bidi w:val="0"/>
        <w:adjustRightInd/>
        <w:snapToGrid/>
        <w:spacing w:line="580" w:lineRule="exact"/>
        <w:ind w:right="0" w:rightChars="0" w:firstLine="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楷体_GB2312" w:cs="Times New Roman"/>
          <w:b w:val="0"/>
          <w:bCs w:val="0"/>
          <w:color w:val="000000"/>
          <w:spacing w:val="0"/>
          <w:sz w:val="32"/>
          <w:szCs w:val="22"/>
          <w:lang w:val="en-US" w:eastAsia="zh-CN"/>
        </w:rPr>
        <w:t xml:space="preserve">                            </w:t>
      </w:r>
      <w:r>
        <w:rPr>
          <w:rFonts w:ascii="Times New Roman" w:hAnsi="Times New Roman" w:eastAsia="楷体_GB2312" w:cs="Times New Roman"/>
          <w:b w:val="0"/>
          <w:bCs w:val="0"/>
          <w:color w:val="000000"/>
          <w:spacing w:val="0"/>
          <w:sz w:val="32"/>
          <w:szCs w:val="22"/>
        </w:rPr>
        <w:t>202</w:t>
      </w:r>
      <w:r>
        <w:rPr>
          <w:rFonts w:hint="eastAsia" w:ascii="Times New Roman" w:hAnsi="Times New Roman" w:eastAsia="楷体_GB2312" w:cs="Times New Roman"/>
          <w:b w:val="0"/>
          <w:bCs w:val="0"/>
          <w:color w:val="000000"/>
          <w:spacing w:val="0"/>
          <w:sz w:val="32"/>
          <w:szCs w:val="22"/>
          <w:lang w:val="en-US" w:eastAsia="zh-CN"/>
        </w:rPr>
        <w:t>2</w:t>
      </w:r>
      <w:r>
        <w:rPr>
          <w:rFonts w:ascii="Times New Roman" w:hAnsi="Times New Roman" w:eastAsia="楷体_GB2312" w:cs="Times New Roman"/>
          <w:b w:val="0"/>
          <w:bCs w:val="0"/>
          <w:color w:val="000000"/>
          <w:spacing w:val="0"/>
          <w:sz w:val="32"/>
          <w:szCs w:val="22"/>
        </w:rPr>
        <w:t>年</w:t>
      </w:r>
      <w:r>
        <w:rPr>
          <w:rFonts w:hint="eastAsia" w:ascii="Times New Roman" w:hAnsi="Times New Roman" w:eastAsia="楷体_GB2312" w:cs="Times New Roman"/>
          <w:b w:val="0"/>
          <w:bCs w:val="0"/>
          <w:color w:val="000000"/>
          <w:spacing w:val="0"/>
          <w:sz w:val="32"/>
          <w:szCs w:val="22"/>
          <w:lang w:val="en-US" w:eastAsia="zh-CN"/>
        </w:rPr>
        <w:t>5</w:t>
      </w:r>
      <w:r>
        <w:rPr>
          <w:rFonts w:ascii="Times New Roman" w:hAnsi="Times New Roman" w:eastAsia="楷体_GB2312" w:cs="Times New Roman"/>
          <w:b w:val="0"/>
          <w:bCs w:val="0"/>
          <w:color w:val="000000"/>
          <w:spacing w:val="0"/>
          <w:sz w:val="32"/>
          <w:szCs w:val="22"/>
        </w:rPr>
        <w:t>月</w:t>
      </w:r>
      <w:r>
        <w:rPr>
          <w:rFonts w:hint="eastAsia" w:ascii="Times New Roman" w:hAnsi="Times New Roman" w:eastAsia="楷体_GB2312" w:cs="Times New Roman"/>
          <w:b w:val="0"/>
          <w:bCs w:val="0"/>
          <w:color w:val="000000"/>
          <w:spacing w:val="0"/>
          <w:sz w:val="32"/>
          <w:szCs w:val="22"/>
          <w:lang w:val="en-US" w:eastAsia="zh-CN"/>
        </w:rPr>
        <w:t>9</w:t>
      </w:r>
      <w:r>
        <w:rPr>
          <w:rFonts w:ascii="Times New Roman" w:hAnsi="Times New Roman" w:eastAsia="楷体_GB2312" w:cs="Times New Roman"/>
          <w:b w:val="0"/>
          <w:bCs w:val="0"/>
          <w:color w:val="000000"/>
          <w:spacing w:val="0"/>
          <w:sz w:val="32"/>
          <w:szCs w:val="22"/>
        </w:rPr>
        <w:t>日</w:t>
      </w:r>
      <w:r>
        <w:rPr>
          <w:rFonts w:hint="eastAsia" w:ascii="Times New Roman" w:hAnsi="Times New Roman" w:eastAsia="楷体_GB2312" w:cs="Times New Roman"/>
          <w:b w:val="0"/>
          <w:bCs w:val="0"/>
          <w:color w:val="000000"/>
          <w:spacing w:val="0"/>
          <w:sz w:val="32"/>
          <w:szCs w:val="22"/>
          <w:lang w:val="en-US" w:eastAsia="zh-CN"/>
        </w:rPr>
        <w:t xml:space="preserve">    </w:t>
      </w:r>
    </w:p>
    <w:p w14:paraId="76E42284">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75856E3">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sectPr>
          <w:footerReference r:id="rId3" w:type="default"/>
          <w:pgSz w:w="11906" w:h="16838"/>
          <w:pgMar w:top="2098" w:right="1474" w:bottom="1984" w:left="1587" w:header="851" w:footer="1219" w:gutter="0"/>
          <w:pgNumType w:fmt="decimal"/>
          <w:cols w:space="0" w:num="1"/>
          <w:rtlGutter w:val="0"/>
          <w:docGrid w:type="lines" w:linePitch="312" w:charSpace="0"/>
        </w:sectPr>
      </w:pPr>
    </w:p>
    <w:p w14:paraId="6B91FB6D">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濉溪县“十四五”服务业发展规划</w:t>
      </w:r>
    </w:p>
    <w:p w14:paraId="441F1F1F">
      <w:pPr>
        <w:rPr>
          <w:rFonts w:hint="default" w:ascii="Times New Roman" w:hAnsi="Times New Roman" w:cs="Times New Roman"/>
          <w:lang w:eastAsia="zh-CN"/>
        </w:rPr>
      </w:pPr>
    </w:p>
    <w:p w14:paraId="4ECFC2F4">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目</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录</w:t>
      </w:r>
    </w:p>
    <w:p w14:paraId="501FE742">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6CEA3798">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TOC \o "1-3" \h \z \u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_Toc26995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前  言</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_Toc26995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0E560F4">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_Toc5538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第一章  发展基础及环境分析</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_Toc5538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375DA86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sz w:val="32"/>
          <w:szCs w:val="32"/>
        </w:rPr>
        <w:instrText xml:space="preserve"> HYPERLINK \l _Toc19106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一、取得的成就</w:t>
      </w:r>
      <w:r>
        <w:rPr>
          <w:rFonts w:hint="default" w:ascii="Times New Roman" w:hAnsi="Times New Roman" w:eastAsia="楷体_GB2312" w:cs="Times New Roman"/>
          <w:b w:val="0"/>
          <w:bCs w:val="0"/>
          <w:sz w:val="32"/>
          <w:szCs w:val="32"/>
        </w:rPr>
        <w:tab/>
      </w:r>
      <w:r>
        <w:rPr>
          <w:rFonts w:hint="default" w:ascii="Times New Roman" w:hAnsi="Times New Roman" w:eastAsia="楷体_GB2312" w:cs="Times New Roman"/>
          <w:b w:val="0"/>
          <w:bCs w:val="0"/>
          <w:sz w:val="32"/>
          <w:szCs w:val="32"/>
        </w:rPr>
        <w:fldChar w:fldCharType="begin"/>
      </w:r>
      <w:r>
        <w:rPr>
          <w:rFonts w:hint="default" w:ascii="Times New Roman" w:hAnsi="Times New Roman" w:eastAsia="楷体_GB2312" w:cs="Times New Roman"/>
          <w:b w:val="0"/>
          <w:bCs w:val="0"/>
          <w:sz w:val="32"/>
          <w:szCs w:val="32"/>
        </w:rPr>
        <w:instrText xml:space="preserve"> PAGEREF _Toc19106 \h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D1D074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_Toc8041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（一）服务业总体发展态势良好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599949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_Toc9326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（二）商贸流通业实现快速发展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_Toc9326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FB3537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_Toc12100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（三）电子商务业保持高速发展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_Toc12100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0FF8C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_Toc5437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（四）金融服务业功能持续强化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E13CDE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_Toc4948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（五）科技服务业发展势头强劲</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_Toc4948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B43DB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_Toc32442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（六）文化和旅游业协调发展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2CB7A8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_Toc27256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（七）重点项目建设推进顺利</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F47BB17">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_Toc16545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（八）存在的不足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_Toc16545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12022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_Toc18541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二、面临的环境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_Toc18541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77E196FF">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_Toc20195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（一）人民对美好生活不断增长的需要为服务业发展注入了新动力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_Toc20195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5713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_Toc27619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（二）国家战略叠加为服务业发展提供了新契机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C6390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_Toc9707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（三）立体交通网为服务业发展打造了新通道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C75CFB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_Toc7725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（四）新型城镇化为服务业发展开辟了新空间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_Toc7725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8DE00A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_Toc30218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（五）数字化为服务业发展激发了新活力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0C184C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_Toc20854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第二章  指导思想和发展目标</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_Toc20854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1537AE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_Toc26459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一、指导思想</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_Toc26459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1A804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_Toc31139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二、发展原则</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_Toc31139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51E005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_Toc8597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三、发展定位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_Toc8597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34D388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_Toc15693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四、发展目标</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_Toc15693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2D794B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_Toc24490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第三章  主要任务</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_Toc24490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16</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68BF2F1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_Toc18292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一、推动生产性服务业向专业化和价值链高端延伸</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_Toc18292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CB577E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_Toc21797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（一）做优做强现代物流业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ED76E7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（二）优化提升商贸服务业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6F2278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_Toc7070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（三）培育壮大现代金融业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_Toc7070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2EF593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_Toc24352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（四）创新发展电子商务业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40C7C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_Toc20680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二、推动生活性服务业向高品质升级和多样化发展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_Toc20680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28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73F459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_Toc23864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（一）提档升级文化旅游业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_Toc23864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D6FDB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_Toc4573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（二）优化发展商贸流通业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30226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（三）积极发展健康养老业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9AF718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_Toc10097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（四）规范发展社区服务业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_Toc10097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C4688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_Toc18923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（五）促进发展体育服务业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6B78382">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_Toc3327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三、推动新业态服务业向数字化和线上化发展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_Toc3327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39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1EEC9EE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_Toc15531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（一）重点发展线上业态</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_Toc15531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40FBF9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_Toc6565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（二）创新模式发展线上服务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_Toc6565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1E66E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_Toc31404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（三）推动“一网统筹”线上管理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247693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_Toc31718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第四章  重点工程</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_Toc31718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44</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133A7525">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_Toc9911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一、发展环境优化工程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_Toc9911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37A67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_Toc2166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二、集聚载体提升工程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_Toc2166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12EBF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_Toc13205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三、市场主体培育工程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_Toc13205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720CA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_Toc7250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四、品牌品质塑造工程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_Toc7250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BCA7190">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_Toc21056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五、人力资源保障工程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_Toc21056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684EDFEC">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_Toc5301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第五章  服务业空间布局</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_Toc5301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49</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E204A3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_Toc17031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一、总体布局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_Toc17031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ADDEA5B">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_Toc13232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二、生产性服务业布局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_Toc13232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964492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_Toc8651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三、生活性服务业布局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_Toc8651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8D8226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_Toc15972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第六章  保障措施</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_Toc15972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52</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5DC48B7E">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_Toc28875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一、加强组织协调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_Toc28875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4A7ED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_Toc18995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二、聚焦政策扶持</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_Toc18995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6746D1A">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_Toc4240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三、强化要素保障</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_Toc4240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D64255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_Toc6250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1.保障土地供应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58F0D0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_Toc14329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2.落实金融财税政策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_Toc14329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251D0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_Toc7206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3.强化人才保障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_Toc7206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E6FD8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_Toc11902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rPr>
        <w:t>优化</w:t>
      </w:r>
      <w:r>
        <w:rPr>
          <w:rFonts w:hint="default" w:ascii="Times New Roman" w:hAnsi="Times New Roman" w:eastAsia="仿宋_GB2312" w:cs="Times New Roman"/>
          <w:sz w:val="32"/>
          <w:szCs w:val="32"/>
          <w:highlight w:val="none"/>
        </w:rPr>
        <w:t>数据资源</w:t>
      </w:r>
      <w:r>
        <w:rPr>
          <w:rFonts w:hint="default" w:ascii="Times New Roman" w:hAnsi="Times New Roman" w:eastAsia="仿宋_GB2312" w:cs="Times New Roman"/>
          <w:sz w:val="32"/>
          <w:szCs w:val="32"/>
        </w:rPr>
        <w:t>应用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_Toc11902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120CFD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_Toc25738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四、优化发展环境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_Toc25738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9F74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_Toc15897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1.推进社会信用体系建设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_Toc15897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DAC719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_Toc13697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2.深化服务业领域改革创新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_Toc13697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27CB81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_Toc7551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3.改善事中事后监管体制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_Toc7551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8D23C51">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4.加强市场监督管理和惩罚力度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ECE5CD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_Toc23817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五、强化项目支撑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_Toc23817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81FC4D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_Toc27578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1.坚持以项目为抓手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A6BD1C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_Toc29693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2.完善项目推进机制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A7F81E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_Toc9696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六、抓好督促落实</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_Toc9696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EA299E">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_Toc14623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1.加强任务实施管理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D4D345A">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_Toc10717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lang w:val="en-US" w:eastAsia="zh-CN"/>
        </w:rPr>
        <w:t>2</w:t>
      </w:r>
      <w:r>
        <w:rPr>
          <w:rFonts w:hint="default" w:ascii="Times New Roman" w:hAnsi="Times New Roman" w:eastAsia="仿宋_GB2312" w:cs="Times New Roman"/>
          <w:bCs w:val="0"/>
          <w:smallCaps w:val="0"/>
          <w:sz w:val="32"/>
          <w:szCs w:val="32"/>
        </w:rPr>
        <w:t>.强化规划实施监测评估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_Toc10717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4135EE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30B7BE0E">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_Toc10405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_Toc2034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濉溪县“十四五”服务业发展重大项目一览表</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_Toc2034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60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46C9C96">
      <w:pPr>
        <w:pStyle w:val="14"/>
        <w:widowControl w:val="0"/>
        <w:tabs>
          <w:tab w:val="right" w:leader="dot" w:pos="8845"/>
        </w:tabs>
        <w:spacing w:line="560" w:lineRule="exact"/>
        <w:ind w:left="800" w:leftChars="0" w:hanging="800" w:hangingChars="250"/>
        <w:jc w:val="center"/>
        <w:rPr>
          <w:rFonts w:hint="default" w:ascii="Times New Roman" w:hAnsi="Times New Roman" w:eastAsia="黑体" w:cs="Times New Roman"/>
          <w:color w:val="000000" w:themeColor="text1"/>
          <w:sz w:val="36"/>
          <w:szCs w:val="36"/>
          <w14:textFill>
            <w14:solidFill>
              <w14:schemeClr w14:val="tx1"/>
            </w14:solidFill>
          </w14:textFill>
        </w:rPr>
        <w:sectPr>
          <w:footerReference r:id="rId4" w:type="default"/>
          <w:pgSz w:w="11906" w:h="16838"/>
          <w:pgMar w:top="2098" w:right="1474" w:bottom="1984" w:left="1587" w:header="851" w:footer="121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0531786">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0" w:name="_Toc26995"/>
      <w:bookmarkStart w:id="1" w:name="_Toc83296367"/>
      <w:bookmarkStart w:id="2" w:name="_Toc10396"/>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前  言</w:t>
      </w:r>
      <w:bookmarkEnd w:id="0"/>
      <w:bookmarkEnd w:id="1"/>
      <w:bookmarkEnd w:id="2"/>
    </w:p>
    <w:p w14:paraId="5845E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218C8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是我国全面建成小康社会、实现第一个百年奋斗目标之后，开启全面建设社会主义现代化国家新征程的第一个五年发展规划期，是推动经济社会高质量转型发展的关键时期和重要发展机遇期。我们要全面贯彻落实党的十九大、十九届历次全会精神和习近平总书记考察安徽重要讲话指示精神，以习近平新时代中国特色社会主义思想为指导，立足新发展阶段</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贯彻新发展理念，在构建新发展格局上开好局、起好步。</w:t>
      </w:r>
    </w:p>
    <w:p w14:paraId="5C32E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也是濉溪县加快发展、加速崛起、全力冲刺全国综合实力百强县的关键时期和重要黄金机遇期。全县正抢抓国家推动长三角一体化战略机遇，用活皖北承接产业转移集聚区建设政策，全面加快服务业发展，推动产业结构由“二三一”向“三二一”转变。</w:t>
      </w:r>
      <w:r>
        <w:rPr>
          <w:rFonts w:hint="default" w:ascii="Times New Roman" w:hAnsi="Times New Roman" w:eastAsia="仿宋_GB2312" w:cs="Times New Roman"/>
          <w:color w:val="000000" w:themeColor="text1"/>
          <w:sz w:val="32"/>
          <w:szCs w:val="32"/>
          <w14:textFill>
            <w14:solidFill>
              <w14:schemeClr w14:val="tx1"/>
            </w14:solidFill>
          </w14:textFill>
        </w:rPr>
        <w:t>为进一步贯彻落实国家、省、市加快服务业发展的部署要求，全面提升现代服务业规模、层次和竞争力，</w:t>
      </w:r>
      <w:r>
        <w:rPr>
          <w:rFonts w:hint="default" w:ascii="Times New Roman" w:hAnsi="Times New Roman" w:eastAsia="仿宋_GB2312" w:cs="Times New Roman"/>
          <w:smallCaps/>
          <w:color w:val="000000" w:themeColor="text1"/>
          <w:sz w:val="32"/>
          <w:szCs w:val="32"/>
          <w14:textFill>
            <w14:solidFill>
              <w14:schemeClr w14:val="tx1"/>
            </w14:solidFill>
          </w14:textFill>
        </w:rPr>
        <w:t>根据国家、安徽省和濉溪县</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十四五</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规划和2035年远景目标纲要”，组织编制《濉溪县“十四五”服务业发展规划》，旨在引领和指导全县“十四五”时期服务业快速健康发展，进而推动全县经济社会高质量发展，为开启社会主义现代化建设新征程开好新局、夯实基础。</w:t>
      </w:r>
    </w:p>
    <w:p w14:paraId="18DB8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本次规划期2021-2025年，重大事项展望到2035年。</w:t>
      </w:r>
    </w:p>
    <w:p w14:paraId="7814EA21">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center"/>
        <w:textAlignment w:val="auto"/>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bookmarkStart w:id="3" w:name="_Toc83296368"/>
      <w:bookmarkStart w:id="4" w:name="_Toc30788"/>
    </w:p>
    <w:p w14:paraId="286B8C91">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378F5BD3">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44"/>
          <w:szCs w:val="44"/>
          <w14:textFill>
            <w14:solidFill>
              <w14:schemeClr w14:val="tx1"/>
            </w14:solidFill>
          </w14:textFill>
        </w:rPr>
      </w:pPr>
      <w:bookmarkStart w:id="5" w:name="_Toc553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第一章  发展基础及环境分析</w:t>
      </w:r>
      <w:bookmarkEnd w:id="3"/>
      <w:bookmarkEnd w:id="4"/>
      <w:bookmarkEnd w:id="5"/>
    </w:p>
    <w:p w14:paraId="09D7925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0D9207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面对错综复杂的宏观形势和艰巨繁重的改革发展稳定任务，又遭受新冠肺炎疫情严重冲击，但全县人民紧紧围绕全面建成小康社会目标，认真贯彻落实党的十九大和十九届二中、三中、四中、五中全会精神，坚决贯彻落实习近平总书记考察安徽重要讲话指示精神和省、市委决策部署，统筹推进疫情防控和经济社会发展，深入贯彻落实国家、省、市关于服务业发展的相关政策措施，大力深化改革，推进高质量发展，全县服务业规模不断扩大，质量和能级加速提升，内部结构和空间布局逐步优化，服务业发展呈现良好势头，</w:t>
      </w:r>
      <w:r>
        <w:rPr>
          <w:rFonts w:hint="default" w:ascii="Times New Roman" w:hAnsi="Times New Roman" w:eastAsia="仿宋_GB2312" w:cs="Times New Roman"/>
          <w:color w:val="000000" w:themeColor="text1"/>
          <w:sz w:val="32"/>
          <w:szCs w:val="32"/>
          <w14:textFill>
            <w14:solidFill>
              <w14:schemeClr w14:val="tx1"/>
            </w14:solidFill>
          </w14:textFill>
        </w:rPr>
        <w:t>对全县经济和社会发展起到重要推动作用。</w:t>
      </w:r>
    </w:p>
    <w:p w14:paraId="69B600A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 w:name="_Toc83296369"/>
      <w:bookmarkStart w:id="7" w:name="_Toc18960"/>
      <w:bookmarkStart w:id="8" w:name="_Toc19106"/>
      <w:r>
        <w:rPr>
          <w:rFonts w:hint="default" w:ascii="Times New Roman" w:hAnsi="Times New Roman" w:eastAsia="黑体" w:cs="Times New Roman"/>
          <w:b w:val="0"/>
          <w:bCs w:val="0"/>
          <w:color w:val="000000" w:themeColor="text1"/>
          <w14:textFill>
            <w14:solidFill>
              <w14:schemeClr w14:val="tx1"/>
            </w14:solidFill>
          </w14:textFill>
        </w:rPr>
        <w:t>一、取得的成就</w:t>
      </w:r>
      <w:bookmarkEnd w:id="6"/>
      <w:bookmarkEnd w:id="7"/>
      <w:bookmarkEnd w:id="8"/>
    </w:p>
    <w:p w14:paraId="60EBF7E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9" w:name="_Toc8041"/>
      <w:bookmarkStart w:id="10" w:name="_Toc83296370"/>
      <w:bookmarkStart w:id="11" w:name="_Toc21518"/>
      <w:r>
        <w:rPr>
          <w:rFonts w:hint="default" w:ascii="Times New Roman" w:hAnsi="Times New Roman" w:eastAsia="楷体_GB2312" w:cs="Times New Roman"/>
          <w:color w:val="000000" w:themeColor="text1"/>
          <w14:textFill>
            <w14:solidFill>
              <w14:schemeClr w14:val="tx1"/>
            </w14:solidFill>
          </w14:textFill>
        </w:rPr>
        <w:t>（一）服务业总体发展态势良好</w:t>
      </w:r>
      <w:bookmarkEnd w:id="9"/>
      <w:bookmarkEnd w:id="10"/>
      <w:bookmarkEnd w:id="11"/>
    </w:p>
    <w:p w14:paraId="5C7F2DB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量不断提升。服务业增加值由2015年的71.6亿元增加到2020年的194.2亿元，年均增长7.2%，比GDP增速快0.5个百分点。服务业增加值占GDP的比重由2015年的30.7%提升到2020年的39.6%。其中2020年信息与软件技术服务业突破行业空白，交通运输业与营利性服务业营业收入逆势增长，商务服务业由弱变强，全年服务业增加值增长3.9%，其占比较2019年提升0.8个百分点，拉动GDP增长1.8个百分点，服务业对全县经济的拉动作用不断增强。截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2020年底</w:t>
      </w:r>
      <w:r>
        <w:rPr>
          <w:rFonts w:hint="default" w:ascii="Times New Roman" w:hAnsi="Times New Roman" w:eastAsia="仿宋_GB2312" w:cs="Times New Roman"/>
          <w:color w:val="000000" w:themeColor="text1"/>
          <w:sz w:val="32"/>
          <w:szCs w:val="32"/>
          <w14:textFill>
            <w14:solidFill>
              <w14:schemeClr w14:val="tx1"/>
            </w14:solidFill>
          </w14:textFill>
        </w:rPr>
        <w:t>，全县共有25家规上服务业企业。产业结构进一步优化，三次产业比由2015年的17.5:51.8:30.7转化为2020年的11.0:49.5:39.5。濉溪县百善物流园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中瑞新型农产品批发市场等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个园区获批省级服务业集聚区，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濉溪县</w:t>
      </w:r>
      <w:r>
        <w:rPr>
          <w:rFonts w:hint="default" w:ascii="Times New Roman" w:hAnsi="Times New Roman" w:eastAsia="仿宋_GB2312" w:cs="Times New Roman"/>
          <w:color w:val="000000" w:themeColor="text1"/>
          <w:sz w:val="32"/>
          <w:szCs w:val="32"/>
          <w14:textFill>
            <w14:solidFill>
              <w14:schemeClr w14:val="tx1"/>
            </w14:solidFill>
          </w14:textFill>
        </w:rPr>
        <w:t>电子商务产业园获批省级服务业集聚示范区。</w:t>
      </w:r>
    </w:p>
    <w:p w14:paraId="7328906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 w:name="_Toc13023"/>
      <w:bookmarkStart w:id="13" w:name="_Toc9326"/>
      <w:bookmarkStart w:id="14" w:name="_Toc83296371"/>
      <w:r>
        <w:rPr>
          <w:rFonts w:hint="default" w:ascii="Times New Roman" w:hAnsi="Times New Roman" w:eastAsia="楷体_GB2312" w:cs="Times New Roman"/>
          <w:color w:val="000000" w:themeColor="text1"/>
          <w14:textFill>
            <w14:solidFill>
              <w14:schemeClr w14:val="tx1"/>
            </w14:solidFill>
          </w14:textFill>
        </w:rPr>
        <w:t>（二）商贸流通业实现快速发展</w:t>
      </w:r>
      <w:bookmarkEnd w:id="12"/>
      <w:bookmarkEnd w:id="13"/>
      <w:bookmarkEnd w:id="14"/>
    </w:p>
    <w:p w14:paraId="2793309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濉溪县出台了《濉溪县加快发展现代服务业若干政策》《加快发展电子商务产业的实施意见》等一系列促消费、稳增长、调结构、惠民生政策。截止2020年底，濉溪县在统限额以上企业180家，社会消费品零售总额从2016年的86.6亿元提高到2020年的140.8亿元，年均增长11%。濉溪大市场、柳孜文化园等一批大型商业设施建成运营；翔宇物流、东风物流、中瑞农产品冷链物流、顺达物流配送等物流体系快速发展；社区商业快速发展，便利店、维修店、美容美发店、早餐店等各类社区便民服务商业逐步完善</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仅2020年全县新增营业面积19.3万平方米，进一步夯实了商贸流通基础。</w:t>
      </w:r>
    </w:p>
    <w:p w14:paraId="4F52A64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5" w:name="_Toc12100"/>
      <w:bookmarkStart w:id="16" w:name="_Toc28478"/>
      <w:bookmarkStart w:id="17" w:name="_Toc83296372"/>
      <w:r>
        <w:rPr>
          <w:rFonts w:hint="default" w:ascii="Times New Roman" w:hAnsi="Times New Roman" w:eastAsia="楷体_GB2312" w:cs="Times New Roman"/>
          <w:color w:val="000000" w:themeColor="text1"/>
          <w14:textFill>
            <w14:solidFill>
              <w14:schemeClr w14:val="tx1"/>
            </w14:solidFill>
          </w14:textFill>
        </w:rPr>
        <w:t>（三）电子商务业保持高速发展</w:t>
      </w:r>
      <w:bookmarkEnd w:id="15"/>
      <w:bookmarkEnd w:id="16"/>
      <w:bookmarkEnd w:id="17"/>
    </w:p>
    <w:p w14:paraId="1CED901A">
      <w:pPr>
        <w:autoSpaceDE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“十三五”以来，全县电子商务</w:t>
      </w:r>
      <w:r>
        <w:rPr>
          <w:rFonts w:hint="default" w:ascii="Times New Roman" w:hAnsi="Times New Roman" w:eastAsia="仿宋_GB2312" w:cs="Times New Roman"/>
          <w:color w:val="000000" w:themeColor="text1"/>
          <w:kern w:val="0"/>
          <w:sz w:val="32"/>
          <w:szCs w:val="32"/>
          <w14:textFill>
            <w14:solidFill>
              <w14:schemeClr w14:val="tx1"/>
            </w14:solidFill>
          </w14:textFill>
        </w:rPr>
        <w:t>市场规模不断扩大，市场主体成长迅速，各领域电子商务普及应用进一步深化，发展环境不断优化，服务支撑体系逐步完善，一二三产业、线上线下、内外贸深度融合，电子商务成为全县加快结构调整、促进产业转型升级的重要引擎，2016年获批全国电子商务进农村综合示范县。</w:t>
      </w:r>
      <w:r>
        <w:rPr>
          <w:rFonts w:hint="default" w:ascii="Times New Roman" w:hAnsi="Times New Roman" w:eastAsia="仿宋_GB2312" w:cs="Times New Roman"/>
          <w:color w:val="000000" w:themeColor="text1"/>
          <w:sz w:val="32"/>
          <w:szCs w:val="32"/>
          <w14:textFill>
            <w14:solidFill>
              <w14:schemeClr w14:val="tx1"/>
            </w14:solidFill>
          </w14:textFill>
        </w:rPr>
        <w:t>“十三五”</w:t>
      </w:r>
      <w:r>
        <w:rPr>
          <w:rFonts w:hint="default" w:ascii="Times New Roman" w:hAnsi="Times New Roman" w:eastAsia="仿宋_GB2312" w:cs="Times New Roman"/>
          <w:color w:val="000000" w:themeColor="text1"/>
          <w:kern w:val="0"/>
          <w:sz w:val="32"/>
          <w:szCs w:val="32"/>
          <w14:textFill>
            <w14:solidFill>
              <w14:schemeClr w14:val="tx1"/>
            </w14:solidFill>
          </w14:textFill>
        </w:rPr>
        <w:t>期间，全县累计实现电子商务交易额42亿元，年均增长40.4%；网销农村产品14.5亿元，年均增长60%。培育电商主体362家，</w:t>
      </w:r>
      <w:r>
        <w:rPr>
          <w:rFonts w:hint="default" w:ascii="Times New Roman" w:hAnsi="Times New Roman" w:eastAsia="仿宋_GB2312" w:cs="Times New Roman"/>
          <w:color w:val="000000" w:themeColor="text1"/>
          <w:sz w:val="32"/>
          <w:szCs w:val="32"/>
          <w14:textFill>
            <w14:solidFill>
              <w14:schemeClr w14:val="tx1"/>
            </w14:solidFill>
          </w14:textFill>
        </w:rPr>
        <w:t>培育县域电商公共品牌2个，打造全国电商品牌1个；全县京东、淘宝等知名电商平台活跃店铺和微商2.9万个，带动4万人就业</w:t>
      </w:r>
      <w:r>
        <w:rPr>
          <w:rFonts w:hint="default" w:ascii="Times New Roman" w:hAnsi="Times New Roman" w:eastAsia="仿宋_GB2312" w:cs="Times New Roman"/>
          <w:color w:val="000000" w:themeColor="text1"/>
          <w:kern w:val="0"/>
          <w:sz w:val="32"/>
          <w:szCs w:val="32"/>
          <w14:textFill>
            <w14:solidFill>
              <w14:schemeClr w14:val="tx1"/>
            </w14:solidFill>
          </w14:textFill>
        </w:rPr>
        <w:t>，仅</w:t>
      </w:r>
      <w:r>
        <w:rPr>
          <w:rFonts w:hint="default" w:ascii="Times New Roman" w:hAnsi="Times New Roman" w:eastAsia="仿宋_GB2312" w:cs="Times New Roman"/>
          <w:color w:val="000000" w:themeColor="text1"/>
          <w:sz w:val="32"/>
          <w:szCs w:val="32"/>
          <w14:textFill>
            <w14:solidFill>
              <w14:schemeClr w14:val="tx1"/>
            </w14:solidFill>
          </w14:textFill>
        </w:rPr>
        <w:t>2020年</w:t>
      </w:r>
      <w:r>
        <w:rPr>
          <w:rFonts w:hint="default" w:ascii="Times New Roman" w:hAnsi="Times New Roman" w:eastAsia="仿宋_GB2312" w:cs="Times New Roman"/>
          <w:color w:val="000000" w:themeColor="text1"/>
          <w:kern w:val="0"/>
          <w:sz w:val="32"/>
          <w:szCs w:val="32"/>
          <w14:textFill>
            <w14:solidFill>
              <w14:schemeClr w14:val="tx1"/>
            </w14:solidFill>
          </w14:textFill>
        </w:rPr>
        <w:t>就创成4个省级电商示范村，培育3个年网销额超1000万元省级重点企业、3个年网销额超100万元省级农村电商品牌</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2872BC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8" w:name="_Toc83296373"/>
      <w:bookmarkStart w:id="19" w:name="_Toc5437"/>
      <w:bookmarkStart w:id="20" w:name="_Toc539"/>
      <w:r>
        <w:rPr>
          <w:rFonts w:hint="default" w:ascii="Times New Roman" w:hAnsi="Times New Roman" w:eastAsia="楷体_GB2312" w:cs="Times New Roman"/>
          <w:color w:val="000000" w:themeColor="text1"/>
          <w14:textFill>
            <w14:solidFill>
              <w14:schemeClr w14:val="tx1"/>
            </w14:solidFill>
          </w14:textFill>
        </w:rPr>
        <w:t>（四）金融服务业功能持续强化</w:t>
      </w:r>
      <w:bookmarkEnd w:id="18"/>
      <w:bookmarkEnd w:id="19"/>
      <w:bookmarkEnd w:id="20"/>
    </w:p>
    <w:p w14:paraId="3E61BA01">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w:t>
      </w:r>
      <w:r>
        <w:rPr>
          <w:rFonts w:hint="default" w:ascii="Times New Roman" w:hAnsi="Times New Roman" w:eastAsia="仿宋_GB2312" w:cs="Times New Roman"/>
          <w:color w:val="000000" w:themeColor="text1"/>
          <w:kern w:val="0"/>
          <w:sz w:val="32"/>
          <w:szCs w:val="32"/>
          <w14:textFill>
            <w14:solidFill>
              <w14:schemeClr w14:val="tx1"/>
            </w14:solidFill>
          </w14:textFill>
        </w:rPr>
        <w:t>全县下发了《关于发挥财政引导作用支持中小企业和“三农”发展的实施意见》《关于进一步促进金融业发展的意见》等一系列文件。同时依托皖北融资中心，加强中小企业融资服务，拓宽融资渠道，提高直接融资比重。到2020年末，全县在“新三板”和区域四板挂牌企业总数已达57家，仅2020年当年就有12家企业挂牌</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全县共有银行业金融机构12家，政策性融资担保公司2家。2020年末全县银行业存款余额540.03亿元，比年初增加44.6亿元，增长9%；全县贷款余额374.08亿元</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增加70.14亿元，增长23.08%；实现税收1.7715亿元。</w:t>
      </w:r>
    </w:p>
    <w:p w14:paraId="641A9A3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1" w:name="_Toc83296374"/>
      <w:bookmarkStart w:id="22" w:name="_Toc14916"/>
      <w:bookmarkStart w:id="23" w:name="_Toc4948"/>
      <w:r>
        <w:rPr>
          <w:rFonts w:hint="default" w:ascii="Times New Roman" w:hAnsi="Times New Roman" w:eastAsia="楷体_GB2312" w:cs="Times New Roman"/>
          <w:color w:val="000000" w:themeColor="text1"/>
          <w14:textFill>
            <w14:solidFill>
              <w14:schemeClr w14:val="tx1"/>
            </w14:solidFill>
          </w14:textFill>
        </w:rPr>
        <w:t>（五）科技服务业发展势头强劲</w:t>
      </w:r>
      <w:bookmarkEnd w:id="21"/>
      <w:bookmarkEnd w:id="22"/>
      <w:bookmarkEnd w:id="23"/>
    </w:p>
    <w:p w14:paraId="752DC78F">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w:t>
      </w:r>
      <w:r>
        <w:rPr>
          <w:rFonts w:hint="default" w:ascii="Times New Roman" w:hAnsi="Times New Roman" w:eastAsia="仿宋_GB2312" w:cs="Times New Roman"/>
          <w:color w:val="000000" w:themeColor="text1"/>
          <w:kern w:val="0"/>
          <w:sz w:val="32"/>
          <w:szCs w:val="32"/>
          <w14:textFill>
            <w14:solidFill>
              <w14:schemeClr w14:val="tx1"/>
            </w14:solidFill>
          </w14:textFill>
        </w:rPr>
        <w:t>创新型园区建设取得较大进展。濉溪经济开发区铝基复合材料特色产业基地获批2018年第一批国家火炬特色基地。濉溪百善现代农业综合开发示范区获批省级农业科技园区；孵化器、众创空间建设取得新突破，濉溪经济开发区创业服务中心入选省科技企业孵化器名单，淮海壹号众创空间跻身省级众创空间，全县创新创业环境进一步优化；研发机构建设取得新成果，2017以来备案市级工程技术研究中心17家。“十三五”期间全县发明专利申请量为2083件，拥有有效发明专利273件，每万人口有效发明专利拥有量2.44件。</w:t>
      </w:r>
    </w:p>
    <w:p w14:paraId="0D9FDFE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4" w:name="_Toc9592"/>
      <w:bookmarkStart w:id="25" w:name="_Toc32442"/>
      <w:bookmarkStart w:id="26" w:name="_Toc83296375"/>
      <w:r>
        <w:rPr>
          <w:rFonts w:hint="default" w:ascii="Times New Roman" w:hAnsi="Times New Roman" w:eastAsia="楷体_GB2312" w:cs="Times New Roman"/>
          <w:color w:val="000000" w:themeColor="text1"/>
          <w14:textFill>
            <w14:solidFill>
              <w14:schemeClr w14:val="tx1"/>
            </w14:solidFill>
          </w14:textFill>
        </w:rPr>
        <w:t>（六）文化和旅游业协调发展</w:t>
      </w:r>
      <w:bookmarkEnd w:id="24"/>
      <w:bookmarkEnd w:id="25"/>
      <w:bookmarkEnd w:id="26"/>
    </w:p>
    <w:p w14:paraId="0202C1AB">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“十三五”期间，坚持</w:t>
      </w:r>
      <w:r>
        <w:rPr>
          <w:rFonts w:hint="default" w:ascii="Times New Roman" w:hAnsi="Times New Roman" w:eastAsia="仿宋_GB2312" w:cs="Times New Roman"/>
          <w:color w:val="000000" w:themeColor="text1"/>
          <w:kern w:val="0"/>
          <w:sz w:val="32"/>
          <w:szCs w:val="32"/>
          <w14:textFill>
            <w14:solidFill>
              <w14:schemeClr w14:val="tx1"/>
            </w14:solidFill>
          </w14:textFill>
        </w:rPr>
        <w:t>强化规划编制，引导旅游消费需求，培育旅游消费热点。编制了《大运河柳孜运河遗址保护管理规划》《古城汉墓保护规划》《濉溪老城石板街历史街区保护与更新项目》等规划方案。成功举办首届柳孜大运河文化艺术节，首届运河流域鼓书曲艺展演等系列文化宣传活动，被授予“安徽省曲艺之乡”。大力整合全县乡村旅游资源，以农业休闲旅游和爱国主义教育为特色，开发建设大运河文化带和红色文化旅游线路项目，争创柳江口4A旅游景区，培育特色旅游品牌。柳孜文化园、隋堤景区先后被评为国家3A级旅游景区。韩村镇淮海村、百善镇柳孜村被评为省级乡村旅游示范村；在安徽乡村旅游“百村”营销行动上，淮海村、柳孜村入选皖美乡村旅游线路；百善镇柳孜村入选第五批“安徽省千年古村落地名文化遗产”名录等。</w:t>
      </w:r>
    </w:p>
    <w:p w14:paraId="465EE9A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7" w:name="_Toc27256"/>
      <w:bookmarkStart w:id="28" w:name="_Toc83296376"/>
      <w:bookmarkStart w:id="29" w:name="_Toc14083"/>
      <w:r>
        <w:rPr>
          <w:rFonts w:hint="default" w:ascii="Times New Roman" w:hAnsi="Times New Roman" w:eastAsia="楷体_GB2312" w:cs="Times New Roman"/>
          <w:color w:val="000000" w:themeColor="text1"/>
          <w14:textFill>
            <w14:solidFill>
              <w14:schemeClr w14:val="tx1"/>
            </w14:solidFill>
          </w14:textFill>
        </w:rPr>
        <w:t>（七）重点项目建设推进顺利</w:t>
      </w:r>
      <w:bookmarkEnd w:id="27"/>
      <w:bookmarkEnd w:id="28"/>
      <w:bookmarkEnd w:id="29"/>
    </w:p>
    <w:p w14:paraId="774164F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“十三五”时期，加快推进现代物流、金融服务、电子商务、现代商贸、文化旅游</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、房地产等领域重点项目建设。濉溪县电子商务公共服务平台已建成运营；现代商贸中瑞农产品批发市场迁址改造升级工程顺利推进</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文化</w:t>
      </w:r>
      <w:r>
        <w:rPr>
          <w:rFonts w:hint="default" w:ascii="Times New Roman" w:hAnsi="Times New Roman" w:eastAsia="仿宋_GB2312" w:cs="Times New Roman"/>
          <w:smallCaps/>
          <w:color w:val="000000" w:themeColor="text1"/>
          <w:sz w:val="32"/>
          <w:szCs w:val="32"/>
          <w14:textFill>
            <w14:solidFill>
              <w14:schemeClr w14:val="tx1"/>
            </w14:solidFill>
          </w14:textFill>
        </w:rPr>
        <w:t>旅游中柳孜运河遗址柳江口文化园一期二期已建成开园迎客、濉溪县老城石板街历史街区保护与更新项目文物改造及更新完成90%、临涣古城和临涣文昌宫修建正进行招标、韩村小李庄项目正在建设百荣园，博物馆提升工程正在进行前期工作、口子文化博览园已建成运营；房地产项目中</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南湖水岸</w:t>
      </w:r>
      <w:r>
        <w:rPr>
          <w:rFonts w:hint="default" w:ascii="Times New Roman" w:hAnsi="Times New Roman" w:eastAsia="仿宋_GB2312" w:cs="Times New Roman"/>
          <w:smallCaps/>
          <w:color w:val="000000" w:themeColor="text1"/>
          <w:sz w:val="32"/>
          <w:szCs w:val="32"/>
          <w14:textFill>
            <w14:solidFill>
              <w14:schemeClr w14:val="tx1"/>
            </w14:solidFill>
          </w14:textFill>
        </w:rPr>
        <w:t>、御溪荣境等项目已竣工；金融服务项目等推进顺利。</w:t>
      </w:r>
    </w:p>
    <w:p w14:paraId="49695FF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0" w:name="_Toc83296377"/>
      <w:bookmarkStart w:id="31" w:name="_Toc7775"/>
      <w:bookmarkStart w:id="32" w:name="_Toc16545"/>
      <w:r>
        <w:rPr>
          <w:rFonts w:hint="default" w:ascii="Times New Roman" w:hAnsi="Times New Roman" w:eastAsia="楷体_GB2312" w:cs="Times New Roman"/>
          <w:color w:val="000000" w:themeColor="text1"/>
          <w14:textFill>
            <w14:solidFill>
              <w14:schemeClr w14:val="tx1"/>
            </w14:solidFill>
          </w14:textFill>
        </w:rPr>
        <w:t>（八）存在的不足</w:t>
      </w:r>
      <w:bookmarkEnd w:id="30"/>
      <w:bookmarkEnd w:id="31"/>
      <w:bookmarkEnd w:id="32"/>
    </w:p>
    <w:p w14:paraId="200A0302">
      <w:pPr>
        <w:pStyle w:val="7"/>
        <w:spacing w:after="0"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“十三五”期间，濉溪县服务业虽然取得了较快发展，但</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smallCaps/>
          <w:color w:val="000000" w:themeColor="text1"/>
          <w:sz w:val="32"/>
          <w:szCs w:val="32"/>
          <w14:textFill>
            <w14:solidFill>
              <w14:schemeClr w14:val="tx1"/>
            </w14:solidFill>
          </w14:textFill>
        </w:rPr>
        <w:t>在规模体量上和在三次产业占比上仍然偏小等一些问题。2020年全县服务业增加值占GDP比重39.6%，较同期全国（54.5%）、全省（51.3%）、全市（51.1%）的差距比较明显，较全省十强县中排名相临近的巢湖市（54.0%）也明显偏低。服务业同时存在企业数量少、规模小的问题，截至2020年底，全县在统参与GDP核算服务业企业17家（淮北市共88家），其中营业收入超千万的仅3家（淮北市共29家），而且服务业企业主要集中在租赁商务等传统服务业，信息传输软件技术、咨询、科学技术、金融等现代服务业较少，研发、设计、电子商务、文化创意等领域多数依然空白。从分布看，服务业企业主要集中在濉溪镇，其他大部分镇（园区）依然没有符合入统条件的企业。从商贸发展上看，2020年销售额过亿元的商贸企业仅3家，由于长期以来县城与淮北市市区同城发展，致使目前全县尚无大型特色街区商业综合体和五星级酒店。2020年全县限上单位零售额20.5亿元，占社会消费品零售总额比重14.6%，低于全省县（市）平均1.6个百分点，低于全市9.8个百分点。基础设施正加快完善，但</w:t>
      </w:r>
      <w:r>
        <w:rPr>
          <w:rFonts w:hint="default" w:ascii="Times New Roman" w:hAnsi="Times New Roman" w:eastAsia="仿宋_GB2312" w:cs="Times New Roman"/>
          <w:color w:val="000000" w:themeColor="text1"/>
          <w:sz w:val="32"/>
          <w:szCs w:val="32"/>
          <w14:textFill>
            <w14:solidFill>
              <w14:schemeClr w14:val="tx1"/>
            </w14:solidFill>
          </w14:textFill>
        </w:rPr>
        <w:t>商贸物流企业过于分散，</w:t>
      </w:r>
      <w:r>
        <w:rPr>
          <w:rFonts w:hint="default" w:ascii="Times New Roman" w:hAnsi="Times New Roman" w:eastAsia="仿宋_GB2312" w:cs="Times New Roman"/>
          <w:smallCaps/>
          <w:color w:val="000000" w:themeColor="text1"/>
          <w:sz w:val="32"/>
          <w:szCs w:val="32"/>
          <w14:textFill>
            <w14:solidFill>
              <w14:schemeClr w14:val="tx1"/>
            </w14:solidFill>
          </w14:textFill>
        </w:rPr>
        <w:t>综合配套有待完善，</w:t>
      </w:r>
      <w:r>
        <w:rPr>
          <w:rFonts w:hint="default" w:ascii="Times New Roman" w:hAnsi="Times New Roman" w:eastAsia="仿宋_GB2312" w:cs="Times New Roman"/>
          <w:color w:val="000000" w:themeColor="text1"/>
          <w:sz w:val="32"/>
          <w:szCs w:val="32"/>
          <w14:textFill>
            <w14:solidFill>
              <w14:schemeClr w14:val="tx1"/>
            </w14:solidFill>
          </w14:textFill>
        </w:rPr>
        <w:t>运输成本仍然较高。</w:t>
      </w:r>
    </w:p>
    <w:p w14:paraId="6223F3FF">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33" w:name="_Toc83296378"/>
      <w:bookmarkStart w:id="34" w:name="_Toc5125"/>
      <w:bookmarkStart w:id="35" w:name="_Toc18541"/>
      <w:r>
        <w:rPr>
          <w:rFonts w:hint="default" w:ascii="Times New Roman" w:hAnsi="Times New Roman" w:eastAsia="黑体" w:cs="Times New Roman"/>
          <w:b w:val="0"/>
          <w:bCs w:val="0"/>
          <w:color w:val="000000" w:themeColor="text1"/>
          <w14:textFill>
            <w14:solidFill>
              <w14:schemeClr w14:val="tx1"/>
            </w14:solidFill>
          </w14:textFill>
        </w:rPr>
        <w:t>二、面临的环境</w:t>
      </w:r>
      <w:bookmarkEnd w:id="33"/>
      <w:bookmarkEnd w:id="34"/>
      <w:bookmarkEnd w:id="35"/>
    </w:p>
    <w:p w14:paraId="35D5BCDB">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“十四五”时期，全球经济格局深度调整，我国开启全面建设</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社会主义</w:t>
      </w:r>
      <w:r>
        <w:rPr>
          <w:rFonts w:hint="default" w:ascii="Times New Roman" w:hAnsi="Times New Roman" w:eastAsia="仿宋_GB2312" w:cs="Times New Roman"/>
          <w:color w:val="000000" w:themeColor="text1"/>
          <w:kern w:val="0"/>
          <w:sz w:val="32"/>
          <w:szCs w:val="32"/>
          <w14:textFill>
            <w14:solidFill>
              <w14:schemeClr w14:val="tx1"/>
            </w14:solidFill>
          </w14:textFill>
        </w:rPr>
        <w:t>现代化国家新征程，服务业发展面临诸多新机遇，同时存在不少新挑战。</w:t>
      </w:r>
      <w:bookmarkStart w:id="268" w:name="_GoBack"/>
      <w:bookmarkEnd w:id="268"/>
    </w:p>
    <w:p w14:paraId="0B02471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6" w:name="_Toc83296379"/>
      <w:bookmarkStart w:id="37" w:name="_Toc28880"/>
      <w:bookmarkStart w:id="38" w:name="_Toc20195"/>
      <w:r>
        <w:rPr>
          <w:rFonts w:hint="default" w:ascii="Times New Roman" w:hAnsi="Times New Roman" w:eastAsia="楷体_GB2312" w:cs="Times New Roman"/>
          <w:color w:val="000000" w:themeColor="text1"/>
          <w14:textFill>
            <w14:solidFill>
              <w14:schemeClr w14:val="tx1"/>
            </w14:solidFill>
          </w14:textFill>
        </w:rPr>
        <w:t>（一）人民对美好生活不断增长的需要为服务业发展注入了新动力</w:t>
      </w:r>
      <w:bookmarkEnd w:id="36"/>
      <w:bookmarkEnd w:id="37"/>
      <w:bookmarkEnd w:id="38"/>
    </w:p>
    <w:p w14:paraId="67C367D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bookmarkStart w:id="39" w:name="_Toc83296229"/>
      <w:r>
        <w:rPr>
          <w:rFonts w:hint="default" w:ascii="Times New Roman" w:hAnsi="Times New Roman" w:eastAsia="仿宋_GB2312" w:cs="Times New Roman"/>
          <w:smallCaps/>
          <w:color w:val="000000" w:themeColor="text1"/>
          <w:sz w:val="32"/>
          <w:szCs w:val="32"/>
          <w14:textFill>
            <w14:solidFill>
              <w14:schemeClr w14:val="tx1"/>
            </w14:solidFill>
          </w14:textFill>
        </w:rPr>
        <w:t>不断满足人民对美好生活的需要和向往，是我们党治国理政的出发点和落脚点。随着我国居民收入水平和消费能力日益提升，绿色环保、讲求质量品质、注重文化内涵的生活消费理念快速发展，消费结构不断升级，同时随着碳达峰碳中和约束不断加紧，加快构建服务业为主体的接续替代产业势在必须，这为濉溪县发展文化旅游、体育、健康养老、居民服务、娱乐和其他服务业等迎来了新需求、注入了新动力。</w:t>
      </w:r>
      <w:bookmarkEnd w:id="39"/>
    </w:p>
    <w:p w14:paraId="0E43391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0" w:name="_Toc27619"/>
      <w:bookmarkStart w:id="41" w:name="_Toc7784"/>
      <w:bookmarkStart w:id="42" w:name="_Toc83296380"/>
      <w:r>
        <w:rPr>
          <w:rFonts w:hint="default" w:ascii="Times New Roman" w:hAnsi="Times New Roman" w:eastAsia="楷体_GB2312" w:cs="Times New Roman"/>
          <w:color w:val="000000" w:themeColor="text1"/>
          <w14:textFill>
            <w14:solidFill>
              <w14:schemeClr w14:val="tx1"/>
            </w14:solidFill>
          </w14:textFill>
        </w:rPr>
        <w:t>（二）国家战略叠加为服务业发展提供了新契机</w:t>
      </w:r>
      <w:bookmarkEnd w:id="40"/>
      <w:bookmarkEnd w:id="41"/>
      <w:bookmarkEnd w:id="42"/>
    </w:p>
    <w:p w14:paraId="7B63FC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国家正在实施“一带一路”、长三角一体化、淮河生态经济带、中原经济区、淮海经济圈等区域发展战略，同时国家加快推进大运河国家文化公园建设，安徽省正在实施皖北振兴发展战略、加快建设皖北承接产业转移集聚区、全力打造皖北“6+2+N”产业承接平台，因此，濉溪县处于国家和省众多重大发展战略的叠加区域，接受各项政策和发展战略辐射，为濉溪县“十四五”时期发挥资源优势、区位优势、城镇化后发优势，培育壮大现代服务业提供了新契机，对濉溪县构建在以国内大循环为主体、国内国际双循环相互促进的新发展格局中展现较大作为具有重要意义。</w:t>
      </w:r>
    </w:p>
    <w:p w14:paraId="3AE05D7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3" w:name="_Toc4650"/>
      <w:bookmarkStart w:id="44" w:name="_Toc83296381"/>
      <w:bookmarkStart w:id="45" w:name="_Toc9707"/>
      <w:r>
        <w:rPr>
          <w:rFonts w:hint="default" w:ascii="Times New Roman" w:hAnsi="Times New Roman" w:eastAsia="楷体_GB2312" w:cs="Times New Roman"/>
          <w:color w:val="000000" w:themeColor="text1"/>
          <w14:textFill>
            <w14:solidFill>
              <w14:schemeClr w14:val="tx1"/>
            </w14:solidFill>
          </w14:textFill>
        </w:rPr>
        <w:t>（三）立体交通网为服务业发展打造了新通道</w:t>
      </w:r>
      <w:bookmarkEnd w:id="43"/>
      <w:bookmarkEnd w:id="44"/>
      <w:bookmarkEnd w:id="45"/>
    </w:p>
    <w:p w14:paraId="671777C4">
      <w:pPr>
        <w:spacing w:line="560" w:lineRule="exact"/>
        <w:ind w:firstLine="616" w:firstLineChars="200"/>
        <w:rPr>
          <w:rFonts w:ascii="Times New Roman" w:hAnsi="Times New Roman" w:eastAsia="仿宋_GB2312" w:cs="Times New Roman"/>
          <w:smallCaps/>
          <w:color w:val="000000" w:themeColor="text1"/>
          <w:spacing w:val="-6"/>
          <w:sz w:val="32"/>
          <w:szCs w:val="32"/>
          <w14:textFill>
            <w14:solidFill>
              <w14:schemeClr w14:val="tx1"/>
            </w14:solidFill>
          </w14:textFill>
        </w:rPr>
      </w:pPr>
      <w:r>
        <w:rPr>
          <w:rFonts w:hint="default" w:ascii="Times New Roman" w:hAnsi="Times New Roman" w:eastAsia="仿宋_GB2312" w:cs="Times New Roman"/>
          <w:smallCaps/>
          <w:color w:val="000000" w:themeColor="text1"/>
          <w:spacing w:val="-6"/>
          <w:sz w:val="32"/>
          <w:szCs w:val="32"/>
          <w14:textFill>
            <w14:solidFill>
              <w14:schemeClr w14:val="tx1"/>
            </w14:solidFill>
          </w14:textFill>
        </w:rPr>
        <w:t>淮宿蚌城际铁路、淮阜城际铁路、三洋铁路、徐淮阜高速、宿蒙高速、淮永高速等重要区域交通工程项目正加快建设，高铁淮北西站、高铁双堆集站及濉溪通用机场等重大枢纽工程正在建设或加快布局，浍河、沱河等水运航道提升，濉溪将实现等高对接长三角及合肥、徐州都市圈交通网，无缝对接宿州、蚌埠、亳州等周边地区，立体交通网逐渐完善，人流、物流、信息流大通道不断畅通，区位交通优势愈加显现。</w:t>
      </w:r>
    </w:p>
    <w:p w14:paraId="2E83718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6" w:name="_Toc10229"/>
      <w:bookmarkStart w:id="47" w:name="_Toc7725"/>
      <w:bookmarkStart w:id="48" w:name="_Toc83296382"/>
      <w:r>
        <w:rPr>
          <w:rFonts w:hint="default" w:ascii="Times New Roman" w:hAnsi="Times New Roman" w:eastAsia="楷体_GB2312" w:cs="Times New Roman"/>
          <w:color w:val="000000" w:themeColor="text1"/>
          <w14:textFill>
            <w14:solidFill>
              <w14:schemeClr w14:val="tx1"/>
            </w14:solidFill>
          </w14:textFill>
        </w:rPr>
        <w:t>（四）新型城镇化为服务业发展开辟了新空间</w:t>
      </w:r>
      <w:bookmarkEnd w:id="46"/>
      <w:bookmarkEnd w:id="47"/>
      <w:bookmarkEnd w:id="48"/>
    </w:p>
    <w:p w14:paraId="572AB9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服务业发展水平与城镇化程度密切相关，2020年濉溪县常住人口城镇化率为45%，与全省和全市的平均值差距较大。按照《濉溪县城市总体规划（2013-2030》提出城市规划区构筑“一城两区、三轴三心、一湖五廊”的一体化空间发展格局，城市发展 “南进西扩”。随着河西商务区、濉溪经开区和濉芜现代产业园区、南部次中心等片区的建设以及濉溪城际铁路站等一批重大基础设施建设，进一步扩大城市商圈辐射范围，各镇</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聚焦自身特色优势，大力吸纳多方资源，实施多元发展，逐步形成临涣古镇、百善运河</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文化</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微型产业集聚区、韩村三彩</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文旅</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微型产业集聚区、四铺菊花微型产业集聚区等特色镇区发展趋势。濉溪县新型城镇化空间很大，城镇化后发机遇和</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挑战</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，为服务业发展开辟了</w:t>
      </w:r>
      <w:r>
        <w:rPr>
          <w:rFonts w:hint="default" w:ascii="Times New Roman" w:hAnsi="Times New Roman" w:eastAsia="仿宋_GB2312" w:cs="Times New Roman"/>
          <w:smallCaps/>
          <w:color w:val="000000" w:themeColor="text1"/>
          <w:sz w:val="32"/>
          <w:szCs w:val="32"/>
          <w14:textFill>
            <w14:solidFill>
              <w14:schemeClr w14:val="tx1"/>
            </w14:solidFill>
          </w14:textFill>
        </w:rPr>
        <w:t>新空间。</w:t>
      </w:r>
    </w:p>
    <w:p w14:paraId="2296DF4D">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9" w:name="_Toc83296383"/>
      <w:bookmarkStart w:id="50" w:name="_Toc30218"/>
      <w:bookmarkStart w:id="51" w:name="_Toc8013"/>
      <w:r>
        <w:rPr>
          <w:rFonts w:hint="default" w:ascii="Times New Roman" w:hAnsi="Times New Roman" w:eastAsia="楷体_GB2312" w:cs="Times New Roman"/>
          <w:color w:val="000000" w:themeColor="text1"/>
          <w14:textFill>
            <w14:solidFill>
              <w14:schemeClr w14:val="tx1"/>
            </w14:solidFill>
          </w14:textFill>
        </w:rPr>
        <w:t>（五）数字化为服务业发展激发了新活力</w:t>
      </w:r>
      <w:bookmarkEnd w:id="49"/>
      <w:bookmarkEnd w:id="50"/>
      <w:bookmarkEnd w:id="51"/>
    </w:p>
    <w:p w14:paraId="1CD0F65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大力推进数字产业化和产业数字化，让数字为实体经济赋能，使数字经济成为全县经济新的增长点。实施“皖企登云”提质扩面行动，支持建设数字车间、智能工厂、创新应用试验场、场景实验室，实现产业数字化。推进政务数据和经济数据、社会数据资源归集整合、开放共享，加强数字社会、数字政府建设，推动安康码更多场景应用，提升公共服务、社会治理等数字化、智能化水平，为濉溪县服务业发展激发了新活力。</w:t>
      </w:r>
    </w:p>
    <w:p w14:paraId="33A8F705">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濉溪县在“十四五”时期，面对外部环境和自身条件的变化，服务业发展机遇大于挑战，处于“跨越发展、弯道超车”的关键时期,发展潜力巨大。迫切需要抓住机遇，主动迎接挑战，巩固发挥服务经济在国民经济和社会发展中的主体作用，全面提升服务业的整体质量和能级水平。</w:t>
      </w:r>
    </w:p>
    <w:p w14:paraId="0EE4DA4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00DADF81">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D1593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078C93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6C59052">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4CC7D5CC">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918DB56">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21444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91FC2EF">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52" w:name="_Toc83296384"/>
      <w:bookmarkStart w:id="53" w:name="_Toc11083"/>
      <w:bookmarkStart w:id="54" w:name="_Toc20854"/>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第二章  指导思想和发展目标</w:t>
      </w:r>
      <w:bookmarkEnd w:id="52"/>
      <w:bookmarkEnd w:id="53"/>
      <w:bookmarkEnd w:id="54"/>
    </w:p>
    <w:p w14:paraId="0AD7C9DD">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sz w:val="32"/>
          <w:szCs w:val="32"/>
          <w14:textFill>
            <w14:solidFill>
              <w14:schemeClr w14:val="tx1"/>
            </w14:solidFill>
          </w14:textFill>
        </w:rPr>
      </w:pPr>
      <w:bookmarkStart w:id="55" w:name="_Toc7347"/>
      <w:bookmarkStart w:id="56" w:name="_Toc83296385"/>
    </w:p>
    <w:p w14:paraId="3676D0F3">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7" w:name="_Toc26459"/>
      <w:r>
        <w:rPr>
          <w:rFonts w:hint="default" w:ascii="Times New Roman" w:hAnsi="Times New Roman" w:eastAsia="黑体" w:cs="Times New Roman"/>
          <w:b w:val="0"/>
          <w:bCs w:val="0"/>
          <w:color w:val="000000" w:themeColor="text1"/>
          <w14:textFill>
            <w14:solidFill>
              <w14:schemeClr w14:val="tx1"/>
            </w14:solidFill>
          </w14:textFill>
        </w:rPr>
        <w:t>一、指导思想</w:t>
      </w:r>
      <w:bookmarkEnd w:id="55"/>
      <w:bookmarkEnd w:id="56"/>
      <w:bookmarkEnd w:id="57"/>
    </w:p>
    <w:p w14:paraId="13A2D015">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以习近平新时代中国特色社会主义思想为指导，全面贯彻落实党的十九大、十九届历次全会精神和习近平总书记考察安徽重要讲话指示精神，立足新发展阶段、贯彻新发展理念、构建新发展格局，营造服务业发展的良好环境，着力发展服务业的新模式、新业态、新技术，坚持扩大规模和提升质量并重，坚持培育发展新兴服务业和改造升级传统服务业并行，推动生产性服务业向专业化和价值链高端延伸，推动生活性服务业向高品质和多样化升级，补齐</w:t>
      </w:r>
      <w:r>
        <w:rPr>
          <w:rFonts w:hint="default" w:ascii="Times New Roman" w:hAnsi="Times New Roman" w:eastAsia="仿宋_GB2312" w:cs="Times New Roman"/>
          <w:color w:val="000000" w:themeColor="text1"/>
          <w:spacing w:val="6"/>
          <w:sz w:val="32"/>
          <w:szCs w:val="32"/>
          <w14:textFill>
            <w14:solidFill>
              <w14:schemeClr w14:val="tx1"/>
            </w14:solidFill>
          </w14:textFill>
        </w:rPr>
        <w:t>服务业发展短板，</w:t>
      </w:r>
      <w:r>
        <w:rPr>
          <w:rFonts w:hint="default" w:ascii="Times New Roman" w:hAnsi="Times New Roman" w:eastAsia="仿宋_GB2312" w:cs="Times New Roman"/>
          <w:smallCaps/>
          <w:color w:val="000000" w:themeColor="text1"/>
          <w:sz w:val="32"/>
          <w:szCs w:val="32"/>
          <w14:textFill>
            <w14:solidFill>
              <w14:schemeClr w14:val="tx1"/>
            </w14:solidFill>
          </w14:textFill>
        </w:rPr>
        <w:t>推进全县经济结构由“二三一”向“三二一”转变，奋力走在皖北振兴前列，冲刺全国百强县方阵，成为带动皖北、辐射鲁苏豫的区域性综合性服务中心。</w:t>
      </w:r>
    </w:p>
    <w:p w14:paraId="46BEFE4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8" w:name="_Toc83296386"/>
      <w:bookmarkStart w:id="59" w:name="_Toc31139"/>
      <w:bookmarkStart w:id="60" w:name="_Toc1538"/>
      <w:r>
        <w:rPr>
          <w:rFonts w:hint="default" w:ascii="Times New Roman" w:hAnsi="Times New Roman" w:eastAsia="黑体" w:cs="Times New Roman"/>
          <w:b w:val="0"/>
          <w:bCs w:val="0"/>
          <w:color w:val="000000" w:themeColor="text1"/>
          <w14:textFill>
            <w14:solidFill>
              <w14:schemeClr w14:val="tx1"/>
            </w14:solidFill>
          </w14:textFill>
        </w:rPr>
        <w:t>二、发展原则</w:t>
      </w:r>
      <w:bookmarkEnd w:id="58"/>
      <w:bookmarkEnd w:id="59"/>
      <w:bookmarkEnd w:id="60"/>
    </w:p>
    <w:p w14:paraId="11224E5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1.坚持以人为本。</w:t>
      </w:r>
      <w:r>
        <w:rPr>
          <w:rFonts w:hint="default" w:ascii="Times New Roman" w:hAnsi="Times New Roman" w:eastAsia="仿宋_GB2312" w:cs="Times New Roman"/>
          <w:smallCaps/>
          <w:color w:val="000000" w:themeColor="text1"/>
          <w:sz w:val="32"/>
          <w:szCs w:val="32"/>
          <w14:textFill>
            <w14:solidFill>
              <w14:schemeClr w14:val="tx1"/>
            </w14:solidFill>
          </w14:textFill>
        </w:rPr>
        <w:t>以更多更好满足人民多层次多样化服务需求为导向，优先补足基本公共服务短板，着力增强非基本公共服务市场化供给能力，积极推进消费扩容升级，全面增强城乡人文品质、公共服务品质、生态环境品质。</w:t>
      </w:r>
    </w:p>
    <w:p w14:paraId="32CF2915">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2.坚持改革创新。</w:t>
      </w:r>
      <w:r>
        <w:rPr>
          <w:rFonts w:hint="default" w:ascii="Times New Roman" w:hAnsi="Times New Roman" w:eastAsia="仿宋_GB2312" w:cs="Times New Roman"/>
          <w:smallCaps/>
          <w:color w:val="000000" w:themeColor="text1"/>
          <w:sz w:val="32"/>
          <w:szCs w:val="32"/>
          <w14:textFill>
            <w14:solidFill>
              <w14:schemeClr w14:val="tx1"/>
            </w14:solidFill>
          </w14:textFill>
        </w:rPr>
        <w:t>推动服务业重点领域改革，分类放宽服务业准入限制，扩大服务业对外开放，创新服务业监督管理，着力破除制约服务业发展的体制机制障碍，最大限度激发市场活力。</w:t>
      </w:r>
    </w:p>
    <w:p w14:paraId="46C1C627">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3.坚持协调发展。</w:t>
      </w:r>
      <w:r>
        <w:rPr>
          <w:rFonts w:hint="default" w:ascii="Times New Roman" w:hAnsi="Times New Roman" w:eastAsia="仿宋_GB2312" w:cs="Times New Roman"/>
          <w:smallCaps/>
          <w:color w:val="000000" w:themeColor="text1"/>
          <w:sz w:val="32"/>
          <w:szCs w:val="32"/>
          <w14:textFill>
            <w14:solidFill>
              <w14:schemeClr w14:val="tx1"/>
            </w14:solidFill>
          </w14:textFill>
        </w:rPr>
        <w:t>坚持发展新兴服务业和强化传统服务业相结合协调发展，抓住服务经济转型创新发展的新机遇，运用5G、人工智能、大数据、云计算等新一代信息技术，积极培育服务业新业态、新模式，大力发展新兴服务业；同时运用现代服务技术和经营方式改造提升传统服务业，促进传统服务业转型升级。</w:t>
      </w:r>
    </w:p>
    <w:p w14:paraId="08B2DC0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4.坚持系统集成。</w:t>
      </w:r>
      <w:r>
        <w:rPr>
          <w:rFonts w:hint="default" w:ascii="Times New Roman" w:hAnsi="Times New Roman" w:eastAsia="仿宋_GB2312" w:cs="Times New Roman"/>
          <w:smallCaps/>
          <w:color w:val="000000" w:themeColor="text1"/>
          <w:sz w:val="32"/>
          <w:szCs w:val="32"/>
          <w14:textFill>
            <w14:solidFill>
              <w14:schemeClr w14:val="tx1"/>
            </w14:solidFill>
          </w14:textFill>
        </w:rPr>
        <w:t>全局性谋划服务业发展，深化现代服务业同先进制造业、现代农业等深度融合，突出服务业对全县产业链供应链的基础配套和提升带动作用，实现跨行业资源要素的优化配置、系统集成和高效发展。坚持数字赋能，立足数字技术推进服务业态模式创新，拓展服务业数字化场景应用，突破服务业数字化发展重点行业、创新平台、关键领域，构建新时代服务业数字创新发展新体系。推进服务业标准化和品牌化建设。</w:t>
      </w:r>
    </w:p>
    <w:p w14:paraId="77ECC58C">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5.坚持市场主导。</w:t>
      </w:r>
      <w:r>
        <w:rPr>
          <w:rFonts w:hint="default" w:ascii="Times New Roman" w:hAnsi="Times New Roman" w:eastAsia="仿宋_GB2312" w:cs="Times New Roman"/>
          <w:smallCaps/>
          <w:color w:val="000000" w:themeColor="text1"/>
          <w:sz w:val="32"/>
          <w:szCs w:val="32"/>
          <w14:textFill>
            <w14:solidFill>
              <w14:schemeClr w14:val="tx1"/>
            </w14:solidFill>
          </w14:textFill>
        </w:rPr>
        <w:t>坚持市场机制主导与政府政策引导相结合，发挥市场配置资源决定性作用，同时注重发挥政府在规划、产业政策等方面的引导作用，实现区域联动，促进服务业拓宽领域、增强功能、优化结构。充分发挥服务业企业的主体作用，注重发挥龙头企业带动作用。</w:t>
      </w:r>
    </w:p>
    <w:p w14:paraId="5ABD4C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1" w:name="_Toc22645"/>
      <w:bookmarkStart w:id="62" w:name="_Toc83296387"/>
      <w:bookmarkStart w:id="63" w:name="_Toc8597"/>
      <w:r>
        <w:rPr>
          <w:rFonts w:hint="default" w:ascii="Times New Roman" w:hAnsi="Times New Roman" w:eastAsia="黑体" w:cs="Times New Roman"/>
          <w:b w:val="0"/>
          <w:bCs w:val="0"/>
          <w:color w:val="000000" w:themeColor="text1"/>
          <w14:textFill>
            <w14:solidFill>
              <w14:schemeClr w14:val="tx1"/>
            </w14:solidFill>
          </w14:textFill>
        </w:rPr>
        <w:t>三、发展定位</w:t>
      </w:r>
      <w:bookmarkEnd w:id="61"/>
      <w:bookmarkEnd w:id="62"/>
      <w:bookmarkEnd w:id="63"/>
    </w:p>
    <w:p w14:paraId="67868000">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立足“十三五”期间服务业发展基础，紧紧围绕《濉溪县国民经济和社会发展第十四个五年规划和2035年远景目标纲要》目标要求，全力推动服务业发展，在构建新的发展格局中展现较大作为，在调整优化全县经济结构中发挥生力军作用。</w:t>
      </w:r>
    </w:p>
    <w:p w14:paraId="7D1B1F1B">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1.建设带动皖北发展的区域综合性服务中心。</w:t>
      </w:r>
      <w:r>
        <w:rPr>
          <w:rFonts w:hint="default" w:ascii="Times New Roman" w:hAnsi="Times New Roman" w:eastAsia="仿宋_GB2312" w:cs="Times New Roman"/>
          <w:color w:val="000000" w:themeColor="text1"/>
          <w:sz w:val="32"/>
          <w:szCs w:val="32"/>
          <w14:textFill>
            <w14:solidFill>
              <w14:schemeClr w14:val="tx1"/>
            </w14:solidFill>
          </w14:textFill>
        </w:rPr>
        <w:t>濉溪县是中原经济区、淮海经济区和徐州经济圈重要县域，区位优势明显，覆盖人数众多，但是全县服务业短板明显。生产性服务业主要集中于传统性的</w:t>
      </w:r>
      <w:r>
        <w:rPr>
          <w:rFonts w:hint="default" w:ascii="Times New Roman" w:hAnsi="Times New Roman" w:eastAsia="仿宋_GB2312" w:cs="Times New Roman"/>
          <w:smallCaps/>
          <w:color w:val="000000" w:themeColor="text1"/>
          <w:sz w:val="32"/>
          <w:szCs w:val="32"/>
          <w14:textFill>
            <w14:solidFill>
              <w14:schemeClr w14:val="tx1"/>
            </w14:solidFill>
          </w14:textFill>
        </w:rPr>
        <w:t>租赁商务服务业，而信息传输软件技术、咨询、科学技术、金融等现代服务业较少，研发、设计、电子商务、文化创意等领域多数依然空白</w:t>
      </w:r>
      <w:r>
        <w:rPr>
          <w:rFonts w:hint="default" w:ascii="Times New Roman" w:hAnsi="Times New Roman" w:eastAsia="仿宋_GB2312" w:cs="Times New Roman"/>
          <w:color w:val="000000" w:themeColor="text1"/>
          <w:sz w:val="32"/>
          <w:szCs w:val="32"/>
          <w14:textFill>
            <w14:solidFill>
              <w14:schemeClr w14:val="tx1"/>
            </w14:solidFill>
          </w14:textFill>
        </w:rPr>
        <w:t>。生活服务业缺少综合体、大型酒店等支撑。“十四五”时期，着力瞄准主导产业发展生产性服务业，促进现代服务业与先进制造业、现代农业等融合发展；积极推进相濉一体化，加大濉溪老城改造力度，发展生活性服务业，形成一批产业集聚、特色鲜明、功能完善的现代服务业发展集聚区，打造成带动皖北发展的区域性综合性服务中心。</w:t>
      </w:r>
    </w:p>
    <w:p w14:paraId="413CF2C5">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2.打造长三角绿色农产品供应平台。</w:t>
      </w:r>
      <w:r>
        <w:rPr>
          <w:rFonts w:hint="default" w:ascii="Times New Roman" w:hAnsi="Times New Roman" w:eastAsia="仿宋_GB2312" w:cs="Times New Roman"/>
          <w:color w:val="000000" w:themeColor="text1"/>
          <w:sz w:val="32"/>
          <w:szCs w:val="32"/>
          <w14:textFill>
            <w14:solidFill>
              <w14:schemeClr w14:val="tx1"/>
            </w14:solidFill>
          </w14:textFill>
        </w:rPr>
        <w:t>深入落实《长江三角洲区域一体化发展规划纲要》和《安徽省实施长江三角洲区域一体化发展规划纲要行动计划》，依托濉溪县蔬菜、富硒黑花生、阳光玫瑰葡萄、红心火龙果、高品质桃种等绿色农产品优势资源、产业优势和便捷的交通体系，及冷链仓储、冷链物流和直销配送等物流体系，对接沪苏浙电商企业、连锁超市等，高起点建设长三角绿色农产品生产、加工、供应基地，着力打造长三角绿色农产品物流供应平台，共建长三角三小时鲜活农产品物流圈。</w:t>
      </w:r>
    </w:p>
    <w:p w14:paraId="7CC4A96A">
      <w:pPr>
        <w:widowControl w:val="0"/>
        <w:shd w:val="clear" w:color="auto" w:fill="FFFFFF"/>
        <w:spacing w:line="560" w:lineRule="exact"/>
        <w:ind w:firstLine="643"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3.建成皖北乃至中原经济区和淮海经济区具有较高知名度的休闲旅游目的地。</w:t>
      </w:r>
      <w:r>
        <w:rPr>
          <w:rFonts w:hint="default" w:ascii="Times New Roman" w:hAnsi="Times New Roman" w:eastAsia="仿宋_GB2312" w:cs="Times New Roman"/>
          <w:color w:val="000000" w:themeColor="text1"/>
          <w:sz w:val="32"/>
          <w:szCs w:val="32"/>
          <w14:textFill>
            <w14:solidFill>
              <w14:schemeClr w14:val="tx1"/>
            </w14:solidFill>
          </w14:textFill>
        </w:rPr>
        <w:t>深挖资源优势，</w:t>
      </w:r>
      <w:r>
        <w:rPr>
          <w:rFonts w:hint="default" w:ascii="Times New Roman" w:hAnsi="Times New Roman" w:eastAsia="仿宋_GB2312" w:cs="Times New Roman"/>
          <w:smallCaps/>
          <w:color w:val="000000" w:themeColor="text1"/>
          <w:sz w:val="32"/>
          <w:szCs w:val="32"/>
          <w14:textFill>
            <w14:solidFill>
              <w14:schemeClr w14:val="tx1"/>
            </w14:solidFill>
          </w14:textFill>
        </w:rPr>
        <w:t>做靓濉溪旅游品牌，大力发展红色旅游、乡村旅游、文化旅游、休闲度假、工业旅游等特色旅游，打造多条贯通全域主题旅游线路，着力打造“运河文化、古镇文化、红色文化、酿酒文化”，</w:t>
      </w:r>
      <w:r>
        <w:rPr>
          <w:rFonts w:hint="default" w:ascii="Times New Roman" w:hAnsi="Times New Roman" w:eastAsia="仿宋_GB2312" w:cs="Times New Roman"/>
          <w:color w:val="000000" w:themeColor="text1"/>
          <w:sz w:val="32"/>
          <w:szCs w:val="32"/>
          <w14:textFill>
            <w14:solidFill>
              <w14:schemeClr w14:val="tx1"/>
            </w14:solidFill>
          </w14:textFill>
        </w:rPr>
        <w:t>大力发展特色餐饮和旅游，加快老城改造、新城完善、新区建设</w:t>
      </w:r>
      <w:r>
        <w:rPr>
          <w:rFonts w:hint="default" w:ascii="Times New Roman" w:hAnsi="Times New Roman" w:eastAsia="仿宋_GB2312" w:cs="Times New Roman"/>
          <w:smallCap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绘就</w:t>
      </w:r>
      <w:r>
        <w:rPr>
          <w:rFonts w:hint="default" w:ascii="Times New Roman" w:hAnsi="Times New Roman" w:eastAsia="仿宋_GB2312" w:cs="Times New Roman"/>
          <w:smallCaps/>
          <w:color w:val="000000" w:themeColor="text1"/>
          <w:sz w:val="32"/>
          <w:szCs w:val="32"/>
          <w14:textFill>
            <w14:solidFill>
              <w14:schemeClr w14:val="tx1"/>
            </w14:solidFill>
          </w14:textFill>
        </w:rPr>
        <w:t>濉溪</w:t>
      </w:r>
      <w:r>
        <w:rPr>
          <w:rFonts w:hint="default" w:ascii="Times New Roman" w:hAnsi="Times New Roman" w:eastAsia="仿宋_GB2312" w:cs="Times New Roman"/>
          <w:color w:val="000000" w:themeColor="text1"/>
          <w:sz w:val="32"/>
          <w:szCs w:val="32"/>
          <w14:textFill>
            <w14:solidFill>
              <w14:schemeClr w14:val="tx1"/>
            </w14:solidFill>
          </w14:textFill>
        </w:rPr>
        <w:t>全域旅游发展美丽新画卷。</w:t>
      </w:r>
    </w:p>
    <w:p w14:paraId="580B0CF9">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4" w:name="_Toc8488"/>
      <w:bookmarkStart w:id="65" w:name="_Toc83296388"/>
      <w:bookmarkStart w:id="66" w:name="_Toc15693"/>
      <w:r>
        <w:rPr>
          <w:rFonts w:hint="default" w:ascii="Times New Roman" w:hAnsi="Times New Roman" w:eastAsia="黑体" w:cs="Times New Roman"/>
          <w:b w:val="0"/>
          <w:bCs w:val="0"/>
          <w:color w:val="000000" w:themeColor="text1"/>
          <w14:textFill>
            <w14:solidFill>
              <w14:schemeClr w14:val="tx1"/>
            </w14:solidFill>
          </w14:textFill>
        </w:rPr>
        <w:t>四、发展目标</w:t>
      </w:r>
      <w:bookmarkEnd w:id="64"/>
      <w:bookmarkEnd w:id="65"/>
      <w:bookmarkEnd w:id="66"/>
    </w:p>
    <w:p w14:paraId="7015467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67" w:name="_Toc21162"/>
      <w:bookmarkStart w:id="68" w:name="_Toc71708619"/>
      <w:r>
        <w:rPr>
          <w:rFonts w:hint="default" w:ascii="Times New Roman" w:hAnsi="Times New Roman" w:eastAsia="仿宋_GB2312" w:cs="Times New Roman"/>
          <w:color w:val="000000" w:themeColor="text1"/>
          <w:sz w:val="32"/>
          <w:szCs w:val="32"/>
          <w14:textFill>
            <w14:solidFill>
              <w14:schemeClr w14:val="tx1"/>
            </w14:solidFill>
          </w14:textFill>
        </w:rPr>
        <w:t>围绕濉溪县“十四五”规划纲要确定的总体发展目标，瞄准补齐服务业发展短板，到“十四五”末，濉溪县形成一批优势服务产业，传统服务业加快转型，新兴服务业加快培育，现代服务业与现代农业、先进制造业深度融合，产业结构明显优化，空间布局显著优化，市场主体竞争力明显增强，产业结构趋向合理化和高级化，服务业整体水准进一步提高，总量规模显著增大，实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产业结构</w:t>
      </w:r>
      <w:r>
        <w:rPr>
          <w:rFonts w:hint="default" w:ascii="Times New Roman" w:hAnsi="Times New Roman" w:eastAsia="仿宋_GB2312" w:cs="Times New Roman"/>
          <w:color w:val="000000" w:themeColor="text1"/>
          <w:sz w:val="32"/>
          <w:szCs w:val="32"/>
          <w14:textFill>
            <w14:solidFill>
              <w14:schemeClr w14:val="tx1"/>
            </w14:solidFill>
          </w14:textFill>
        </w:rPr>
        <w:t>由“二三一”向“三二一”的转变，逐步建立起能满足社会需求升级要求、体现资源型城市特征的特色明显、结构合理、功能完善的现代服务业体系，服务长三角一体化能力显著增强，成为全县新的经济增长点，濉溪县成为带动皖北发展的区域性综合性服务中心。</w:t>
      </w:r>
      <w:bookmarkEnd w:id="67"/>
      <w:bookmarkEnd w:id="68"/>
    </w:p>
    <w:p w14:paraId="5DAD50E5">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60995777"/>
      <w:r>
        <w:rPr>
          <w:rFonts w:hint="default" w:ascii="Times New Roman" w:hAnsi="Times New Roman" w:eastAsia="楷体_GB2312" w:cs="Times New Roman"/>
          <w:b/>
          <w:color w:val="000000" w:themeColor="text1"/>
          <w:sz w:val="32"/>
          <w:szCs w:val="32"/>
          <w14:textFill>
            <w14:solidFill>
              <w14:schemeClr w14:val="tx1"/>
            </w14:solidFill>
          </w14:textFill>
        </w:rPr>
        <w:t>服务业发展贡献</w:t>
      </w:r>
      <w:bookmarkEnd w:id="69"/>
      <w:r>
        <w:rPr>
          <w:rFonts w:hint="default" w:ascii="Times New Roman" w:hAnsi="Times New Roman" w:eastAsia="楷体_GB2312" w:cs="Times New Roman"/>
          <w:b/>
          <w:color w:val="000000" w:themeColor="text1"/>
          <w:sz w:val="32"/>
          <w:szCs w:val="32"/>
          <w14:textFill>
            <w14:solidFill>
              <w14:schemeClr w14:val="tx1"/>
            </w14:solidFill>
          </w14:textFill>
        </w:rPr>
        <w:t>不断增强。</w:t>
      </w:r>
      <w:r>
        <w:rPr>
          <w:rFonts w:hint="default" w:ascii="Times New Roman" w:hAnsi="Times New Roman" w:eastAsia="仿宋_GB2312" w:cs="Times New Roman"/>
          <w:color w:val="000000" w:themeColor="text1"/>
          <w:sz w:val="32"/>
          <w:szCs w:val="32"/>
          <w14:textFill>
            <w14:solidFill>
              <w14:schemeClr w14:val="tx1"/>
            </w14:solidFill>
          </w14:textFill>
        </w:rPr>
        <w:t>服务业对经济发展、民生改善、社会进步的贡献进一步增强。到2025年，第三产服务业增加值超过400亿元，占比稳步提高到5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14:textFill>
            <w14:solidFill>
              <w14:schemeClr w14:val="tx1"/>
            </w14:solidFill>
          </w14:textFill>
        </w:rPr>
        <w:t>，就业人口占全社会就业人口比重提高到5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%以上。</w:t>
      </w:r>
    </w:p>
    <w:p w14:paraId="344CAF42">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服务业内部结构更趋优化。</w:t>
      </w:r>
      <w:r>
        <w:rPr>
          <w:rFonts w:hint="default" w:ascii="Times New Roman" w:hAnsi="Times New Roman" w:eastAsia="仿宋_GB2312" w:cs="Times New Roman"/>
          <w:color w:val="000000" w:themeColor="text1"/>
          <w:sz w:val="32"/>
          <w:szCs w:val="32"/>
          <w14:textFill>
            <w14:solidFill>
              <w14:schemeClr w14:val="tx1"/>
            </w14:solidFill>
          </w14:textFill>
        </w:rPr>
        <w:t>服务业内部结构进一步优化，形成以现代物流、商贸流通、文化、旅游、商务、金融、信息与科技创新等现代服务业为龙头，传统服务业快速提升的产业发展格局，</w:t>
      </w:r>
      <w:r>
        <w:rPr>
          <w:rFonts w:hint="default" w:ascii="Times New Roman" w:hAnsi="Times New Roman" w:eastAsia="仿宋_GB2312" w:cs="Times New Roman"/>
          <w:bCs/>
          <w:color w:val="000000" w:themeColor="text1"/>
          <w:sz w:val="32"/>
          <w:szCs w:val="32"/>
          <w14:textFill>
            <w14:solidFill>
              <w14:schemeClr w14:val="tx1"/>
            </w14:solidFill>
          </w14:textFill>
        </w:rPr>
        <w:t>生产性服务业和生活性服务业均衡发展，形成比较完善的现代服务业产业体系。</w:t>
      </w:r>
    </w:p>
    <w:p w14:paraId="48E99CFF">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服务业发展特色更加明显。</w:t>
      </w:r>
      <w:r>
        <w:rPr>
          <w:rFonts w:hint="default" w:ascii="Times New Roman" w:hAnsi="Times New Roman" w:eastAsia="仿宋_GB2312" w:cs="Times New Roman"/>
          <w:color w:val="000000" w:themeColor="text1"/>
          <w:sz w:val="32"/>
          <w:szCs w:val="32"/>
          <w14:textFill>
            <w14:solidFill>
              <w14:schemeClr w14:val="tx1"/>
            </w14:solidFill>
          </w14:textFill>
        </w:rPr>
        <w:t>进一步发挥濉溪特有的红色、运河、古镇、工矿遗址等地方特色资源和产业基础的优势，完善和提升服务业产业链，做大做强濉溪特色服务业。</w:t>
      </w:r>
    </w:p>
    <w:p w14:paraId="736EC131">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服务业发展更加集聚。</w:t>
      </w:r>
      <w:r>
        <w:rPr>
          <w:rFonts w:hint="default" w:ascii="Times New Roman" w:hAnsi="Times New Roman" w:eastAsia="仿宋_GB2312" w:cs="Times New Roman"/>
          <w:color w:val="000000" w:themeColor="text1"/>
          <w:sz w:val="32"/>
          <w:szCs w:val="32"/>
          <w14:textFill>
            <w14:solidFill>
              <w14:schemeClr w14:val="tx1"/>
            </w14:solidFill>
          </w14:textFill>
        </w:rPr>
        <w:t>依托濉溪老城升级、南部次中心建设，以及现有服务业集聚区提升，培育引进一批具有引领作用的服务业企业，形成一批产业集聚、特色鲜明、功能完善的服务业发展集聚区，到2025年省级服务业集聚区达到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家左右。</w:t>
      </w:r>
    </w:p>
    <w:p w14:paraId="7E22F3F7">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服务业创新水平更上台阶。</w:t>
      </w:r>
      <w:r>
        <w:rPr>
          <w:rFonts w:hint="default" w:ascii="Times New Roman" w:hAnsi="Times New Roman" w:eastAsia="仿宋_GB2312" w:cs="Times New Roman"/>
          <w:color w:val="000000" w:themeColor="text1"/>
          <w:sz w:val="32"/>
          <w:szCs w:val="32"/>
          <w14:textFill>
            <w14:solidFill>
              <w14:schemeClr w14:val="tx1"/>
            </w14:solidFill>
          </w14:textFill>
        </w:rPr>
        <w:t>进一步增强技术创新对服务业发展的引领作用，将5G、互联网、大数据等新一代信息技术和服务业深度融合，推动科技研发等重点领域创新取得明显成效。</w:t>
      </w:r>
    </w:p>
    <w:p w14:paraId="04713466">
      <w:pPr>
        <w:spacing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bookmarkStart w:id="70" w:name="_Toc122253150"/>
      <w:bookmarkStart w:id="71" w:name="_Toc136980324"/>
      <w:bookmarkStart w:id="72" w:name="_Toc120870593"/>
      <w:bookmarkStart w:id="73" w:name="_Toc158395226"/>
      <w:r>
        <w:rPr>
          <w:rFonts w:hint="default" w:ascii="Times New Roman" w:hAnsi="Times New Roman" w:eastAsia="楷体_GB2312" w:cs="Times New Roman"/>
          <w:b/>
          <w:color w:val="000000" w:themeColor="text1"/>
          <w:sz w:val="32"/>
          <w:szCs w:val="32"/>
          <w14:textFill>
            <w14:solidFill>
              <w14:schemeClr w14:val="tx1"/>
            </w14:solidFill>
          </w14:textFill>
        </w:rPr>
        <w:t>服务业市场建设更加成熟</w:t>
      </w:r>
      <w:bookmarkEnd w:id="70"/>
      <w:bookmarkEnd w:id="71"/>
      <w:bookmarkEnd w:id="72"/>
      <w:bookmarkEnd w:id="73"/>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实现专业商品市场和资本、物流、商贸、电子商务、文化旅游、房地产等服务市场健康快速发展，形成多功能、开放式、社会化的市场服务体系。</w:t>
      </w:r>
    </w:p>
    <w:p w14:paraId="7EDFE78B">
      <w:pPr>
        <w:spacing w:line="600" w:lineRule="exact"/>
        <w:jc w:val="center"/>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表1  濉溪县“十四五”服务业发展主要目标</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4"/>
        <w:gridCol w:w="3109"/>
        <w:gridCol w:w="1528"/>
        <w:gridCol w:w="1239"/>
        <w:gridCol w:w="1454"/>
        <w:gridCol w:w="1048"/>
      </w:tblGrid>
      <w:tr w14:paraId="7C3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694" w:type="dxa"/>
            <w:vAlign w:val="center"/>
          </w:tcPr>
          <w:p w14:paraId="31A6AD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3109" w:type="dxa"/>
            <w:vAlign w:val="center"/>
          </w:tcPr>
          <w:p w14:paraId="796349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指标名称</w:t>
            </w:r>
          </w:p>
        </w:tc>
        <w:tc>
          <w:tcPr>
            <w:tcW w:w="1528" w:type="dxa"/>
            <w:vAlign w:val="center"/>
          </w:tcPr>
          <w:p w14:paraId="39D24E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2020年</w:t>
            </w:r>
          </w:p>
        </w:tc>
        <w:tc>
          <w:tcPr>
            <w:tcW w:w="1239" w:type="dxa"/>
            <w:vAlign w:val="center"/>
          </w:tcPr>
          <w:p w14:paraId="50C75D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2025年</w:t>
            </w:r>
          </w:p>
        </w:tc>
        <w:tc>
          <w:tcPr>
            <w:tcW w:w="1454" w:type="dxa"/>
            <w:vAlign w:val="center"/>
          </w:tcPr>
          <w:p w14:paraId="6B5499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年均增幅</w:t>
            </w:r>
          </w:p>
        </w:tc>
        <w:tc>
          <w:tcPr>
            <w:tcW w:w="1048" w:type="dxa"/>
            <w:vAlign w:val="center"/>
          </w:tcPr>
          <w:p w14:paraId="5FB7DD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属性</w:t>
            </w:r>
          </w:p>
        </w:tc>
      </w:tr>
      <w:tr w14:paraId="4B1C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exact"/>
          <w:jc w:val="center"/>
        </w:trPr>
        <w:tc>
          <w:tcPr>
            <w:tcW w:w="694" w:type="dxa"/>
            <w:vAlign w:val="center"/>
          </w:tcPr>
          <w:p w14:paraId="386CDC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3109" w:type="dxa"/>
            <w:vAlign w:val="center"/>
          </w:tcPr>
          <w:p w14:paraId="7673F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第三产</w:t>
            </w:r>
            <w:r>
              <w:rPr>
                <w:rFonts w:hint="default" w:ascii="Times New Roman" w:hAnsi="Times New Roman" w:eastAsia="仿宋_GB2312" w:cs="Times New Roman"/>
                <w:sz w:val="28"/>
                <w:szCs w:val="28"/>
                <w:lang w:eastAsia="zh-CN"/>
              </w:rPr>
              <w:t>业</w:t>
            </w:r>
            <w:r>
              <w:rPr>
                <w:rFonts w:hint="default" w:ascii="Times New Roman" w:hAnsi="Times New Roman" w:eastAsia="仿宋_GB2312" w:cs="Times New Roman"/>
                <w:sz w:val="28"/>
                <w:szCs w:val="28"/>
              </w:rPr>
              <w:t>增加值（亿元）</w:t>
            </w:r>
          </w:p>
        </w:tc>
        <w:tc>
          <w:tcPr>
            <w:tcW w:w="1528" w:type="dxa"/>
            <w:vAlign w:val="center"/>
          </w:tcPr>
          <w:p w14:paraId="104592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194.2</w:t>
            </w:r>
          </w:p>
        </w:tc>
        <w:tc>
          <w:tcPr>
            <w:tcW w:w="1239" w:type="dxa"/>
            <w:vAlign w:val="center"/>
          </w:tcPr>
          <w:p w14:paraId="2A3616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400</w:t>
            </w:r>
          </w:p>
        </w:tc>
        <w:tc>
          <w:tcPr>
            <w:tcW w:w="1454" w:type="dxa"/>
            <w:vAlign w:val="center"/>
          </w:tcPr>
          <w:p w14:paraId="74D7CC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年均增速15.55%</w:t>
            </w:r>
          </w:p>
        </w:tc>
        <w:tc>
          <w:tcPr>
            <w:tcW w:w="1048" w:type="dxa"/>
            <w:vAlign w:val="center"/>
          </w:tcPr>
          <w:p w14:paraId="27391A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0710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exact"/>
          <w:jc w:val="center"/>
        </w:trPr>
        <w:tc>
          <w:tcPr>
            <w:tcW w:w="694" w:type="dxa"/>
            <w:vAlign w:val="center"/>
          </w:tcPr>
          <w:p w14:paraId="12E97F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3109" w:type="dxa"/>
            <w:vAlign w:val="center"/>
          </w:tcPr>
          <w:p w14:paraId="4E57E1C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服务业增加值占GDP比重（%）</w:t>
            </w:r>
          </w:p>
        </w:tc>
        <w:tc>
          <w:tcPr>
            <w:tcW w:w="1528" w:type="dxa"/>
            <w:vAlign w:val="center"/>
          </w:tcPr>
          <w:p w14:paraId="25236A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41.5</w:t>
            </w:r>
          </w:p>
        </w:tc>
        <w:tc>
          <w:tcPr>
            <w:tcW w:w="1239" w:type="dxa"/>
            <w:vAlign w:val="center"/>
          </w:tcPr>
          <w:p w14:paraId="7057E9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6EC7DE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6CB5A6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530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exact"/>
          <w:jc w:val="center"/>
        </w:trPr>
        <w:tc>
          <w:tcPr>
            <w:tcW w:w="694" w:type="dxa"/>
            <w:vAlign w:val="center"/>
          </w:tcPr>
          <w:p w14:paraId="6FFAE4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109" w:type="dxa"/>
            <w:vAlign w:val="center"/>
          </w:tcPr>
          <w:p w14:paraId="7CCAE76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全员劳动生产率（万元/人）</w:t>
            </w:r>
          </w:p>
        </w:tc>
        <w:tc>
          <w:tcPr>
            <w:tcW w:w="1528" w:type="dxa"/>
            <w:vAlign w:val="center"/>
          </w:tcPr>
          <w:p w14:paraId="6FE4A4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3EABD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达全省平均</w:t>
            </w:r>
          </w:p>
        </w:tc>
        <w:tc>
          <w:tcPr>
            <w:tcW w:w="1454" w:type="dxa"/>
            <w:vAlign w:val="center"/>
          </w:tcPr>
          <w:p w14:paraId="617D98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D5475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AED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exact"/>
          <w:jc w:val="center"/>
        </w:trPr>
        <w:tc>
          <w:tcPr>
            <w:tcW w:w="694" w:type="dxa"/>
            <w:vAlign w:val="center"/>
          </w:tcPr>
          <w:p w14:paraId="52DBE4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109" w:type="dxa"/>
            <w:vAlign w:val="center"/>
          </w:tcPr>
          <w:p w14:paraId="481AA5D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服务业从业人数占全社会从业人数比重（%）</w:t>
            </w:r>
          </w:p>
        </w:tc>
        <w:tc>
          <w:tcPr>
            <w:tcW w:w="1528" w:type="dxa"/>
            <w:vAlign w:val="center"/>
          </w:tcPr>
          <w:p w14:paraId="1FE992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47.7</w:t>
            </w:r>
          </w:p>
        </w:tc>
        <w:tc>
          <w:tcPr>
            <w:tcW w:w="1239" w:type="dxa"/>
            <w:vAlign w:val="center"/>
          </w:tcPr>
          <w:p w14:paraId="75FA32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30FCD6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749E9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09E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exact"/>
          <w:jc w:val="center"/>
        </w:trPr>
        <w:tc>
          <w:tcPr>
            <w:tcW w:w="694" w:type="dxa"/>
            <w:vAlign w:val="center"/>
          </w:tcPr>
          <w:p w14:paraId="139518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109" w:type="dxa"/>
            <w:vAlign w:val="center"/>
          </w:tcPr>
          <w:p w14:paraId="1A67A1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规模以上服务业企业（家） </w:t>
            </w:r>
          </w:p>
        </w:tc>
        <w:tc>
          <w:tcPr>
            <w:tcW w:w="1528" w:type="dxa"/>
            <w:vAlign w:val="center"/>
          </w:tcPr>
          <w:p w14:paraId="0782A0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25</w:t>
            </w:r>
          </w:p>
        </w:tc>
        <w:tc>
          <w:tcPr>
            <w:tcW w:w="1239" w:type="dxa"/>
            <w:vAlign w:val="center"/>
          </w:tcPr>
          <w:p w14:paraId="7F63CF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32</w:t>
            </w:r>
          </w:p>
        </w:tc>
        <w:tc>
          <w:tcPr>
            <w:tcW w:w="1454" w:type="dxa"/>
            <w:vAlign w:val="center"/>
          </w:tcPr>
          <w:p w14:paraId="1FA0B3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w:t>
            </w:r>
          </w:p>
        </w:tc>
        <w:tc>
          <w:tcPr>
            <w:tcW w:w="1048" w:type="dxa"/>
            <w:vAlign w:val="center"/>
          </w:tcPr>
          <w:p w14:paraId="3664A1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14:paraId="0660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9" w:hRule="exact"/>
          <w:jc w:val="center"/>
        </w:trPr>
        <w:tc>
          <w:tcPr>
            <w:tcW w:w="694" w:type="dxa"/>
            <w:vAlign w:val="center"/>
          </w:tcPr>
          <w:p w14:paraId="2CA0D5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3109" w:type="dxa"/>
            <w:vAlign w:val="center"/>
          </w:tcPr>
          <w:p w14:paraId="1A2B9F0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社会消费品零售总额（亿元）</w:t>
            </w:r>
          </w:p>
        </w:tc>
        <w:tc>
          <w:tcPr>
            <w:tcW w:w="1528" w:type="dxa"/>
            <w:vAlign w:val="center"/>
          </w:tcPr>
          <w:p w14:paraId="084EF4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140.8</w:t>
            </w:r>
          </w:p>
        </w:tc>
        <w:tc>
          <w:tcPr>
            <w:tcW w:w="1239" w:type="dxa"/>
            <w:vAlign w:val="center"/>
          </w:tcPr>
          <w:p w14:paraId="36CBEF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218</w:t>
            </w:r>
          </w:p>
        </w:tc>
        <w:tc>
          <w:tcPr>
            <w:tcW w:w="1454" w:type="dxa"/>
            <w:vAlign w:val="center"/>
          </w:tcPr>
          <w:p w14:paraId="74744B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年均增速9.14%</w:t>
            </w:r>
          </w:p>
        </w:tc>
        <w:tc>
          <w:tcPr>
            <w:tcW w:w="1048" w:type="dxa"/>
            <w:vAlign w:val="center"/>
          </w:tcPr>
          <w:p w14:paraId="358750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1DE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exact"/>
          <w:jc w:val="center"/>
        </w:trPr>
        <w:tc>
          <w:tcPr>
            <w:tcW w:w="694" w:type="dxa"/>
            <w:vAlign w:val="center"/>
          </w:tcPr>
          <w:p w14:paraId="3AC343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3109" w:type="dxa"/>
            <w:vAlign w:val="center"/>
          </w:tcPr>
          <w:p w14:paraId="783B54D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培育电商主体（家）</w:t>
            </w:r>
          </w:p>
        </w:tc>
        <w:tc>
          <w:tcPr>
            <w:tcW w:w="1528" w:type="dxa"/>
            <w:vAlign w:val="center"/>
          </w:tcPr>
          <w:p w14:paraId="360072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362</w:t>
            </w:r>
          </w:p>
        </w:tc>
        <w:tc>
          <w:tcPr>
            <w:tcW w:w="1239" w:type="dxa"/>
            <w:vAlign w:val="center"/>
          </w:tcPr>
          <w:p w14:paraId="63AA1A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w:t>
            </w:r>
          </w:p>
        </w:tc>
        <w:tc>
          <w:tcPr>
            <w:tcW w:w="1454" w:type="dxa"/>
            <w:vAlign w:val="center"/>
          </w:tcPr>
          <w:p w14:paraId="58FE89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年增约28家</w:t>
            </w:r>
          </w:p>
        </w:tc>
        <w:tc>
          <w:tcPr>
            <w:tcW w:w="1048" w:type="dxa"/>
            <w:vAlign w:val="center"/>
          </w:tcPr>
          <w:p w14:paraId="0BE12C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7C92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exact"/>
          <w:jc w:val="center"/>
        </w:trPr>
        <w:tc>
          <w:tcPr>
            <w:tcW w:w="694" w:type="dxa"/>
            <w:vAlign w:val="center"/>
          </w:tcPr>
          <w:p w14:paraId="35116F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3109" w:type="dxa"/>
            <w:vAlign w:val="center"/>
          </w:tcPr>
          <w:p w14:paraId="0957F53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电子商务交易额（亿元）</w:t>
            </w:r>
          </w:p>
        </w:tc>
        <w:tc>
          <w:tcPr>
            <w:tcW w:w="1528" w:type="dxa"/>
            <w:vAlign w:val="center"/>
          </w:tcPr>
          <w:p w14:paraId="1D305F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w:t>
            </w:r>
          </w:p>
        </w:tc>
        <w:tc>
          <w:tcPr>
            <w:tcW w:w="1239" w:type="dxa"/>
            <w:vAlign w:val="center"/>
          </w:tcPr>
          <w:p w14:paraId="48182D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269.2</w:t>
            </w:r>
          </w:p>
        </w:tc>
        <w:tc>
          <w:tcPr>
            <w:tcW w:w="1454" w:type="dxa"/>
            <w:vAlign w:val="center"/>
          </w:tcPr>
          <w:p w14:paraId="114B3A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年均增速45%</w:t>
            </w:r>
          </w:p>
        </w:tc>
        <w:tc>
          <w:tcPr>
            <w:tcW w:w="1048" w:type="dxa"/>
            <w:vAlign w:val="center"/>
          </w:tcPr>
          <w:p w14:paraId="46E445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BED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exact"/>
          <w:jc w:val="center"/>
        </w:trPr>
        <w:tc>
          <w:tcPr>
            <w:tcW w:w="694" w:type="dxa"/>
            <w:vAlign w:val="center"/>
          </w:tcPr>
          <w:p w14:paraId="5FAEE4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3109" w:type="dxa"/>
            <w:vAlign w:val="center"/>
          </w:tcPr>
          <w:p w14:paraId="575B869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旅游业总收入（亿元）</w:t>
            </w:r>
          </w:p>
        </w:tc>
        <w:tc>
          <w:tcPr>
            <w:tcW w:w="1528" w:type="dxa"/>
            <w:vAlign w:val="center"/>
          </w:tcPr>
          <w:p w14:paraId="0F9C70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47E59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1454" w:type="dxa"/>
            <w:vAlign w:val="center"/>
          </w:tcPr>
          <w:p w14:paraId="149403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4ADDFB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80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exact"/>
          <w:jc w:val="center"/>
        </w:trPr>
        <w:tc>
          <w:tcPr>
            <w:tcW w:w="694" w:type="dxa"/>
            <w:vAlign w:val="center"/>
          </w:tcPr>
          <w:p w14:paraId="10467A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3109" w:type="dxa"/>
            <w:vAlign w:val="center"/>
          </w:tcPr>
          <w:p w14:paraId="33353D8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省级服务业集聚区</w:t>
            </w:r>
          </w:p>
        </w:tc>
        <w:tc>
          <w:tcPr>
            <w:tcW w:w="1528" w:type="dxa"/>
            <w:vAlign w:val="center"/>
          </w:tcPr>
          <w:p w14:paraId="4CD1DC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p>
        </w:tc>
        <w:tc>
          <w:tcPr>
            <w:tcW w:w="1239" w:type="dxa"/>
            <w:vAlign w:val="center"/>
          </w:tcPr>
          <w:p w14:paraId="72F1BE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tc>
        <w:tc>
          <w:tcPr>
            <w:tcW w:w="1454" w:type="dxa"/>
            <w:vAlign w:val="center"/>
          </w:tcPr>
          <w:p w14:paraId="680880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365D1D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1A3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exact"/>
          <w:jc w:val="center"/>
        </w:trPr>
        <w:tc>
          <w:tcPr>
            <w:tcW w:w="694" w:type="dxa"/>
            <w:vAlign w:val="center"/>
          </w:tcPr>
          <w:p w14:paraId="412B6A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3109" w:type="dxa"/>
            <w:vAlign w:val="center"/>
          </w:tcPr>
          <w:p w14:paraId="48ECFE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三次产业结构</w:t>
            </w:r>
          </w:p>
        </w:tc>
        <w:tc>
          <w:tcPr>
            <w:tcW w:w="1528" w:type="dxa"/>
            <w:vAlign w:val="center"/>
          </w:tcPr>
          <w:p w14:paraId="3B979D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11:49.5:39.5</w:t>
            </w:r>
          </w:p>
        </w:tc>
        <w:tc>
          <w:tcPr>
            <w:tcW w:w="1239" w:type="dxa"/>
            <w:vAlign w:val="center"/>
          </w:tcPr>
          <w:p w14:paraId="5D26A6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5:45:50</w:t>
            </w:r>
          </w:p>
        </w:tc>
        <w:tc>
          <w:tcPr>
            <w:tcW w:w="1454" w:type="dxa"/>
            <w:vAlign w:val="center"/>
          </w:tcPr>
          <w:p w14:paraId="1D8983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03F9B5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9E8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exact"/>
          <w:jc w:val="center"/>
        </w:trPr>
        <w:tc>
          <w:tcPr>
            <w:tcW w:w="694" w:type="dxa"/>
            <w:vAlign w:val="center"/>
          </w:tcPr>
          <w:p w14:paraId="64C58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3109" w:type="dxa"/>
            <w:vAlign w:val="center"/>
          </w:tcPr>
          <w:p w14:paraId="62A6B31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常住人口城镇化率（%）</w:t>
            </w:r>
          </w:p>
        </w:tc>
        <w:tc>
          <w:tcPr>
            <w:tcW w:w="1528" w:type="dxa"/>
            <w:vAlign w:val="center"/>
          </w:tcPr>
          <w:p w14:paraId="1B43AA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w:t>
            </w:r>
          </w:p>
        </w:tc>
        <w:tc>
          <w:tcPr>
            <w:tcW w:w="1239" w:type="dxa"/>
            <w:vAlign w:val="center"/>
          </w:tcPr>
          <w:p w14:paraId="4FF00C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w:t>
            </w:r>
          </w:p>
        </w:tc>
        <w:tc>
          <w:tcPr>
            <w:tcW w:w="1454" w:type="dxa"/>
            <w:vAlign w:val="center"/>
          </w:tcPr>
          <w:p w14:paraId="7372AD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50167B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bl>
    <w:p w14:paraId="2BA0B0A8">
      <w:pPr>
        <w:rPr>
          <w:rFonts w:hint="default" w:ascii="Times New Roman" w:hAnsi="Times New Roman" w:cs="Times New Roman"/>
          <w:sz w:val="21"/>
          <w:szCs w:val="21"/>
        </w:rPr>
      </w:pPr>
      <w:r>
        <w:rPr>
          <w:rFonts w:hint="default" w:ascii="Times New Roman" w:hAnsi="Times New Roman" w:cs="Times New Roman"/>
          <w:sz w:val="21"/>
          <w:szCs w:val="21"/>
        </w:rPr>
        <w:t>注：[ ]内为五年累计数。</w:t>
      </w:r>
    </w:p>
    <w:p w14:paraId="65EBDA40">
      <w:pPr>
        <w:ind w:firstLine="420"/>
        <w:rPr>
          <w:rFonts w:hint="default" w:ascii="Times New Roman" w:hAnsi="Times New Roman" w:cs="Times New Roman"/>
        </w:rPr>
      </w:pPr>
    </w:p>
    <w:p w14:paraId="1E264404">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bookmarkStart w:id="74" w:name="_Toc83296389"/>
    </w:p>
    <w:p w14:paraId="36D5549E">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2A0F849B">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1C8F52DD">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75" w:name="_Toc1370"/>
    </w:p>
    <w:p w14:paraId="258923A3">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p>
    <w:p w14:paraId="46C4AD0C">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76" w:name="_Toc24490"/>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第三章  主要任务</w:t>
      </w:r>
      <w:bookmarkEnd w:id="74"/>
      <w:bookmarkEnd w:id="75"/>
      <w:bookmarkEnd w:id="76"/>
    </w:p>
    <w:p w14:paraId="08522A7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7" w:name="_Toc83296390"/>
      <w:bookmarkStart w:id="78" w:name="_Toc25238"/>
    </w:p>
    <w:p w14:paraId="34331B1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9" w:name="_Toc18292"/>
      <w:r>
        <w:rPr>
          <w:rFonts w:hint="default" w:ascii="Times New Roman" w:hAnsi="Times New Roman" w:eastAsia="黑体" w:cs="Times New Roman"/>
          <w:b w:val="0"/>
          <w:bCs w:val="0"/>
          <w:color w:val="000000" w:themeColor="text1"/>
          <w14:textFill>
            <w14:solidFill>
              <w14:schemeClr w14:val="tx1"/>
            </w14:solidFill>
          </w14:textFill>
        </w:rPr>
        <w:t>一、推动生产性服务业向专业化和价值链高端延伸</w:t>
      </w:r>
      <w:bookmarkEnd w:id="77"/>
      <w:bookmarkEnd w:id="78"/>
      <w:bookmarkEnd w:id="79"/>
    </w:p>
    <w:p w14:paraId="6DC2C2CE">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0" w:name="_Toc21797"/>
      <w:bookmarkStart w:id="81" w:name="_Toc8023"/>
      <w:bookmarkStart w:id="82" w:name="_Toc83296391"/>
      <w:r>
        <w:rPr>
          <w:rFonts w:hint="default" w:ascii="Times New Roman" w:hAnsi="Times New Roman" w:eastAsia="楷体_GB2312" w:cs="Times New Roman"/>
          <w:color w:val="000000" w:themeColor="text1"/>
          <w14:textFill>
            <w14:solidFill>
              <w14:schemeClr w14:val="tx1"/>
            </w14:solidFill>
          </w14:textFill>
        </w:rPr>
        <w:t>（一）做优做强现代物流业</w:t>
      </w:r>
      <w:bookmarkEnd w:id="80"/>
      <w:bookmarkEnd w:id="81"/>
      <w:bookmarkEnd w:id="82"/>
    </w:p>
    <w:p w14:paraId="2DBC599E">
      <w:pPr>
        <w:spacing w:line="560" w:lineRule="exact"/>
        <w:ind w:firstLine="640" w:firstLineChars="200"/>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创新供应链管理理念，引进和培育一批有竞争力的重点物流企业，加快发展第三方、第四方物流和快递配送物流，提高物流一体化运作水平。依托快速交通通道和运河航运，加快物流园平台建设，构建“水、陆、铁”三位一体的大物流平台。加强航道、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闸和码头建设；加快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开发区智能快递物流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中瑞农产</w:t>
      </w:r>
      <w:r>
        <w:rPr>
          <w:rFonts w:hint="default" w:ascii="Times New Roman" w:hAnsi="Times New Roman" w:eastAsia="仿宋_GB2312" w:cs="Times New Roman"/>
          <w:color w:val="000000" w:themeColor="text1"/>
          <w:sz w:val="32"/>
          <w:szCs w:val="32"/>
          <w14:textFill>
            <w14:solidFill>
              <w14:schemeClr w14:val="tx1"/>
            </w14:solidFill>
          </w14:textFill>
        </w:rPr>
        <w:t>品冷链物流园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r>
        <w:rPr>
          <w:rFonts w:ascii="Times New Roman" w:hAnsi="Times New Roman" w:eastAsia="仿宋_GB2312" w:cs="Times New Roman"/>
          <w:color w:val="000000" w:themeColor="text1"/>
          <w:sz w:val="32"/>
          <w:szCs w:val="32"/>
          <w:highlight w:val="none"/>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w:t>
      </w:r>
      <w:r>
        <w:rPr>
          <w:rFonts w:hint="default" w:ascii="Times New Roman" w:hAnsi="Times New Roman" w:eastAsia="仿宋_GB2312" w:cs="Times New Roman"/>
          <w:color w:val="000000" w:themeColor="text1"/>
          <w:sz w:val="32"/>
          <w:szCs w:val="32"/>
          <w14:textFill>
            <w14:solidFill>
              <w14:schemeClr w14:val="tx1"/>
            </w14:solidFill>
          </w14:textFill>
        </w:rPr>
        <w:t>进淮海京东现代物流产业园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铁佛镇茂铺物流园、孙疃镇建材物流园、孙疃镇冷链物流中心、南坪镇临港现代物流园、粮食物流应急保障中心等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项目落地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kern w:val="2"/>
          <w:sz w:val="32"/>
          <w:szCs w:val="32"/>
          <w:highlight w:val="none"/>
          <w:lang w:val="en-US" w:eastAsia="zh-CN" w:bidi="ar-SA"/>
        </w:rPr>
        <w:t>加快形成一批物流龙头企业。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完善以翔宇物流、东风物流、中瑞农产品</w:t>
      </w:r>
      <w:r>
        <w:rPr>
          <w:rFonts w:hint="default" w:ascii="Times New Roman" w:hAnsi="Times New Roman" w:eastAsia="仿宋_GB2312" w:cs="Times New Roman"/>
          <w:color w:val="000000" w:themeColor="text1"/>
          <w:sz w:val="32"/>
          <w:szCs w:val="32"/>
          <w14:textFill>
            <w14:solidFill>
              <w14:schemeClr w14:val="tx1"/>
            </w14:solidFill>
          </w14:textFill>
        </w:rPr>
        <w:t>物流、顺达物流配送等为基础的物流体系，有机整合物流快递资源，优化配送渠道，有效降低物流快递成本。实现现代物流与各类产业的深度融合，引导企业加强供应链创新与应用，树立“绿金物流”优质服务品牌形象，提高产业集聚水平和增加区域辐射能力。积极推广智慧物流发展，形成以产业物流为基础，商贸物流为亮点的布局合理、层次分明、功能完善、技术先进、绿色环保、安全有序的现代物流体系，到“十四五”末，濉溪县基本建成以“一主两副两节点多站”货运枢纽场站为骨干框架的物流服务体系，成为皖北地区重要的物流枢纽城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7"/>
      </w:tblGrid>
      <w:tr w14:paraId="0A1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3" w:hRule="atLeast"/>
          <w:jc w:val="center"/>
        </w:trPr>
        <w:tc>
          <w:tcPr>
            <w:tcW w:w="8767" w:type="dxa"/>
          </w:tcPr>
          <w:p w14:paraId="44A13B81">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专栏1：重点方向或重点项目</w:t>
            </w:r>
          </w:p>
          <w:p w14:paraId="01A1313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淮北港韩村港区孙疃作业区综合码头工程，总投资5.8亿元，主要建设内容：建设6个500吨级兼顾1000吨级的综合性泊位，设计年吞吐量540万吨。</w:t>
            </w:r>
          </w:p>
          <w:p w14:paraId="6D677DBB">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临涣闸至李口集段浍河航道工程，总投资20亿元，主要建设内容：临涣闸至李口集，全长35.5公里，四级航道。</w:t>
            </w:r>
          </w:p>
          <w:p w14:paraId="4E68774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沱浍河航道临涣船闸工程，总投资5.68亿元，主要建设内容：按IV级通航标准建设，设计最大船型为500吨级（兼顾1000吨级）货船。主要建设内容包括闸首，闸室，引航道、导航建筑物、靠船建筑物、桥梁改建及配套工程等。</w:t>
            </w:r>
          </w:p>
          <w:p w14:paraId="4B50069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韩村散货码头建设项目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，总投资2.4亿元，主要建设内容：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拟建5个500吨级泊位，泊位长度390米。设计年吞吐量440万吨。建设进港公路一条，长500米，宽15米。</w:t>
            </w:r>
          </w:p>
          <w:p w14:paraId="6E5F941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淮海中瑞农产品物流中心冷链物流园项目，总投资2.085亿元，主要建设内容：占地面积约99.79亩，建设冷链物流用冷库及冻品交易及其他配套用房等。</w:t>
            </w:r>
          </w:p>
          <w:p w14:paraId="0E9D0C8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中德产业园子项目（智能快递物流中心建设项目），总投资1.5亿元，主要建设内容：占地约70亩，总建筑面积约5.2万平方米，包括3栋两层仓储物流仓库、1栋业务综合楼以及其他相关配套设施。</w:t>
            </w:r>
          </w:p>
          <w:p w14:paraId="0A2120F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淮海京东现代物流产业园项目，总投资2亿元，主要建设内容：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引进京东物流运营管理模式，建设集云计算、大数据、智能化于一体的现代物流产业园，全面整合提升濉溪县的物流产业，计划总投资2亿元，占地面积200亩左右。</w:t>
            </w:r>
          </w:p>
          <w:p w14:paraId="74AA4F6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濉溪县粮食物流应急保障中心项目，总投资2.6亿元，主要建设内容：占地约120亩，新建15万吨粮食和应急物资仓库及配套设施。</w:t>
            </w:r>
          </w:p>
          <w:p w14:paraId="0C04127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铁佛镇浍河货运集散区项目，总投资0.7亿元，主要建设内容：占地约200亩，硬化面积39000平方米的物流集散区及相关办公楼等配套设施。</w:t>
            </w:r>
          </w:p>
          <w:p w14:paraId="134F4DB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茂铺物流园建设项目，总投资0.8亿元，主要建设内容：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p w14:paraId="02E614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南坪镇临港现代物流园建设项目，总投资20亿元，主要建设内容：建设园区道路、下水管网，绿化、亮化、农贸商城、综合交易中心、现货交易中心、物流仓储、冷链物流、商场超市、电子商务创意文化园等。</w:t>
            </w:r>
          </w:p>
          <w:p w14:paraId="0DF8075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孙疃镇建材物流园项目，总投资10亿元，主要建设内容：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p w14:paraId="30157C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泽源物流项目，总投资3亿元，主要建设内容：由国安能源投资建设，进行货物运输、仓储服务和建材、机械设备、零部件的销售。</w:t>
            </w:r>
          </w:p>
          <w:p w14:paraId="51EFF1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物流产业园项目,位于</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，总投资3亿元，主要建设内容：占地90亩，建设物流产业园，打造以顺达商贸、恒信物流为主，集仓储物流、贸易及配送的物流集散中心。</w:t>
            </w:r>
          </w:p>
          <w:p w14:paraId="05B2B9C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孙疃镇冷链物流园项目，总投资2亿元，主要建设内容：拟建</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r>
    </w:tbl>
    <w:p w14:paraId="4D60137A">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3" w:name="_Toc83296392"/>
      <w:bookmarkStart w:id="84" w:name="_Toc2007"/>
      <w:bookmarkStart w:id="85" w:name="_Toc21991"/>
      <w:r>
        <w:rPr>
          <w:rFonts w:hint="default" w:ascii="Times New Roman" w:hAnsi="Times New Roman" w:eastAsia="楷体_GB2312" w:cs="Times New Roman"/>
          <w:color w:val="000000" w:themeColor="text1"/>
          <w14:textFill>
            <w14:solidFill>
              <w14:schemeClr w14:val="tx1"/>
            </w14:solidFill>
          </w14:textFill>
        </w:rPr>
        <w:t>（二）优化提升商贸服务业</w:t>
      </w:r>
      <w:bookmarkEnd w:id="83"/>
      <w:bookmarkEnd w:id="84"/>
      <w:bookmarkEnd w:id="85"/>
    </w:p>
    <w:p w14:paraId="60759BD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进一步完善全县商业网点规划布局，促进全县商贸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14:textFill>
            <w14:solidFill>
              <w14:schemeClr w14:val="tx1"/>
            </w14:solidFill>
          </w14:textFill>
        </w:rPr>
        <w:t>业实现高质量发展。重点推动二关路和闸河路商业综合体、中瑞农产品批发市场建设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积极推进县城商业综合体建设，加快推进时代广场、中苑商厦、状元府邸、宏宇·之心城建设。依托老城石板街、乾隆湖公园等优势资源，推进“夜间经济”发展。大力发展商务会展，培育地方</w:t>
      </w:r>
      <w:r>
        <w:rPr>
          <w:rFonts w:hint="default" w:ascii="Times New Roman" w:hAnsi="Times New Roman" w:eastAsia="仿宋_GB2312" w:cs="Times New Roman"/>
          <w:color w:val="000000" w:themeColor="text1"/>
          <w:sz w:val="32"/>
          <w:szCs w:val="32"/>
          <w14:textFill>
            <w14:solidFill>
              <w14:schemeClr w14:val="tx1"/>
            </w14:solidFill>
          </w14:textFill>
        </w:rPr>
        <w:t>特色产品展销平台，筹办符合全县经济发展水平和产业特色的会展活动，加强对外交流合作，吸引外地资金、技术和管理人员进入，同时支持有条件、有实力的企业到外地参展办展，扶持会展主体开展品牌展览、开拓市场。积极营造总部经济生态环境，招引企业来濉溪设立综合型总部或人力资源中心、研发中心、采购中心、物流中心和营销中心等职能型总部机构，吸引科技、商务、文化、法律、知识产权等领域社会组织在濉溪设立分支机构。大力发展法律服务、会计审计、工程咨询、认证认可、信用评估、市场调查、经纪代理等商务中介服务，培育和引进一批专业度较高、影响力较大的商务中介机构，鼓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商务中介机构利用新一代信息技术推动服务产品和模式创新。到“十四五”末，全县社会消费品零售总额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8FA7899">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6" w:name="_Toc27953"/>
      <w:bookmarkStart w:id="87" w:name="_Toc7070"/>
      <w:bookmarkStart w:id="88" w:name="_Toc83296393"/>
      <w:r>
        <w:rPr>
          <w:rFonts w:hint="default" w:ascii="Times New Roman" w:hAnsi="Times New Roman" w:eastAsia="楷体_GB2312" w:cs="Times New Roman"/>
          <w:color w:val="000000" w:themeColor="text1"/>
          <w14:textFill>
            <w14:solidFill>
              <w14:schemeClr w14:val="tx1"/>
            </w14:solidFill>
          </w14:textFill>
        </w:rPr>
        <w:t>（三）培育壮大现代金融业</w:t>
      </w:r>
      <w:bookmarkEnd w:id="86"/>
      <w:bookmarkEnd w:id="87"/>
      <w:bookmarkEnd w:id="88"/>
    </w:p>
    <w:p w14:paraId="6B1086FB">
      <w:pPr>
        <w:spacing w:line="560"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推动金融改革创新，发展高效安全、绿色普惠、开放创新的现代金融服务业。引导金融回归本源，服从服务于经济社会发展。招引国有商业银行和全国性股份制商业银行入驻濉溪，支持濉溪农商行做大做强，支持本地有实力的企业牵头或参与发起成立民营银行，加快银行业集聚发展。大力发展信用贷款、知识产权质押贷款、股权质押贷款、应收账款质押贷款、绿色信贷等新型信贷工具，综合运用投贷联动、债转股等方式，促进信贷资源优化配置。加强政策引导作用，推进企业上市挂牌，鼓励企业利用股票、债券、债务融资工具，扩大直接融资规模。深化与证券、基金、信托、租赁等融资机构融资合作，加大对新型金融机构扶持力度，加快发展以证券、保险、信托、资产管理、期货、货币经纪、财务公司为重点的非银行类金融。培育发展以融资担保、小额贷款、融资租赁、典当、商业保理、地方资产管理等为代表的金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畅通金融扶持实体经济通道，围绕全县重点领域和薄弱环节加强金融支持力度，引导金融机构配合濉溪县产业发展调整信贷投向，突出对主导产业的中长期信贷支持，促进银企对接，加大信贷投放力度，推进银担合作，持续增强担保服务能力，着力保障重大项目、重点产业的资金需求，切实缓解企业融资难融资贵问题。健全政策性融资担保体系，完善信贷考核奖励办法。优化金融生态环境，防范金融风险。到“十四五”末，贷款余额突破650亿元，年均增速11%，存贷比达到65%以上，全县“新三板”和区域四板挂牌企业总数超过100家。</w:t>
      </w:r>
    </w:p>
    <w:p w14:paraId="0D8CEB5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9" w:name="_Toc24352"/>
      <w:bookmarkStart w:id="90" w:name="_Toc83296394"/>
      <w:bookmarkStart w:id="91" w:name="_Toc12817"/>
      <w:r>
        <w:rPr>
          <w:rFonts w:hint="default" w:ascii="Times New Roman" w:hAnsi="Times New Roman" w:eastAsia="楷体_GB2312" w:cs="Times New Roman"/>
          <w:color w:val="000000" w:themeColor="text1"/>
          <w14:textFill>
            <w14:solidFill>
              <w14:schemeClr w14:val="tx1"/>
            </w14:solidFill>
          </w14:textFill>
        </w:rPr>
        <w:t>（四）创新发展电子商务业</w:t>
      </w:r>
      <w:bookmarkEnd w:id="89"/>
      <w:bookmarkEnd w:id="90"/>
      <w:bookmarkEnd w:id="91"/>
    </w:p>
    <w:p w14:paraId="6644C41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紧抓国家大力发展数字经济战略机遇，以电子商务推动传统商业模式创新，加快企业信息化建设步伐，加快电子商务与产业融合发展。积极利用互联网、人工智能等新技术，发展电商、数字娱乐、在线教育、远程医疗等新兴业态和线上经济，加大电商项目资金扶持力度，积极推动传统企业向“互联网+”转型。加强行业门户网站和网上商城建设，加快电商渠道及细分领域专业平台的建设，积极利用基于第三方平台的淘宝网特色中国淮北馆、京东淮北馆、苏宁易购淮北频道、“阿里巴巴•淮北产业带”、特色农产品电子商务村、特色电子商务镇等，打造本地特色电子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务应用平台。大力推进濉溪县电子商务产业园（淮海壹号）二期项目建设，打造濉溪县电商集聚区。积极推动农村电子商务和跨</w:t>
      </w:r>
      <w:r>
        <w:rPr>
          <w:rFonts w:hint="default" w:ascii="Times New Roman" w:hAnsi="Times New Roman" w:eastAsia="仿宋_GB2312" w:cs="Times New Roman"/>
          <w:color w:val="000000" w:themeColor="text1"/>
          <w:sz w:val="32"/>
          <w:szCs w:val="32"/>
          <w14:textFill>
            <w14:solidFill>
              <w14:schemeClr w14:val="tx1"/>
            </w14:solidFill>
          </w14:textFill>
        </w:rPr>
        <w:t>境电商发展，以电子商务进农村综合示范建设为抓手，培育和壮大农村电子商务市场主体，培育发展一批电子商务微型产业集聚区和电商村。开展跨境电商综合改革试点工作，推动跨境电商产业园建设，培育一批跨境电子商务平台和企业，大力支持企业开拓海外市场，推进“综合保税区”建设，</w:t>
      </w:r>
      <w:r>
        <w:rPr>
          <w:rFonts w:hint="default" w:ascii="Times New Roman" w:hAnsi="Times New Roman" w:eastAsia="仿宋_GB2312" w:cs="Times New Roman"/>
          <w:sz w:val="32"/>
          <w:szCs w:val="32"/>
        </w:rPr>
        <w:t>推动跨境电子商务网购保税进口扩大规模。</w:t>
      </w:r>
      <w:r>
        <w:rPr>
          <w:rFonts w:hint="default" w:ascii="Times New Roman" w:hAnsi="Times New Roman" w:eastAsia="仿宋_GB2312" w:cs="Times New Roman"/>
          <w:color w:val="000000" w:themeColor="text1"/>
          <w:sz w:val="32"/>
          <w:szCs w:val="32"/>
          <w14:textFill>
            <w14:solidFill>
              <w14:schemeClr w14:val="tx1"/>
            </w14:solidFill>
          </w14:textFill>
        </w:rPr>
        <w:t>扶持移动电商、跨境电商、互联网金融、O2O模式及相关电子商务支撑服务、外包服务、增值服务等新型服务业，促进本地生活类便民电商服务等新型业态健康发展。开展电商人才培训。打击电子商务领域的非法经营活动，保障电子商务正常秩序。到“十四五”末，将濉溪打造成全国电子商务创新创业节点城市、全省和全国食品电子商务服务的领跑者、“互联网+”推动产业升级的先行者、皖北跨境电子商务发展集聚区，全县电子商务交易额达到269.2亿元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7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14:paraId="767C672D">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专栏2：重点方向或重点项目</w:t>
            </w:r>
          </w:p>
          <w:p w14:paraId="1306A37D">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电子商务产业园（淮海壹号）二期：位于濉溪镇，总投资2.6亿元，规划建设濉溪数字经济产业园，拟打造以电商产业、信息科技、现代服务、健康养老、科研教育、文化创意等为主的现代服务业集聚区二期。</w:t>
            </w:r>
          </w:p>
          <w:p w14:paraId="7BF697B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综合保税区建设项目，总投资10亿元，建设2.5平方公里保税加工、保税物流、保税服务等设施建设，并拓展研发、维修、检测、商品展示、国际中转、国际采购、跨境电子商务等业务，重点打造特色加工制造基地、高新技术产品研发生产基地、保税物流基地。</w:t>
            </w:r>
          </w:p>
        </w:tc>
      </w:tr>
    </w:tbl>
    <w:p w14:paraId="41BFE8B5">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2" w:name="_Toc83296395"/>
      <w:bookmarkStart w:id="93" w:name="_Toc20518"/>
      <w:r>
        <w:rPr>
          <w:rFonts w:hint="default" w:ascii="Times New Roman" w:hAnsi="Times New Roman" w:eastAsia="楷体_GB2312" w:cs="Times New Roman"/>
          <w:b/>
          <w:bCs/>
          <w:color w:val="000000" w:themeColor="text1"/>
          <w:sz w:val="32"/>
          <w:szCs w:val="32"/>
          <w14:textFill>
            <w14:solidFill>
              <w14:schemeClr w14:val="tx1"/>
            </w14:solidFill>
          </w14:textFill>
        </w:rPr>
        <w:t>（五）提升发展科技服务业</w:t>
      </w:r>
      <w:bookmarkEnd w:id="92"/>
      <w:bookmarkEnd w:id="93"/>
    </w:p>
    <w:p w14:paraId="40D15DB7">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大力发展研究开发、工业设计、技术转移转化、创业孵化、检验检测、知识产权、科技咨询、科学技术普及等科技服务业。</w:t>
      </w:r>
      <w:r>
        <w:rPr>
          <w:rFonts w:hint="default" w:ascii="Times New Roman" w:hAnsi="Times New Roman" w:eastAsia="仿宋_GB2312" w:cs="Times New Roman"/>
          <w:smallCaps/>
          <w:color w:val="000000" w:themeColor="text1"/>
          <w:sz w:val="32"/>
          <w:szCs w:val="32"/>
          <w14:textFill>
            <w14:solidFill>
              <w14:schemeClr w14:val="tx1"/>
            </w14:solidFill>
          </w14:textFill>
        </w:rPr>
        <w:t>深化现代服务业同先进制造业、现代农业等深度融合，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搭建和完善科技基础设施条件，支持建设一批区域技术和信息公共服务平台，提高公共资源的共享水平和产出能力。加快建设一批资源共享、面向社会开放的公共检验检测认证服务平台，发展第三方检验检测认证服务，培育发展在线检测新型业态。发挥煤化工、铝基新材料及相关产业比较优势，加强在精细化工、铝基复合材料、现代农业等领域的技术攻关。整合相关人才教育、招商引资、社会就业、区域发展政策，形成较为完善激励创新的政策体系。放宽科技服务业准入条件，引导企业与高校、院所共建研发中心、科技企业孵化器，深化与科技服务业的合作。广泛吸纳科技资金和风险投资，完善科技企业的融资体系。创新平台管理机制，为科技创新和成果转化提供技术、管理、政策法规等方面的信息和数据资料。加强科技创新载体建设，推进数字科创发展，完善科技服务体系，加快壮大信息与科技服务业，培育发展国家高新技术企业，支持符合条件的企业争创国家级和省级创新平台，打造一批重点突出、资源集聚、服务专业的科技企业孵化器和众创空间，协助铝基新材料产业技术研究院建设、完善和绩效评估，形成一批科技服务产业集群，建立适应现代服务业发展的覆盖全县科技创新全链条、产品生产全周期的创业创新服务体系。</w:t>
      </w:r>
      <w:r>
        <w:rPr>
          <w:rFonts w:hint="default" w:ascii="Times New Roman" w:hAnsi="Times New Roman" w:eastAsia="仿宋_GB2312" w:cs="Times New Roman"/>
          <w:color w:val="000000" w:themeColor="text1"/>
          <w:sz w:val="32"/>
          <w:szCs w:val="32"/>
          <w14:textFill>
            <w14:solidFill>
              <w14:schemeClr w14:val="tx1"/>
            </w14:solidFill>
          </w14:textFill>
        </w:rPr>
        <w:t>到“十四五”末，每万人口有效发明专利拥有量达7件，建成科技企业孵化器和众创空间5家以上，科技服务业营业收入年均增长10%以上。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tblGrid>
      <w:tr w14:paraId="0AF3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3" w:type="dxa"/>
          </w:tcPr>
          <w:p w14:paraId="01076E6E">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专栏3：重点方向或重点项目</w:t>
            </w:r>
          </w:p>
          <w:p w14:paraId="2EF8FF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濉芜现代产业园双创孵化园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，总投资31.6亿元，主要建设内容：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综合服务中心建设项目，占地107亩，建设双创孵化园综合服务中心，总建筑面积12.5万平方米；（2）氢能源产业园及配套建设项目。占地1800亩，建设标准化厂房115万平方米，主要包括仓储中心、生产、展示交易中心等三大功能区;（3）生态及交通提升建设项目，建设3条人工渠道连接巴河及沱河，建设提升泵站，采购100辆氢能源公交车。</w:t>
            </w:r>
          </w:p>
          <w:p w14:paraId="015B242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新型金属铝材料公共服务平台项目，总投资5.6亿元，主要建设内容：占地约144亩，总建筑面积约10万平方米，包含院士工作站、铝产业研发中心、国家级铝制品检测中心、产业孵化期、众创空间、会展中心、科创中心及其他相关配套设施。</w:t>
            </w:r>
          </w:p>
          <w:p w14:paraId="7B87F8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企业安全培训基地项目（应急安全城），总投资约3亿元，主要建设内容：占地约76亩。总建筑面积约3万平方米，包含应急体验馆、应急指挥中心、应急物资储备库以及其他相关配套设施。</w:t>
            </w:r>
          </w:p>
          <w:p w14:paraId="771F409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知俐科技创新产业园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，总投资1.06亿元，位于濉溪经开区，打造科创孵化器。</w:t>
            </w:r>
          </w:p>
          <w:p w14:paraId="346C275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濉溪镇失地农民创业园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10亿元，地面积约500亩，建设标准化工业厂房4万平方米，以及园区路网、地下管网等配套工程，以及承载乾隆湖园区的搬迁安置。</w:t>
            </w:r>
          </w:p>
          <w:p w14:paraId="773CE13A">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汽车零部件综合提升工程项目，总投资约1亿元，主要建设内容：利用商贸基础现有办公楼，建设集园区汽车零部件研发中心、物流配套、公共服务及自主知识产权提升工程于一体的孵化基地。</w:t>
            </w:r>
          </w:p>
        </w:tc>
      </w:tr>
    </w:tbl>
    <w:p w14:paraId="6549388F">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4" w:name="_Toc18680"/>
      <w:bookmarkStart w:id="95" w:name="_Toc83296396"/>
      <w:r>
        <w:rPr>
          <w:rFonts w:hint="default" w:ascii="Times New Roman" w:hAnsi="Times New Roman" w:eastAsia="楷体_GB2312" w:cs="Times New Roman"/>
          <w:b/>
          <w:bCs/>
          <w:color w:val="000000" w:themeColor="text1"/>
          <w:sz w:val="32"/>
          <w:szCs w:val="32"/>
          <w14:textFill>
            <w14:solidFill>
              <w14:schemeClr w14:val="tx1"/>
            </w14:solidFill>
          </w14:textFill>
        </w:rPr>
        <w:t>（六）积极培育节能环保服务业</w:t>
      </w:r>
      <w:bookmarkEnd w:id="94"/>
      <w:bookmarkEnd w:id="95"/>
    </w:p>
    <w:p w14:paraId="23ECE6B2">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节能环保服务业，加大财政投入，从生产、流通、建设、消费各个环节加以引导，对研发、示范、产业化全过程给予扶持，吸引资源向节能环保与检测服务行业集聚。围绕主导产业和战略新兴产业，重点扶持铝制品、精细化工及新兴产业发展检验检测服务业，规范引导建材、冶金、能源企业协同开展城市及产业废弃物的资源化利用。大力培育和发展节能减排投融资、能源审计、清洁生产审核、工程咨询、节能环保产品认证、节能评估、环境法律诉讼和教育培训等第三方节能环保服务体系。大力推行合同能源管理，扶持壮大一批专业化节能公司，引导机构利用合同能源管理机制开展节能服务，支持重点用能单位采用合同能源管理方式实施节能改造，探索节能量交易等市场化节能机制。支持企业开发环保先进技术，提高资源回收企业的组织化和规模化程度，培育和发展绿色工业产品，健全有利于资源循环利用的回收体系和废弃物逆向物流交易平台，建立再制造旧件回收、产品营销、溯源等信息化管理系统。推行环境污染第三方治理。支持储能项目建设。严格落实节能环保相关奖惩措施。</w:t>
      </w:r>
    </w:p>
    <w:p w14:paraId="60C680DA">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6" w:name="_Toc83296397"/>
      <w:bookmarkStart w:id="97" w:name="_Toc22972"/>
      <w:r>
        <w:rPr>
          <w:rFonts w:hint="default" w:ascii="Times New Roman" w:hAnsi="Times New Roman" w:eastAsia="楷体_GB2312" w:cs="Times New Roman"/>
          <w:b/>
          <w:bCs/>
          <w:color w:val="000000" w:themeColor="text1"/>
          <w:sz w:val="32"/>
          <w:szCs w:val="32"/>
          <w14:textFill>
            <w14:solidFill>
              <w14:schemeClr w14:val="tx1"/>
            </w14:solidFill>
          </w14:textFill>
        </w:rPr>
        <w:t>（七）加快发展信息技术服务业</w:t>
      </w:r>
      <w:bookmarkEnd w:id="96"/>
      <w:bookmarkEnd w:id="97"/>
    </w:p>
    <w:p w14:paraId="7CADCE64">
      <w:pPr>
        <w:spacing w:line="560" w:lineRule="exact"/>
        <w:ind w:firstLine="640" w:firstLineChars="200"/>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依托5G等新型基础设施，利用物联网、边缘计算、人工智能等新一代信息技术，加快工业互联网、数据中心等建设，推动基于网络的信息技术服务业发展，大力发展数字经济。加快培育下一代互联网、移动互联网、物联网等环境下的新兴服务业态，着力推进云计算等业务创新和服务模式创新。鼓励集交易、电子认证、在线支付、物流、信用评估等多种服务于一体的第三方电子商务综合服务平台建设，培育一批骨干电子商务服务企业。</w:t>
      </w:r>
      <w:r>
        <w:rPr>
          <w:rFonts w:hint="default" w:ascii="Times New Roman" w:hAnsi="Times New Roman" w:eastAsia="仿宋_GB2312" w:cs="Times New Roman"/>
          <w:color w:val="000000" w:themeColor="text1"/>
          <w:sz w:val="32"/>
          <w:szCs w:val="32"/>
          <w14:textFill>
            <w14:solidFill>
              <w14:schemeClr w14:val="tx1"/>
            </w14:solidFill>
          </w14:textFill>
        </w:rPr>
        <w:t>依托高校与科研院所，运用云计算、物联网、大数据、移动互联网等信息技术改造、提升濉溪县传统服务业，实现服务业结构和技术水平升级。在传感器与传感器网络、RFID、智能仪器仪表、智能终端、网络通信设备等物联网制造产业，通信服务、云计算服务、软件、高端集成与应用等物联网服务业，以及嵌入式系统、芯片与微纳器件等物联网关键支撑产业培育和引进领军企业，实现物联网企业制造业零的突破。加快发展信息技术服务业人力资源培训、服务外包、管理咨询、职业指导等人力资源服务业。创新职业技能教育发展模式，提升职业技能教育质量，完善现代职业技能教育体系，支持社会力量参与兴办职业教育，探索公办和混合所有制相结合办学模式，促进产教深度融合，为信息技术服务业发展提供人才保障。到“十四五”末，</w:t>
      </w:r>
      <w:r>
        <w:rPr>
          <w:rFonts w:hint="default" w:ascii="Times New Roman" w:hAnsi="Times New Roman" w:eastAsia="仿宋_GB2312" w:cs="Times New Roman"/>
          <w:color w:val="000000" w:themeColor="text1"/>
          <w:sz w:val="32"/>
          <w:szCs w:val="32"/>
          <w:lang w:val="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技术</w:t>
      </w:r>
      <w:r>
        <w:rPr>
          <w:rFonts w:hint="default" w:ascii="Times New Roman" w:hAnsi="Times New Roman" w:eastAsia="仿宋_GB2312" w:cs="Times New Roman"/>
          <w:color w:val="000000" w:themeColor="text1"/>
          <w:sz w:val="32"/>
          <w:szCs w:val="32"/>
          <w:lang w:val="zh-CN"/>
          <w14:textFill>
            <w14:solidFill>
              <w14:schemeClr w14:val="tx1"/>
            </w14:solidFill>
          </w14:textFill>
        </w:rPr>
        <w:t>服务业</w:t>
      </w:r>
      <w:r>
        <w:rPr>
          <w:rFonts w:hint="default" w:ascii="Times New Roman" w:hAnsi="Times New Roman" w:eastAsia="仿宋_GB2312" w:cs="Times New Roman"/>
          <w:color w:val="000000" w:themeColor="text1"/>
          <w:sz w:val="32"/>
          <w:szCs w:val="32"/>
          <w14:textFill>
            <w14:solidFill>
              <w14:schemeClr w14:val="tx1"/>
            </w14:solidFill>
          </w14:textFill>
        </w:rPr>
        <w:t>营业收入</w:t>
      </w:r>
      <w:r>
        <w:rPr>
          <w:rFonts w:hint="default" w:ascii="Times New Roman" w:hAnsi="Times New Roman" w:eastAsia="仿宋_GB2312" w:cs="Times New Roman"/>
          <w:color w:val="000000" w:themeColor="text1"/>
          <w:sz w:val="32"/>
          <w:szCs w:val="32"/>
          <w:lang w:val="zh-CN"/>
          <w14:textFill>
            <w14:solidFill>
              <w14:schemeClr w14:val="tx1"/>
            </w14:solidFill>
          </w14:textFill>
        </w:rPr>
        <w:t>年均增长</w:t>
      </w:r>
      <w:r>
        <w:rPr>
          <w:rFonts w:hint="default" w:ascii="Times New Roman" w:hAnsi="Times New Roman" w:eastAsia="仿宋_GB2312" w:cs="Times New Roman"/>
          <w:color w:val="000000" w:themeColor="text1"/>
          <w:sz w:val="32"/>
          <w:szCs w:val="32"/>
          <w14:textFill>
            <w14:solidFill>
              <w14:schemeClr w14:val="tx1"/>
            </w14:solidFill>
          </w14:textFill>
        </w:rPr>
        <w:t>超过</w:t>
      </w:r>
      <w:r>
        <w:rPr>
          <w:rFonts w:hint="default" w:ascii="Times New Roman" w:hAnsi="Times New Roman" w:eastAsia="仿宋_GB2312" w:cs="Times New Roman"/>
          <w:color w:val="000000" w:themeColor="text1"/>
          <w:sz w:val="32"/>
          <w:szCs w:val="32"/>
          <w:lang w:val="zh-CN"/>
          <w14:textFill>
            <w14:solidFill>
              <w14:schemeClr w14:val="tx1"/>
            </w14:solidFill>
          </w14:textFill>
        </w:rPr>
        <w:t>10%。</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14:paraId="7489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0" w:type="dxa"/>
          </w:tcPr>
          <w:p w14:paraId="666CF52B">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专栏4：重点方向或重点项目</w:t>
            </w:r>
          </w:p>
          <w:p w14:paraId="28C7E1E9">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城市智慧超脑运营中心项目，总投资约6亿元，主要建设内容：（1）基础设施部分，建设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p w14:paraId="33B8217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濉溪县大数据产业投资有限责任公司项目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，总投资约6亿元，主要建设内容：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p w14:paraId="26FD50D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猎鹰人力资源产业园项目，总投资0.2亿元，主要建设内容：年营业收入不低于42亿元企业管理顾问服务</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p>
          <w:p w14:paraId="3092329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国才人力资源服务项目，总投资0.5亿元，主要建设内容：占地10亩，投资2000万元，建设人力资源服务项目。</w:t>
            </w:r>
          </w:p>
          <w:p w14:paraId="20C9D7F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濉溪县口子中等专业学校，总投资约1.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占地共计</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308.71亩，建筑面积9.9万平方米，建设项目包括</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装修老校区、建设食堂、宿舍、装修教学楼、实验办公楼、实训大楼等。</w:t>
            </w:r>
          </w:p>
        </w:tc>
      </w:tr>
    </w:tbl>
    <w:p w14:paraId="16A6F9DA">
      <w:pPr>
        <w:widowControl/>
        <w:numPr>
          <w:ilvl w:val="0"/>
          <w:numId w:val="0"/>
        </w:numPr>
        <w:shd w:val="clear" w:color="auto" w:fill="auto"/>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8" w:name="_Toc6262"/>
      <w:bookmarkStart w:id="99" w:name="_Toc83296398"/>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楷体_GB2312" w:cs="Times New Roman"/>
          <w:b/>
          <w:bCs/>
          <w:color w:val="000000" w:themeColor="text1"/>
          <w:sz w:val="32"/>
          <w:szCs w:val="32"/>
          <w14:textFill>
            <w14:solidFill>
              <w14:schemeClr w14:val="tx1"/>
            </w14:solidFill>
          </w14:textFill>
        </w:rPr>
        <w:t>平稳发展房地产业</w:t>
      </w:r>
      <w:bookmarkEnd w:id="98"/>
      <w:bookmarkEnd w:id="99"/>
    </w:p>
    <w:p w14:paraId="15478E72">
      <w:pPr>
        <w:widowControl/>
        <w:numPr>
          <w:ilvl w:val="0"/>
          <w:numId w:val="0"/>
        </w:numPr>
        <w:shd w:val="clear" w:color="auto" w:fill="auto"/>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善房地产业的宏观调控，强化政府对房地产市场尤其是商品住宅市场的宏观调控力度，充分发挥市场调节作用，实现房地产市场总供给与总需求的平衡。完善住房保障政策体系，优化房地产供给结构，建立以政府为主体的基本保障制度，以市场为主体的满足多层次需求的住房供应体系。完善房改政策，建立和完善城镇住房新体制，完善实物保障与货币补贴并举模式。加大保障性（政策性）住房建设，逐步建立包含公共租赁住房、限价商品房、棚户区改造用房等住房的多层次住房保障体系，健全安置房源动态信息数据库，建立和完善公共租赁住房运营管理制度，积极推进城中村和棚户区（旧城）改造工作，改造完善小区配套和市政基础设施。推进老旧小区有机更新，有序推进老旧小区综合整治，加强城市道路和市政基础设施建设，“十四五”末基本完成现有城镇棚户区和城中村改造。发展住房租赁企业，提高住房租赁企业规模化、集约化、专业化水平。引进优质房地产企业，促进房地产开发规模化、品牌化发展，建设一批居住区、商业区、休闲区精品工程，推进濉溪东方时代广场、宏宇之心城等项目续建，加快河西区房地产项目建设，引进开发商投资建设老城改造等项目，持续推进园林绿化和配套设施建设。建立既有居住小区有机更新建管交接制度，建设智慧社区。加快建筑装修、家装设计、家居规划、房地产评估、经纪等房地产业关联服务业的发展，规范中介服务企业行为，提高中介服务质量。营造公平竞争的市场环境，落实企业责任主体，建立房地产业和建筑业守信联合激励和失信联合惩戒制度，健全住宅商品投诉渠道，进一步完善房地产交易、服务、物业管理功能，完善房地产金融信贷制度，完善放贷风险预警机制，进一步</w:t>
      </w:r>
      <w:bookmarkStart w:id="100" w:name="_Hlk47111084"/>
      <w:r>
        <w:rPr>
          <w:rFonts w:hint="default" w:ascii="Times New Roman" w:hAnsi="Times New Roman" w:eastAsia="仿宋_GB2312" w:cs="Times New Roman"/>
          <w:color w:val="000000" w:themeColor="text1"/>
          <w:sz w:val="32"/>
          <w:szCs w:val="32"/>
          <w14:textFill>
            <w14:solidFill>
              <w14:schemeClr w14:val="tx1"/>
            </w14:solidFill>
          </w14:textFill>
        </w:rPr>
        <w:t>加快房地产业信息化建设</w:t>
      </w:r>
      <w:bookmarkEnd w:id="100"/>
      <w:r>
        <w:rPr>
          <w:rFonts w:hint="default" w:ascii="Times New Roman" w:hAnsi="Times New Roman" w:eastAsia="仿宋_GB2312" w:cs="Times New Roman"/>
          <w:color w:val="000000" w:themeColor="text1"/>
          <w:sz w:val="32"/>
          <w:szCs w:val="32"/>
          <w14:textFill>
            <w14:solidFill>
              <w14:schemeClr w14:val="tx1"/>
            </w14:solidFill>
          </w14:textFill>
        </w:rPr>
        <w:t>，实现全县房管系统信息化建设与管理一体化，加快实行房管系统办公自动化，规范房地产市场秩序，保持房价稳定。推广绿色建筑和节能节水节材技术，大力发展新型建造方式，形成一批研发生产基地和示范建设项目，促进房地产业持续健康发展。</w:t>
      </w:r>
    </w:p>
    <w:p w14:paraId="641D030F">
      <w:pPr>
        <w:pStyle w:val="4"/>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01" w:name="_Toc83296399"/>
      <w:bookmarkStart w:id="102" w:name="_Toc20680"/>
      <w:bookmarkStart w:id="103" w:name="_Toc12450"/>
      <w:r>
        <w:rPr>
          <w:rFonts w:hint="default" w:ascii="Times New Roman" w:hAnsi="Times New Roman" w:eastAsia="黑体" w:cs="Times New Roman"/>
          <w:b w:val="0"/>
          <w:bCs w:val="0"/>
          <w:color w:val="000000" w:themeColor="text1"/>
          <w14:textFill>
            <w14:solidFill>
              <w14:schemeClr w14:val="tx1"/>
            </w14:solidFill>
          </w14:textFill>
        </w:rPr>
        <w:t>二、推动生活性服务业向高品质升级和多样化发展</w:t>
      </w:r>
      <w:bookmarkEnd w:id="101"/>
      <w:bookmarkEnd w:id="102"/>
      <w:bookmarkEnd w:id="103"/>
    </w:p>
    <w:p w14:paraId="1F7095BF">
      <w:pPr>
        <w:pStyle w:val="5"/>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4" w:name="_Toc83296400"/>
      <w:bookmarkStart w:id="105" w:name="_Toc23797"/>
      <w:bookmarkStart w:id="106" w:name="_Toc23864"/>
      <w:r>
        <w:rPr>
          <w:rFonts w:hint="default" w:ascii="Times New Roman" w:hAnsi="Times New Roman" w:eastAsia="楷体_GB2312" w:cs="Times New Roman"/>
          <w:color w:val="000000" w:themeColor="text1"/>
          <w14:textFill>
            <w14:solidFill>
              <w14:schemeClr w14:val="tx1"/>
            </w14:solidFill>
          </w14:textFill>
        </w:rPr>
        <w:t>（一）提档升级文化旅游业</w:t>
      </w:r>
      <w:bookmarkEnd w:id="104"/>
      <w:bookmarkEnd w:id="105"/>
      <w:bookmarkEnd w:id="106"/>
    </w:p>
    <w:p w14:paraId="0157AD46">
      <w:pPr>
        <w:spacing w:line="560" w:lineRule="exact"/>
        <w:ind w:firstLine="616" w:firstLineChars="200"/>
        <w:rPr>
          <w:rFonts w:ascii="Times New Roman" w:hAnsi="Times New Roman" w:eastAsia="仿宋_GB2312" w:cs="Times New Roman"/>
          <w:color w:val="0000FF"/>
          <w:spacing w:val="-6"/>
          <w:sz w:val="32"/>
          <w:szCs w:val="32"/>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围绕“运河文化、红色文化、古镇文化、酒文化”特色文化品牌，把文物保护与旅游开发有机结合，积极发展文化旅游产业，</w:t>
      </w:r>
      <w:r>
        <w:rPr>
          <w:rFonts w:ascii="Times New Roman" w:hAnsi="Times New Roman" w:eastAsia="仿宋_GB2312" w:cs="Times New Roman"/>
          <w:color w:val="000000" w:themeColor="text1"/>
          <w:spacing w:val="-6"/>
          <w:sz w:val="32"/>
          <w:szCs w:val="32"/>
          <w14:textFill>
            <w14:solidFill>
              <w14:schemeClr w14:val="tx1"/>
            </w14:solidFill>
          </w14:textFill>
        </w:rPr>
        <w:t>提升濉溪文化旅游知名度和影响力。</w:t>
      </w:r>
      <w:r>
        <w:rPr>
          <w:rFonts w:hint="default" w:ascii="Times New Roman" w:hAnsi="Times New Roman" w:eastAsia="仿宋_GB2312" w:cs="Times New Roman"/>
          <w:color w:val="000000" w:themeColor="text1"/>
          <w:spacing w:val="-6"/>
          <w:sz w:val="32"/>
          <w:szCs w:val="32"/>
          <w14:textFill>
            <w14:solidFill>
              <w14:schemeClr w14:val="tx1"/>
            </w14:solidFill>
          </w14:textFill>
        </w:rPr>
        <w:t>充分挖掘特色文化内涵，优化旅游业布局，加强旅游基础设施建设，统筹推进核心景区建设，推进景区景点环境整治，</w:t>
      </w:r>
      <w:r>
        <w:rPr>
          <w:rFonts w:ascii="Times New Roman" w:hAnsi="Times New Roman" w:eastAsia="仿宋_GB2312" w:cs="Times New Roman"/>
          <w:color w:val="000000" w:themeColor="text1"/>
          <w:spacing w:val="-6"/>
          <w:sz w:val="32"/>
          <w:szCs w:val="32"/>
          <w14:textFill>
            <w14:solidFill>
              <w14:schemeClr w14:val="tx1"/>
            </w14:solidFill>
          </w14:textFill>
        </w:rPr>
        <w:t>支持</w:t>
      </w:r>
      <w:r>
        <w:rPr>
          <w:rFonts w:hint="default" w:ascii="Times New Roman" w:hAnsi="Times New Roman" w:eastAsia="仿宋_GB2312" w:cs="Times New Roman"/>
          <w:color w:val="000000" w:themeColor="text1"/>
          <w:spacing w:val="-6"/>
          <w:sz w:val="32"/>
          <w:szCs w:val="32"/>
          <w14:textFill>
            <w14:solidFill>
              <w14:schemeClr w14:val="tx1"/>
            </w14:solidFill>
          </w14:textFill>
        </w:rPr>
        <w:t>濉溪古城</w:t>
      </w:r>
      <w:r>
        <w:rPr>
          <w:rFonts w:ascii="Times New Roman" w:hAnsi="Times New Roman" w:eastAsia="仿宋_GB2312" w:cs="Times New Roman"/>
          <w:color w:val="000000" w:themeColor="text1"/>
          <w:spacing w:val="-6"/>
          <w:sz w:val="32"/>
          <w:szCs w:val="32"/>
          <w14:textFill>
            <w14:solidFill>
              <w14:schemeClr w14:val="tx1"/>
            </w14:solidFill>
          </w14:textFill>
        </w:rPr>
        <w:t>柳孜文化园申报国家4A级景区，</w:t>
      </w:r>
      <w:r>
        <w:rPr>
          <w:rFonts w:hint="default" w:ascii="Times New Roman" w:hAnsi="Times New Roman" w:eastAsia="仿宋_GB2312" w:cs="Times New Roman"/>
          <w:color w:val="000000" w:themeColor="text1"/>
          <w:spacing w:val="-6"/>
          <w:sz w:val="32"/>
          <w:szCs w:val="32"/>
          <w14:textFill>
            <w14:solidFill>
              <w14:schemeClr w14:val="tx1"/>
            </w14:solidFill>
          </w14:textFill>
        </w:rPr>
        <w:t>支持</w:t>
      </w:r>
      <w:r>
        <w:rPr>
          <w:rFonts w:ascii="Times New Roman" w:hAnsi="Times New Roman" w:eastAsia="仿宋_GB2312" w:cs="Times New Roman"/>
          <w:color w:val="000000" w:themeColor="text1"/>
          <w:spacing w:val="-6"/>
          <w:sz w:val="32"/>
          <w:szCs w:val="32"/>
          <w14:textFill>
            <w14:solidFill>
              <w14:schemeClr w14:val="tx1"/>
            </w14:solidFill>
          </w14:textFill>
        </w:rPr>
        <w:t>临涣古城保护开发及基础设施提升</w:t>
      </w:r>
      <w:r>
        <w:rPr>
          <w:rFonts w:hint="default" w:ascii="Times New Roman" w:hAnsi="Times New Roman" w:eastAsia="仿宋_GB2312" w:cs="Times New Roman"/>
          <w:color w:val="000000" w:themeColor="text1"/>
          <w:spacing w:val="-6"/>
          <w:sz w:val="32"/>
          <w:szCs w:val="32"/>
          <w14:textFill>
            <w14:solidFill>
              <w14:schemeClr w14:val="tx1"/>
            </w14:solidFill>
          </w14:textFill>
        </w:rPr>
        <w:t>，推动</w:t>
      </w:r>
      <w:r>
        <w:rPr>
          <w:rFonts w:ascii="Times New Roman" w:hAnsi="Times New Roman" w:eastAsia="仿宋_GB2312" w:cs="Times New Roman"/>
          <w:color w:val="000000" w:themeColor="text1"/>
          <w:spacing w:val="-6"/>
          <w:sz w:val="32"/>
          <w:szCs w:val="32"/>
          <w14:textFill>
            <w14:solidFill>
              <w14:schemeClr w14:val="tx1"/>
            </w14:solidFill>
          </w14:textFill>
        </w:rPr>
        <w:t>老城石板街改造修复</w:t>
      </w:r>
      <w:r>
        <w:rPr>
          <w:rFonts w:hint="default" w:ascii="Times New Roman" w:hAnsi="Times New Roman" w:eastAsia="仿宋_GB2312" w:cs="Times New Roman"/>
          <w:color w:val="000000" w:themeColor="text1"/>
          <w:spacing w:val="-6"/>
          <w:sz w:val="32"/>
          <w:szCs w:val="32"/>
          <w14:textFill>
            <w14:solidFill>
              <w14:schemeClr w14:val="tx1"/>
            </w14:solidFill>
          </w14:textFill>
        </w:rPr>
        <w:t>并早日对外开放，推动</w:t>
      </w:r>
      <w:r>
        <w:rPr>
          <w:rFonts w:ascii="Times New Roman" w:hAnsi="Times New Roman" w:eastAsia="仿宋_GB2312" w:cs="Times New Roman"/>
          <w:color w:val="000000" w:themeColor="text1"/>
          <w:spacing w:val="-6"/>
          <w:sz w:val="32"/>
          <w:szCs w:val="32"/>
          <w14:textFill>
            <w14:solidFill>
              <w14:schemeClr w14:val="tx1"/>
            </w14:solidFill>
          </w14:textFill>
        </w:rPr>
        <w:t>凤栖湖湿地生态保护项目</w:t>
      </w:r>
      <w:r>
        <w:rPr>
          <w:rFonts w:hint="default" w:ascii="Times New Roman" w:hAnsi="Times New Roman" w:eastAsia="仿宋_GB2312" w:cs="Times New Roman"/>
          <w:color w:val="000000" w:themeColor="text1"/>
          <w:spacing w:val="-6"/>
          <w:sz w:val="32"/>
          <w:szCs w:val="32"/>
          <w14:textFill>
            <w14:solidFill>
              <w14:schemeClr w14:val="tx1"/>
            </w14:solidFill>
          </w14:textFill>
        </w:rPr>
        <w:t>，升级县域范围、旅游公路沿线以及高速路口等重要节点的旅游标识系统，发展文化体验、红色朝圣、休闲度假、生态观光、农业体验等旅游业态。</w:t>
      </w:r>
      <w:r>
        <w:rPr>
          <w:rFonts w:ascii="Times New Roman" w:hAnsi="Times New Roman" w:eastAsia="仿宋_GB2312" w:cs="Times New Roman"/>
          <w:color w:val="000000" w:themeColor="text1"/>
          <w:spacing w:val="-6"/>
          <w:sz w:val="32"/>
          <w:szCs w:val="32"/>
          <w14:textFill>
            <w14:solidFill>
              <w14:schemeClr w14:val="tx1"/>
            </w14:solidFill>
          </w14:textFill>
        </w:rPr>
        <w:t>持续做强淮海战役红色文化品牌，把文昌宫、小李家、双堆集烈士陵园等红色革命文化资源串珠成链，打造长三角</w:t>
      </w:r>
      <w:r>
        <w:rPr>
          <w:rFonts w:hint="default" w:ascii="Times New Roman" w:hAnsi="Times New Roman" w:eastAsia="仿宋_GB2312" w:cs="Times New Roman"/>
          <w:color w:val="000000" w:themeColor="text1"/>
          <w:spacing w:val="-6"/>
          <w:sz w:val="32"/>
          <w:szCs w:val="32"/>
          <w14:textFill>
            <w14:solidFill>
              <w14:schemeClr w14:val="tx1"/>
            </w14:solidFill>
          </w14:textFill>
        </w:rPr>
        <w:t>有影响力的</w:t>
      </w:r>
      <w:r>
        <w:rPr>
          <w:rFonts w:ascii="Times New Roman" w:hAnsi="Times New Roman" w:eastAsia="仿宋_GB2312" w:cs="Times New Roman"/>
          <w:color w:val="000000" w:themeColor="text1"/>
          <w:spacing w:val="-6"/>
          <w:sz w:val="32"/>
          <w:szCs w:val="32"/>
          <w14:textFill>
            <w14:solidFill>
              <w14:schemeClr w14:val="tx1"/>
            </w14:solidFill>
          </w14:textFill>
        </w:rPr>
        <w:t>红色文化精品线路。依托沿沱河乡村振兴示范带，加快推动特色镇村建设，大力发展民俗风情、休闲度假、绿色生态等为主题的特色旅游，</w:t>
      </w:r>
      <w:r>
        <w:rPr>
          <w:rFonts w:hint="default" w:ascii="Times New Roman" w:hAnsi="Times New Roman" w:eastAsia="仿宋_GB2312" w:cs="Times New Roman"/>
          <w:color w:val="000000" w:themeColor="text1"/>
          <w:spacing w:val="-6"/>
          <w:sz w:val="32"/>
          <w:szCs w:val="32"/>
          <w14:textFill>
            <w14:solidFill>
              <w14:schemeClr w14:val="tx1"/>
            </w14:solidFill>
          </w14:textFill>
        </w:rPr>
        <w:t>积极开发农家乐、采摘篱园等乡村旅游产品</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开展旅游服务质量提升行动，实施旅游标准化建设，提升旅游服务质量和水平。适时开展全域旅游示范区创建，推动旅游产业与相关产业的融合发展，促进县域旅游整体发展，</w:t>
      </w:r>
      <w:r>
        <w:rPr>
          <w:rFonts w:ascii="Times New Roman" w:hAnsi="Times New Roman" w:eastAsia="仿宋_GB2312" w:cs="Times New Roman"/>
          <w:color w:val="000000" w:themeColor="text1"/>
          <w:spacing w:val="-6"/>
          <w:sz w:val="32"/>
          <w:szCs w:val="32"/>
          <w14:textFill>
            <w14:solidFill>
              <w14:schemeClr w14:val="tx1"/>
            </w14:solidFill>
          </w14:textFill>
        </w:rPr>
        <w:t>绘就全域旅游发展的美丽新画卷</w:t>
      </w:r>
      <w:r>
        <w:rPr>
          <w:rFonts w:hint="default" w:ascii="Times New Roman" w:hAnsi="Times New Roman" w:eastAsia="仿宋_GB2312" w:cs="Times New Roman"/>
          <w:color w:val="000000" w:themeColor="text1"/>
          <w:spacing w:val="-6"/>
          <w:sz w:val="32"/>
          <w:szCs w:val="32"/>
          <w14:textFill>
            <w14:solidFill>
              <w14:schemeClr w14:val="tx1"/>
            </w14:solidFill>
          </w14:textFill>
        </w:rPr>
        <w:t>，以旅游产业为抓手推动县域经济发展。“十四五</w:t>
      </w:r>
      <w:r>
        <w:rPr>
          <w:rFonts w:ascii="Times New Roman" w:hAnsi="Times New Roman" w:eastAsia="仿宋_GB2312" w:cs="Times New Roman"/>
          <w:color w:val="000000" w:themeColor="text1"/>
          <w:spacing w:val="-6"/>
          <w:sz w:val="32"/>
          <w:szCs w:val="32"/>
          <w14:textFill>
            <w14:solidFill>
              <w14:schemeClr w14:val="tx1"/>
            </w14:solidFill>
          </w14:textFill>
        </w:rPr>
        <w:t>”末，</w:t>
      </w:r>
      <w:r>
        <w:rPr>
          <w:rFonts w:hint="default" w:ascii="Times New Roman" w:hAnsi="Times New Roman" w:eastAsia="仿宋_GB2312" w:cs="Times New Roman"/>
          <w:color w:val="000000" w:themeColor="text1"/>
          <w:spacing w:val="-6"/>
          <w:sz w:val="32"/>
          <w:szCs w:val="32"/>
          <w14:textFill>
            <w14:solidFill>
              <w14:schemeClr w14:val="tx1"/>
            </w14:solidFill>
          </w14:textFill>
        </w:rPr>
        <w:t>全县力争建成4A级景区2个、3A级景区6个，打造3个特色旅游名镇、5个特色旅游名村、3个休闲旅游示范点，</w:t>
      </w:r>
      <w:r>
        <w:rPr>
          <w:rFonts w:hint="default" w:ascii="Times New Roman" w:hAnsi="Times New Roman" w:eastAsia="仿宋_GB2312" w:cs="Times New Roman"/>
          <w:color w:val="000000" w:themeColor="text1"/>
          <w:spacing w:val="-6"/>
          <w:sz w:val="32"/>
          <w14:textFill>
            <w14:solidFill>
              <w14:schemeClr w14:val="tx1"/>
            </w14:solidFill>
          </w14:textFill>
        </w:rPr>
        <w:t>若干条淮海战役红色旅游线路，年游客量超过300万人次，旅游收入力争超过100亿元，</w:t>
      </w:r>
      <w:r>
        <w:rPr>
          <w:rFonts w:hint="default" w:ascii="Times New Roman" w:hAnsi="Times New Roman" w:eastAsia="仿宋_GB2312" w:cs="Times New Roman"/>
          <w:color w:val="000000" w:themeColor="text1"/>
          <w:spacing w:val="-6"/>
          <w:sz w:val="32"/>
          <w:szCs w:val="32"/>
          <w14:textFill>
            <w14:solidFill>
              <w14:schemeClr w14:val="tx1"/>
            </w14:solidFill>
          </w14:textFill>
        </w:rPr>
        <w:t>基本建成创新型文化和旅游大县，建成在皖北乃至中原经济区和淮海经济区具有较高知名度的休闲旅游目的地</w:t>
      </w:r>
      <w:r>
        <w:rPr>
          <w:rFonts w:hint="default" w:ascii="Times New Roman" w:hAnsi="Times New Roman" w:eastAsia="仿宋_GB2312" w:cs="Times New Roman"/>
          <w:color w:val="000000" w:themeColor="text1"/>
          <w:spacing w:val="-6"/>
          <w:kern w:val="0"/>
          <w:sz w:val="32"/>
          <w:szCs w:val="32"/>
          <w:shd w:val="clear" w:color="auto" w:fill="FFFFFF"/>
          <w14:textFill>
            <w14:solidFill>
              <w14:schemeClr w14:val="tx1"/>
            </w14:solidFill>
          </w14:textFill>
        </w:rPr>
        <w:t>，全省乃至全国著名红色文化传承和红色旅游产业基地</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14:paraId="1A06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1" w:type="dxa"/>
          </w:tcPr>
          <w:p w14:paraId="4DFF78E6">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专栏5：重点方向或重点项目</w:t>
            </w:r>
          </w:p>
          <w:p w14:paraId="7DFBA5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凤栖湖湿地生态保护(采煤沉陷区生态保护)项目，总投资2.1亿元，主要建设内容：湿地恢复与保护工程总规划用地约12100亩（含水体）,交通工程（总规划用地约420亩，主要建设内容包括环湖路、游步道、湿地栈道、码头、桥梁等）。</w:t>
            </w:r>
          </w:p>
          <w:p w14:paraId="31D0C14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安徽淮北濉溪县老城石板街历史街区保护与更新项目，总投资5.72亿元，主要建设内容：修复老城石板街长1000米，沿街门面400多间恢复旧时景象和重要景点十处，建设博物馆、公园以及基础配套设施等。</w:t>
            </w:r>
          </w:p>
          <w:p w14:paraId="6AF0288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淮海战役双堆集战场遗址旅游发展项目，总投资21.22亿元，主要建设内容：开发建设淮海战役双堆集战场红色旅游资源，打造5A级红色旅游及爱国主义教育基地。</w:t>
            </w:r>
          </w:p>
          <w:p w14:paraId="254CAB6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临涣文化旅游休闲街区项目，总投资0.14亿元，主要建设内容：建设蹇叔墓（石板街）、老街、南阁街三条街区石板街、社区便民商圈、特色文化旅游购物场所及消费聚集区配套基础</w:t>
            </w:r>
            <w:r>
              <w:rPr>
                <w:rFonts w:hint="eastAsia" w:eastAsia="仿宋_GB2312" w:cs="Times New Roman"/>
                <w:color w:val="000000" w:themeColor="text1"/>
                <w:kern w:val="0"/>
                <w:sz w:val="28"/>
                <w:szCs w:val="28"/>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8"/>
                <w:szCs w:val="28"/>
                <w14:textFill>
                  <w14:solidFill>
                    <w14:schemeClr w14:val="tx1"/>
                  </w14:solidFill>
                </w14:textFill>
              </w:rPr>
              <w:t>施建设。</w:t>
            </w:r>
          </w:p>
          <w:p w14:paraId="118EE4D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古镇保护与展示及基础设施提升项目，总投资22.6亿元，主要建设内容：古镇道路及配套工程、古镇旅游基础设施及配套项目、临涣古城墙保护与环境提升项目、古镇四大名泉保护与利用项目、古镇研学游乐体验项目、古镇游客服务设施建设项目、古镇遗存保护与展示项目。</w:t>
            </w:r>
          </w:p>
          <w:p w14:paraId="643DC37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铁佛镇文化旅游环境综合治理项目，总投资1.85亿元，主要建设内容：邹楼村银杏树开发环境综合治理项目、古汉墓国保单位周边环境综合治理项目、卧龙湖人民公社文化旅游周边环境综合提升项目、铁佛寺周边环境综合治理项目及崔楼村农民文化园综合开发项目。</w:t>
            </w:r>
          </w:p>
          <w:p w14:paraId="4C9FA5A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濉溪县百善特色旅游微型产业集聚区</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24.79</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p w14:paraId="0C7ADD4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百善镇乡村振兴文旅融合—隋唐微型产业集聚区建设项目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13.00</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占地480亩，拆迁安置1000户，隋唐微型产业集聚区特色建筑150000平方米，并建设各项配套设施。</w:t>
            </w:r>
          </w:p>
          <w:p w14:paraId="404DF75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濉溪县小李家红色文化基地建设，总投资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5.5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亿元，主要建设内容：用地1800亩，主要进行濉溪县小李家红色文化基地建设，建设内容主要包括生态采摘园、游客接待中心以及配套工程、旅游购物一条街和旅游景点提升工程、土地整理等。</w:t>
            </w:r>
          </w:p>
          <w:p w14:paraId="31B8AA1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淮北濉溪县淮海红色观游影视文化基地项目，总投资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亿元，主要建设内容：建设红色革命史和红色教育、观光、拍摄、文化、旅游影视城，包含中华传统民居影视城、和淮海战场动漫园。</w:t>
            </w:r>
          </w:p>
          <w:p w14:paraId="070DD80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黄沟村压煤塌陷区休闲观光基地，总投资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0.36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p w14:paraId="338027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南坪狙击战纪念馆项目，总投资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亿元，主要建设内容：占地约100亩，建设内容包括纪念馆、纪念塔、文化馆、民俗馆、农村大舞台、文明实践中心、广场、停车场等其他相关配套设施。</w:t>
            </w:r>
          </w:p>
          <w:p w14:paraId="3B2D39E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双堆集镇乡村振兴培训服务中心建设项目，总投资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3</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拟选址在淮海战役陵园东侧，计划占地263亩，投资2亿元，设计接待能力600人，院内规划有多媒体教室、餐厅、宿舍、拓展基地等教育及周边配套。服务对象包括淮、徐、宿、蚌、亳、永等1小时车程地区的团体学员和个体游客。</w:t>
            </w:r>
          </w:p>
        </w:tc>
      </w:tr>
    </w:tbl>
    <w:p w14:paraId="75C65082">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7" w:name="_Toc4573"/>
      <w:bookmarkStart w:id="108" w:name="_Toc83296401"/>
      <w:bookmarkStart w:id="109" w:name="_Toc356"/>
      <w:r>
        <w:rPr>
          <w:rFonts w:hint="default" w:ascii="Times New Roman" w:hAnsi="Times New Roman" w:eastAsia="楷体_GB2312" w:cs="Times New Roman"/>
          <w:color w:val="000000" w:themeColor="text1"/>
          <w14:textFill>
            <w14:solidFill>
              <w14:schemeClr w14:val="tx1"/>
            </w14:solidFill>
          </w14:textFill>
        </w:rPr>
        <w:t>（二）优化发展商贸流通业</w:t>
      </w:r>
      <w:bookmarkEnd w:id="107"/>
      <w:bookmarkEnd w:id="108"/>
      <w:bookmarkEnd w:id="109"/>
    </w:p>
    <w:p w14:paraId="2580A4FE">
      <w:pPr>
        <w:spacing w:line="560" w:lineRule="exact"/>
        <w:ind w:firstLine="672"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shd w:val="clear" w:color="auto" w:fill="FFFFFF"/>
          <w:lang w:bidi="ar"/>
          <w14:textFill>
            <w14:solidFill>
              <w14:schemeClr w14:val="tx1"/>
            </w14:solidFill>
          </w14:textFill>
        </w:rPr>
        <w:t>以扩大消费和保障供应为主线，顺应生活方式和消费理念转变，优化城市流通网络，畅通农村商贸渠道，加强现代批发零售服务体系建设，构建充满活力、特色明显、优势互补的现代商贸业发展新格局。完善城市商贸服务功能，优化城市商业综合体、综合超市、批发市场等商业网点结构和布局。完善城乡流通基础设施建设。结合老城棚户区改造工程，推进老城区商业网点升级换代和功能更新，依托河西区和南部次中心建设，推进商业中心、专业市场和特色商业网点建设，强化商贸服务功能和水平。完善重点乡镇商贸体系，巩固和提升市场工程等，打造若干县域商贸副中心。延伸社区服务、开拓农村市场，扶持农村现代流通网络建设。大力引进国内外知名商贸企业，引进城市综合体项目，提升农村中心镇商贸中心、商品配送中心和中心村直营连锁店服务功能。发挥实体店的服务、体验优势，与线上企业开展深度合作，鼓励商贸流通企业发展连锁经营、电子商务、大型超市、仓储式商场等新型业态，推进传统商贸业与电子商务、连锁经营等业态融合发展，支持供销、邮政、商贸流通企业开展连锁配送，推广使用智能包裹柜、智能快件箱。大力发展社区商业，引导便利店等业态进社区，规范和拓展代收费、代收货等便民服务。大力发展新型业态，推进商贸流通业态多元化。依照相关法律、行政法规规定，加强对关系国计民生、人民群众生命安全等商品的流通准入管理，健全覆盖准入、监管、退出的全程</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管理机制。力争到“十四五”末，建成以县城为中心、乡镇为重点、村为基础、分工合理、布局完善的一体化县域商业网络体系，优化消费环境，促进居民消费，至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年均增速9%</w:t>
      </w:r>
      <w:r>
        <w:rPr>
          <w:rFonts w:hint="default" w:ascii="Times New Roman" w:hAnsi="Times New Roman" w:eastAsia="仿宋_GB2312" w:cs="Times New Roman"/>
          <w:color w:val="000000" w:themeColor="text1"/>
          <w:spacing w:val="8"/>
          <w:kern w:val="0"/>
          <w:sz w:val="32"/>
          <w:szCs w:val="32"/>
          <w:highlight w:val="none"/>
          <w:shd w:val="clear" w:color="auto" w:fill="FFFFFF"/>
          <w:lang w:val="en-US" w:eastAsia="zh-CN" w:bidi="ar"/>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培育和发展年销售额超亿元以上大型商贸流通企业3家。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8"/>
      </w:tblGrid>
      <w:tr w14:paraId="5480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18" w:type="dxa"/>
          </w:tcPr>
          <w:p w14:paraId="22729F64">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ind w:left="420" w:leftChars="200"/>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专栏6：重点方向或重点项目</w:t>
            </w:r>
          </w:p>
          <w:p w14:paraId="534DBCF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虹桥商业广场项目，总投资10亿元,主要建设内容：占地面积约300亩，建设集汽车交易、建材家居销售、文体娱乐设施等于一体的大型商业综合体。</w:t>
            </w:r>
          </w:p>
          <w:p w14:paraId="3BF898F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闸河路商业综合体，总投资1.5亿元，主要建设内容：建筑面积约2.68万平方米，建设生鲜超市（标准化菜市场）、蔬菜副食品检疫检验中心、社区生活设施配套、商务酒店、餐饮、娱乐等项目。</w:t>
            </w:r>
          </w:p>
          <w:p w14:paraId="25E89AB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二关路商贸综合体，总投资1亿元，主要建设内容：建筑面积约3万平方米，其中新型菜市场建筑面积约6千平方米。办公商铺及超市约1.2万平方米，休闲娱乐及酒店约5千平方米，地下建筑面积约7千平方米。</w:t>
            </w:r>
          </w:p>
          <w:p w14:paraId="6B37E94A">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中瑞农产品批发市场项目，总投资</w:t>
            </w:r>
            <w:r>
              <w:rPr>
                <w:rFonts w:hint="eastAsia" w:eastAsia="仿宋_GB2312" w:cs="Times New Roman"/>
                <w:color w:val="000000" w:themeColor="text1"/>
                <w:kern w:val="0"/>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亿元，主要建设内容：建设农副产品9大交易区，以及配套仓储物流、加工配送、检测检疫等服务中心，开展农副产品批发零售、电子商务、生鲜配送等业务。</w:t>
            </w:r>
          </w:p>
          <w:p w14:paraId="682B7FAF">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河西区城市综合体项目，总投资35亿元，主要建设内容：规划用地110亩，建设新型购物中心、社区生活服务、商务酒店、娱乐、餐饮、特色文化商业街（濉溪历史文化街区）、商务办公、商务公寓等。</w:t>
            </w:r>
          </w:p>
          <w:p w14:paraId="05BFD6C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韩村镇商业综合体建设项目，总投资0.38亿元，主要建设内容：占地面积12561平方米，约合18.83亩，对原韩建金朋酒店维修改造，总建筑面积18900平方米。</w:t>
            </w:r>
          </w:p>
          <w:p w14:paraId="246E959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南坪镇商业消费集聚区建设项目，总投资2亿元，主要建设内容：特色美食街、城镇商业步行街、商业综合体、社区便民商业圈、农贸商城等便民商业圈及其互联互通配套基础设施建设。</w:t>
            </w:r>
          </w:p>
          <w:p w14:paraId="0A1204F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铁佛综合商贸服务一体化建设项目，总投资0.6亿元，主要建设内容：项目建筑面积约10000平方米。</w:t>
            </w:r>
          </w:p>
          <w:p w14:paraId="14EF8F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五沟镇综合商贸服务一体化建设项目，总投资0.35亿元，主要建设内容：打造全新的商业综合体，构筑新商业业态，项目建筑面积约5000平方米。</w:t>
            </w:r>
          </w:p>
          <w:p w14:paraId="32DA476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四铺镇菊花产业园建设项目，总投资4.07亿元，主要建设内容：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p w14:paraId="4815D4D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濉溪县汽车文化产业园项目，总投资5亿元，主要建设内容：建设面积20000平方米现代汽车文化产业园。</w:t>
            </w:r>
          </w:p>
        </w:tc>
      </w:tr>
    </w:tbl>
    <w:p w14:paraId="26AA3312">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0" w:name="_Toc83296402"/>
      <w:bookmarkStart w:id="111" w:name="_Toc10958"/>
      <w:bookmarkStart w:id="112" w:name="_Toc11142"/>
      <w:r>
        <w:rPr>
          <w:rFonts w:hint="default" w:ascii="Times New Roman" w:hAnsi="Times New Roman" w:eastAsia="楷体_GB2312" w:cs="Times New Roman"/>
          <w:color w:val="000000" w:themeColor="text1"/>
          <w14:textFill>
            <w14:solidFill>
              <w14:schemeClr w14:val="tx1"/>
            </w14:solidFill>
          </w14:textFill>
        </w:rPr>
        <w:t>（三）积极发展健康养老业</w:t>
      </w:r>
      <w:bookmarkEnd w:id="110"/>
      <w:bookmarkEnd w:id="111"/>
      <w:bookmarkEnd w:id="112"/>
    </w:p>
    <w:p w14:paraId="272ECEAF">
      <w:pPr>
        <w:spacing w:line="56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以人民为中心，发展“银发经济”，构建“居家社区机构相协调，医养康养相结合”养老服务体系。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贯彻落实省市医改决策部署，进一步</w:t>
      </w:r>
      <w:r>
        <w:rPr>
          <w:rFonts w:hint="default" w:ascii="Times New Roman" w:hAnsi="Times New Roman" w:eastAsia="仿宋_GB2312" w:cs="Times New Roman"/>
          <w:color w:val="000000" w:themeColor="text1"/>
          <w:sz w:val="32"/>
          <w:szCs w:val="32"/>
          <w14:textFill>
            <w14:solidFill>
              <w14:schemeClr w14:val="tx1"/>
            </w14:solidFill>
          </w14:textFill>
        </w:rPr>
        <w:t>优化医疗资源配置，完善覆盖城乡的卫生服务体系。推进医疗机构与养老机构深度融合发展，鼓励通过建设医疗养老联合体等多种方式，提供治疗期住院、康复期护理、稳定期生活照料以及临终关怀一体化的健康和养老服务。增强医疗机构为老年人提供便捷、优先优惠医疗服务的能力。积极推进养老机构开展医疗服务。鼓励社会资本举办养老机构或医养结合机构。</w:t>
      </w:r>
      <w:r>
        <w:rPr>
          <w:rFonts w:hint="default" w:ascii="Times New Roman" w:hAnsi="Times New Roman" w:eastAsia="仿宋_GB2312" w:cs="Times New Roman"/>
          <w:bCs/>
          <w:color w:val="000000" w:themeColor="text1"/>
          <w:sz w:val="32"/>
          <w:szCs w:val="32"/>
          <w14:textFill>
            <w14:solidFill>
              <w14:schemeClr w14:val="tx1"/>
            </w14:solidFill>
          </w14:textFill>
        </w:rPr>
        <w:t>推进居家社区健康养老服务发展，</w:t>
      </w:r>
      <w:r>
        <w:rPr>
          <w:rFonts w:hint="default" w:ascii="Times New Roman" w:hAnsi="Times New Roman" w:eastAsia="仿宋_GB2312" w:cs="Times New Roman"/>
          <w:color w:val="000000" w:themeColor="text1"/>
          <w:sz w:val="32"/>
          <w:szCs w:val="32"/>
          <w14:textFill>
            <w14:solidFill>
              <w14:schemeClr w14:val="tx1"/>
            </w14:solidFill>
          </w14:textFill>
        </w:rPr>
        <w:t>依托“15分钟就医圈”和县域医共体建设、智医助理等建设，围绕社区卫生服务中心、镇卫生院等实施健康养老基本公共卫生服务项目，推进卫生服务机构为老年人提供日常护理、慢性病管理、康复、健康教育和咨询、中医养生保健等服务，建立健全健康管理服务制度，加强老年人健康档案信息动态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发挥政府“保基本”的作用，全面放开养老育幼服务市场，</w:t>
      </w:r>
      <w:r>
        <w:rPr>
          <w:rFonts w:hint="default" w:ascii="Times New Roman" w:hAnsi="Times New Roman" w:eastAsia="仿宋_GB2312" w:cs="Times New Roman"/>
          <w:color w:val="000000" w:themeColor="text1"/>
          <w:sz w:val="32"/>
          <w:szCs w:val="32"/>
          <w14:textFill>
            <w14:solidFill>
              <w14:schemeClr w14:val="tx1"/>
            </w14:solidFill>
          </w14:textFill>
        </w:rPr>
        <w:t>支持社会资本参与居家养老、社区综合服务、集中养老等养老服务产业，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逐步使社会力量成为发展养老服务业的主体。运用新一代信息技术，积极发展智慧健康养老，培育“智慧+”养老新模式、新业态、新应用，发展养老科技、产品研发与装备产业，打造一批各具特色的养老服务龙头企业。积极开发安全有效的休闲养生食品、功能性保健食品，康复辅具、日常照护等老年人用品用具和服务产品，</w:t>
      </w:r>
      <w:r>
        <w:rPr>
          <w:rFonts w:hint="default" w:ascii="Times New Roman" w:hAnsi="Times New Roman" w:eastAsia="仿宋_GB2312" w:cs="Times New Roman"/>
          <w:color w:val="000000" w:themeColor="text1"/>
          <w:sz w:val="32"/>
          <w:szCs w:val="32"/>
          <w14:textFill>
            <w14:solidFill>
              <w14:schemeClr w14:val="tx1"/>
            </w14:solidFill>
          </w14:textFill>
        </w:rPr>
        <w:t>重点围绕增强免疫功能、营养素补充、缓解体力疲劳、辅助降血脂等功能类型开发新一代功能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性</w:t>
      </w:r>
      <w:r>
        <w:rPr>
          <w:rFonts w:hint="default" w:ascii="Times New Roman" w:hAnsi="Times New Roman" w:eastAsia="仿宋_GB2312" w:cs="Times New Roman"/>
          <w:color w:val="000000" w:themeColor="text1"/>
          <w:sz w:val="32"/>
          <w:szCs w:val="32"/>
          <w14:textFill>
            <w14:solidFill>
              <w14:schemeClr w14:val="tx1"/>
            </w14:solidFill>
          </w14:textFill>
        </w:rPr>
        <w:t>保健食品。实施食品、药品安全战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略，加大农村食品药品安全治理力度，完善对网络销售食品、药品的监管。培育发展适老化的养老地产，完善老旧小区养老设施建设，新建小区按规定建设养老设施。鼓励商业保险公司积极开发长期护理商业险以及与健康管理、养老等服务相关的商业健康保险产品。提升中医健康服务能力，推动医疗机构开展中医医疗预防保健</w:t>
      </w:r>
      <w:r>
        <w:rPr>
          <w:rFonts w:hint="default" w:ascii="Times New Roman" w:hAnsi="Times New Roman" w:eastAsia="仿宋_GB2312" w:cs="Times New Roman"/>
          <w:color w:val="000000" w:themeColor="text1"/>
          <w:sz w:val="32"/>
          <w:szCs w:val="32"/>
          <w14:textFill>
            <w14:solidFill>
              <w14:schemeClr w14:val="tx1"/>
            </w14:solidFill>
          </w14:textFill>
        </w:rPr>
        <w:t>服务，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展健康体检、咨询等健康服务。支持整合医疗资源、中医药等特色养生保健资源、绿色生态旅游资源，发展养生、体育和医疗健康旅游。支持数字化健康养老服务产品研发，打造一批医养结合数据服务中心、产品用品研发中心，推进健康服务信息化。支持开展养老服务人员培训，加快建设素质优良的专业队伍。优化财政支持养老服务业发展的支出结构，相关资金更多用于支持社区养老服务。争创省级医养结合综合示范区、医养结合示范基地（园区）、医养结合示范项目、社区医养结合示范中心。力争到“十四五”末，</w:t>
      </w:r>
      <w:r>
        <w:rPr>
          <w:rFonts w:hint="default" w:ascii="Times New Roman" w:hAnsi="Times New Roman" w:eastAsia="仿宋_GB2312" w:cs="Times New Roman"/>
          <w:color w:val="000000" w:themeColor="text1"/>
          <w:sz w:val="32"/>
          <w:szCs w:val="32"/>
          <w14:textFill>
            <w14:solidFill>
              <w14:schemeClr w14:val="tx1"/>
            </w14:solidFill>
          </w14:textFill>
        </w:rPr>
        <w:t>全县养老机构护理型床位比例不低于55%，每千人口拥有0-3岁婴幼儿托位数0.4个，</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实现全县养老院和幼儿园服务覆盖到每个行政村</w:t>
      </w:r>
      <w:r>
        <w:rPr>
          <w:rFonts w:hint="default" w:ascii="Times New Roman" w:hAnsi="Times New Roman" w:eastAsia="仿宋_GB2312" w:cs="Times New Roman"/>
          <w:color w:val="000000" w:themeColor="text1"/>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9"/>
      </w:tblGrid>
      <w:tr w14:paraId="51F5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39" w:type="dxa"/>
          </w:tcPr>
          <w:p w14:paraId="78289C0A">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专栏7：重点方向或重点项目</w:t>
            </w:r>
          </w:p>
          <w:p w14:paraId="4C9DF7E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淮北银华康养综合服务中心一期、二期项目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，总投资9.5亿元，主要建设内容：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14:paraId="4313B7DB">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濉溪县乡村医养结合项目，总投资3.75亿元，主要建设内容：总改扩建建筑面积约9.15万平方米，新增医疗设备约239台、套，以及信息化建设。</w:t>
            </w:r>
          </w:p>
          <w:p w14:paraId="6A749C62">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杏康血液透析中心项目，总投资0.3亿元，主要建设内容：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r>
    </w:tbl>
    <w:p w14:paraId="6FF41DEC">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3" w:name="_Toc83296403"/>
      <w:bookmarkStart w:id="114" w:name="_Toc10097"/>
      <w:bookmarkStart w:id="115" w:name="_Toc29080"/>
      <w:r>
        <w:rPr>
          <w:rFonts w:hint="default" w:ascii="Times New Roman" w:hAnsi="Times New Roman" w:eastAsia="楷体_GB2312" w:cs="Times New Roman"/>
          <w:color w:val="000000" w:themeColor="text1"/>
          <w14:textFill>
            <w14:solidFill>
              <w14:schemeClr w14:val="tx1"/>
            </w14:solidFill>
          </w14:textFill>
        </w:rPr>
        <w:t>（四）规范发展社区服务业</w:t>
      </w:r>
      <w:bookmarkEnd w:id="113"/>
      <w:bookmarkEnd w:id="114"/>
      <w:bookmarkEnd w:id="115"/>
    </w:p>
    <w:p w14:paraId="61B42246">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themeColor="text1"/>
          <w:sz w:val="32"/>
          <w:szCs w:val="32"/>
          <w14:textFill>
            <w14:solidFill>
              <w14:schemeClr w14:val="tx1"/>
            </w14:solidFill>
          </w14:textFill>
        </w:rPr>
        <w:t>强化基层党建，完善社区服务网点，积极构建党建引领社区生活性服务业发展新格局，多方位提供生活性服务。健全服务体系，构建全方位、多层次的社区服务体系。大力发展休闲娱乐、餐饮、农产品市场等与居民生活密切相关产业，培育发展康复保健、医疗护理、健身养生等健康服务业，加快发展养老托幼、家政服务、社区照料、病患陪护等家庭服务业，鼓励发展家庭教育、心理咨询、母婴护理、家庭用品配送、美容美发、洗染、家用电器及其他日用品修理等生活性服务，支持创办各类便民利民的社区服务企业和中介机构，推动房地产中介、房屋租赁经营、物业管理、搬家保洁、家用车辆保养维修等生活性服务规范化、标准化发展，促进社区服务产业化发展。加强民生领域法律服务，推进覆盖城乡居民的公共法律服务体系建设。加强社区服务站、志愿者服务队的建设和管理，不断完善社区义务服务平台，完善村、社区党建协调机构、社区党员议事会等平台，建立健全社区自我服务能力。加强社区服务信息网络建设，鼓励在乡村建立综合性服务网点，提高农村居民生活便利化水平，积极开展便民利民服务，为村、社区居民群众排忧解难，满足村、社区居民群众多层次、多样化的需求。加快建立供给充分、服务便捷、管理规范、惠及城乡的家政物业服务体系，鼓励有条件的企业品牌化、连锁化发展，打造一批知名家庭服务品牌。整合、充实、升级家庭服务业公共平台，健全服务网络，实现一网多能、跨区域服务，发挥平台对城乡生活性服务业的引导和支撑作用，推进治理数字化发展。探索打造“15分钟高品质社区服务圈”，提档升级社区商业服务，构建特色“邻里”街区，提升居民文化生活层次和品质。</w:t>
      </w:r>
    </w:p>
    <w:p w14:paraId="11DF064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6" w:name="_Toc83296404"/>
      <w:bookmarkStart w:id="117" w:name="_Toc18923"/>
      <w:bookmarkStart w:id="118" w:name="_Toc32403"/>
      <w:r>
        <w:rPr>
          <w:rFonts w:hint="default" w:ascii="Times New Roman" w:hAnsi="Times New Roman" w:eastAsia="楷体_GB2312" w:cs="Times New Roman"/>
          <w:color w:val="000000" w:themeColor="text1"/>
          <w14:textFill>
            <w14:solidFill>
              <w14:schemeClr w14:val="tx1"/>
            </w14:solidFill>
          </w14:textFill>
        </w:rPr>
        <w:t>（五）促进发展体育服务业</w:t>
      </w:r>
      <w:bookmarkEnd w:id="116"/>
      <w:bookmarkEnd w:id="117"/>
      <w:bookmarkEnd w:id="118"/>
    </w:p>
    <w:p w14:paraId="46E582A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发展体育产业，大力推动群众体育与竞技体育协同发展，促进体育旅游、体育传媒、体育会展、体育经纪等发展，加速形成门类齐全、结构合理的体育服务体系，促进体育消费。大力培育健身休闲、竞赛表演、场馆服务、中介培训等各种体育服务业，促进康体结合，推动体育旅游、体育传媒、体育会展等相关业态融合发展。发挥体育锻炼在疾病防治以及健康促进等方面的积极作用。大力普及健身跑、自行车、登山等运动项目，带动大众化体育运动发展。全县每千人拥有各级社会体育指导员3.5人，经常参加体育锻炼人口比例超过42%，人均体育场地面积达2.6平方米。加强健身教练、体育经纪人等行业自律。推动专业赛事发展，丰富业余赛事，打造一批有影响力的体育品牌赛事和活动，配合淮北市承办2024年安徽省第六届全民健身运动会。建设符合市场规律、具有竞争力的体育产业基地。统筹规划体育设施建设，加强城乡社区健身广场、健身苑、体育俱乐部建设，所有镇完成1个室内健身房、1个全民健身广场、1个多功能运动场的“三个一”健身工程，提高群众健身设施覆盖面，促进城乡体育设施均衡发展，盘活、用好现有体育设施，积极推动公共体育设施向全社会开放，提高公共体育设施的使用效率和综合效益。积极转变政府职能，创新服务方式，逐步加大政府向社会力量购买全民健身公共服务的范围和数量。积极推广和运用政府社会资本合作等多种模式，促进社会资本参加公共体育设施的建设和运行管理，提升公共体育设施建设和运行管理水平，更好地满足群众多样化、多层次的体育健身需求。鼓励社会力量对各类体育赛事和活动进行冠名赞助。研究推进体育产业领域“互联网+”，鼓励发展体育电子商务等新业态。力争到“十四五”末，基本建成全省体育强县。</w:t>
      </w:r>
    </w:p>
    <w:p w14:paraId="61FAEFD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19" w:name="_Toc29769"/>
      <w:bookmarkStart w:id="120" w:name="_Toc83296405"/>
      <w:bookmarkStart w:id="121" w:name="_Toc3327"/>
      <w:r>
        <w:rPr>
          <w:rFonts w:hint="default" w:ascii="Times New Roman" w:hAnsi="Times New Roman" w:eastAsia="黑体" w:cs="Times New Roman"/>
          <w:b w:val="0"/>
          <w:bCs w:val="0"/>
          <w:color w:val="000000" w:themeColor="text1"/>
          <w14:textFill>
            <w14:solidFill>
              <w14:schemeClr w14:val="tx1"/>
            </w14:solidFill>
          </w14:textFill>
        </w:rPr>
        <w:t>三、推动新业态服务业向数字化和线上化发展</w:t>
      </w:r>
      <w:bookmarkEnd w:id="119"/>
      <w:bookmarkEnd w:id="120"/>
      <w:bookmarkEnd w:id="121"/>
    </w:p>
    <w:p w14:paraId="6A81B75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2" w:name="_Toc15141"/>
      <w:bookmarkStart w:id="123" w:name="_Toc83296406"/>
      <w:bookmarkStart w:id="124" w:name="_Toc15531"/>
      <w:r>
        <w:rPr>
          <w:rFonts w:hint="default" w:ascii="Times New Roman" w:hAnsi="Times New Roman" w:eastAsia="楷体_GB2312" w:cs="Times New Roman"/>
          <w:color w:val="000000" w:themeColor="text1"/>
          <w14:textFill>
            <w14:solidFill>
              <w14:schemeClr w14:val="tx1"/>
            </w14:solidFill>
          </w14:textFill>
        </w:rPr>
        <w:t>（一）重点发展线上业态</w:t>
      </w:r>
      <w:bookmarkEnd w:id="122"/>
      <w:bookmarkEnd w:id="123"/>
      <w:bookmarkEnd w:id="124"/>
    </w:p>
    <w:p w14:paraId="4544D2E9">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数字经济高速发展催生的新需求，强化政策支持力度，加快服务业数字化转型，瞄准产业互联网、新零售、数字内容等新兴业态领域，集中力量，挖掘优势，有计划、有重点地培育壮大一批线上龙头企业、线上平台、线上品牌，不断推动产业升级、拓展消费市场、创新供给模式。大力培育重点产业互联网平台。围绕县“三基两大一新”主导产业，支持龙头企业打造开放服务平台，支持引进知名产业互联网平台企业。鼓励企业开展线上协同办公、网络化协同研发设计、线上生产过程管控、上下游供应链协同等。推动农业互联网发展，打造食品特色产业互联网平台；积极培育发展新零售。依托现有电商基础，整合优势资源，培育一批具有特色优势的新兴电子商务企业集群，支持打造特色优势专业化电子商务品牌。扩大电子商务进村扶贫覆盖面，发展农资农产品端到端配送供应新模式。支持电子商务企业有序推广“直播电商”“社交电商”“微信电商”“社区生活管家”等新模式。鼓励发展生鲜冷链、熟食热链、日常生活用品定点定期配送新业态。支持发展智能服务，不断满足无人超市等新需求。重视发展数字产业发展，推进人工智能、虚拟现实、大数据等新技术在文化创意产业中的应用。依托红色文化、运河文化等积极培育网络文学、网络表演、网络视频、网络音乐等新兴数字产业。鼓励金融机构提升线上服务能力和数字风控技术，推动网点服务线上化。鼓励发展线上供应链金融平台，支持供应链核心企业、金融机构发展线上应收账款融资等供应链金融模式，拓展供应链上下游中小微企业便捷融资渠道。推动区块链技术的应用。</w:t>
      </w:r>
    </w:p>
    <w:p w14:paraId="0486F9A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5" w:name="_Toc6565"/>
      <w:bookmarkStart w:id="126" w:name="_Toc83296407"/>
      <w:bookmarkStart w:id="127" w:name="_Toc13518"/>
      <w:r>
        <w:rPr>
          <w:rFonts w:hint="default" w:ascii="Times New Roman" w:hAnsi="Times New Roman" w:eastAsia="楷体_GB2312" w:cs="Times New Roman"/>
          <w:color w:val="000000" w:themeColor="text1"/>
          <w14:textFill>
            <w14:solidFill>
              <w14:schemeClr w14:val="tx1"/>
            </w14:solidFill>
          </w14:textFill>
        </w:rPr>
        <w:t>（二）创新模式发展线上服务</w:t>
      </w:r>
      <w:bookmarkEnd w:id="125"/>
      <w:bookmarkEnd w:id="126"/>
      <w:bookmarkEnd w:id="127"/>
    </w:p>
    <w:p w14:paraId="714BCEBA">
      <w:pPr>
        <w:spacing w:line="560" w:lineRule="exact"/>
        <w:ind w:firstLine="640" w:firstLineChars="20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推广在线医疗、在线教育、在线商务、线上生活等线上服务，促进公共服务在线化、生活服务智能化，更高水平满足人民群众对美好生活的向往。支持“线上超市”“网上餐厅”“线上家政”“直播荐货”“网红带货”等生活服务企业发展，积极打造线上生活服务品牌。鼓励发展“无接触配送到家”新模式。支持企业通过信息技术远程提供技术支持。鼓励发展无边界协同、全场景协作远程办公新模式，促进更多传统产业岗位实现居家办公。加快建设数字图书馆、数字博物馆、数字文化馆等。探索“云旅游”模式，将现有景区数字化，打造全景在线旅游产品；大力发展“在线医疗”服务模式。发展覆盖医疗服务全流程的线上线下新模式，积极推广基于5G技术的远程会诊、远程手术、远程超声、远程监护等远程医疗应用，依托“15分钟就医圈”和县域医共体建设、智医助理等建设，推动建设智慧医院，支持利用移动互联网提供预约诊疗、候诊提醒、诊间缴费、自助查询等服务，支持开展线上诊疗、健康咨询、健康管理等服务。鼓励医药电子商务OTO发展。加强预防控制体系和应急保障体系建设，增强重大疾病防控和突发公共卫生事件应对能力。建立健全基于互联网的养老服务体系，构建养老信息服务网络平台；探索发展“在线教育”服务模式，不断深化基础教育、职业教育和高等教育资源公共服务平台应用，持续扩大优质数字教育资源供给。加大网络学习空间覆盖，探索推广“在家上课”与在校上课、线上与线下教学有机结合、深度融合的学习模式。支持教育机构与平台企业合作建设线上线下相结合的教育培训体系。推动中小学数字资源共建共享，聚合一批优质中小学数字课程资源。加强网络联校、远程同步课堂等建设与应用，推动优质数字教育资源。完善继续教育、职业教育、社区教育网络培训服务体系；提升商务活动线上服务能力。探索线上招商模式，创新基于互联网的新型服务贸易发展方式，推动服务贸易便利化。大力发展“互联网+”法律事务、广告传媒、知识产权、职业中介等线上服务；大力推进“互联网+出行”，探索公共交通出行服务平台建设，提升交通支付智能化水平，全面推广移动支付、电子客票、智能检票等应用。规范发展网约车、共享汽车平台，满足市民多样化出行需求。统筹推进濉溪县智慧停车项目和智慧停车平台建设；提高就业社保线上服务水平，鼓励建设智能就业服务平台，探索建立人力资源库，充分利用各类互联网服务入口，提供网上自助参保、续保、缴费等服务。推动社会保险制度对人员的精准覆盖和动态管理，支撑多类社会保障业务跨领域、跨地区信息共享和业务协同。</w:t>
      </w:r>
    </w:p>
    <w:p w14:paraId="7327569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8" w:name="_Toc83296408"/>
      <w:bookmarkStart w:id="129" w:name="_Toc19084"/>
      <w:bookmarkStart w:id="130" w:name="_Toc31404"/>
      <w:r>
        <w:rPr>
          <w:rFonts w:hint="default" w:ascii="Times New Roman" w:hAnsi="Times New Roman" w:eastAsia="楷体_GB2312" w:cs="Times New Roman"/>
          <w:color w:val="000000" w:themeColor="text1"/>
          <w14:textFill>
            <w14:solidFill>
              <w14:schemeClr w14:val="tx1"/>
            </w14:solidFill>
          </w14:textFill>
        </w:rPr>
        <w:t>（三）推动“一网统筹”线上管理</w:t>
      </w:r>
      <w:bookmarkEnd w:id="128"/>
      <w:bookmarkEnd w:id="129"/>
      <w:bookmarkEnd w:id="130"/>
    </w:p>
    <w:p w14:paraId="5A4D5347">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5G、人工智能、工业互联网、物联网等新型基础设施建设，加快构建“一网统管、一网通办、一网调度、一网治理”线上管理新体系。推进城市运行“一网统管”，推进城市智慧超脑运营中心建设，依托濉溪县智慧城市综合管理平台、智慧城管平台等建设，推动基础设施、城市管理、公共安全、公共管理、应急保障、生态环境等重点领域运行系统有序接入，建立互联互通、高效协同的城市运行系统；推进政务服务“一网通办”。优化完善一站式门户网站等功能，持续推进“互联网+政务服务”工作，进一步提升濉溪县政务服务便利化水平，实现一网通办、“只进一扇门”、“最多跑一次”，服务营商环境和市民办事。开展长三角一网通办服务，实现“三省一市”线上线下互联互通。探索建设协同办公云平台，整合各类数据资源。构建“互联网+监管”体系；建立应急管理“一网调度”机制。全面落实国家应急管理体系、应急物资保障体系改革新举措，</w:t>
      </w:r>
      <w:r>
        <w:rPr>
          <w:rFonts w:hint="default" w:ascii="Times New Roman" w:hAnsi="Times New Roman" w:eastAsia="仿宋_GB2312" w:cs="Times New Roman"/>
          <w:smallCaps/>
          <w:color w:val="000000" w:themeColor="text1"/>
          <w:sz w:val="32"/>
          <w:szCs w:val="32"/>
          <w14:textFill>
            <w14:solidFill>
              <w14:schemeClr w14:val="tx1"/>
            </w14:solidFill>
          </w14:textFill>
        </w:rPr>
        <w:t>充分运用物联网、互联网、大数据、云计算等新技术提高城市公共安全的数字化、网络化和智能化水平</w:t>
      </w:r>
      <w:r>
        <w:rPr>
          <w:rFonts w:hint="default" w:ascii="Times New Roman" w:hAnsi="Times New Roman" w:eastAsia="仿宋_GB2312" w:cs="Times New Roman"/>
          <w:color w:val="000000" w:themeColor="text1"/>
          <w:sz w:val="32"/>
          <w:szCs w:val="32"/>
          <w14:textFill>
            <w14:solidFill>
              <w14:schemeClr w14:val="tx1"/>
            </w14:solidFill>
          </w14:textFill>
        </w:rPr>
        <w:t>，打造全县统一应急管理一张网。建设应急大数据平台和应急指挥调度中心。整合生产、物流、互联网平台企业、社会组织及公众等资源，构建全社会一网协同调度机制。建立健全防灾减灾、公共卫生、网络舆情等重点领域智能化实时监控和统筹调度机制；推动基层服务“一网治理”。加快建设以“网络+网格”为核心的社区治理智能化网格化共治平台，</w:t>
      </w:r>
      <w:r>
        <w:rPr>
          <w:rFonts w:hint="default" w:ascii="Times New Roman" w:hAnsi="Times New Roman" w:eastAsia="仿宋_GB2312" w:cs="Times New Roman"/>
          <w:bCs/>
          <w:color w:val="000000" w:themeColor="text1"/>
          <w:sz w:val="32"/>
          <w:szCs w:val="32"/>
          <w14:textFill>
            <w14:solidFill>
              <w14:schemeClr w14:val="tx1"/>
            </w14:solidFill>
          </w14:textFill>
        </w:rPr>
        <w:t>完善为民服务、综治维稳信访两个平台建设，</w:t>
      </w:r>
      <w:r>
        <w:rPr>
          <w:rFonts w:hint="default" w:ascii="Times New Roman" w:hAnsi="Times New Roman" w:eastAsia="仿宋_GB2312" w:cs="Times New Roman"/>
          <w:color w:val="000000" w:themeColor="text1"/>
          <w:sz w:val="32"/>
          <w:szCs w:val="32"/>
          <w14:textFill>
            <w14:solidFill>
              <w14:schemeClr w14:val="tx1"/>
            </w14:solidFill>
          </w14:textFill>
        </w:rPr>
        <w:t>规范接入“雪亮工程”视频采集系统，整合接入公安、民政、卫生、基层党建等业务系统，加强政企协同，</w:t>
      </w:r>
      <w:r>
        <w:rPr>
          <w:rFonts w:hint="default" w:ascii="Times New Roman" w:hAnsi="Times New Roman" w:eastAsia="仿宋_GB2312" w:cs="Times New Roman"/>
          <w:smallCaps/>
          <w:color w:val="000000" w:themeColor="text1"/>
          <w:sz w:val="32"/>
          <w:szCs w:val="32"/>
          <w14:textFill>
            <w14:solidFill>
              <w14:schemeClr w14:val="tx1"/>
            </w14:solidFill>
          </w14:textFill>
        </w:rPr>
        <w:t>加强信用信息交换共享，</w:t>
      </w:r>
      <w:r>
        <w:rPr>
          <w:rFonts w:hint="default" w:ascii="Times New Roman" w:hAnsi="Times New Roman" w:eastAsia="仿宋_GB2312" w:cs="Times New Roman"/>
          <w:color w:val="000000" w:themeColor="text1"/>
          <w:sz w:val="32"/>
          <w:szCs w:val="32"/>
          <w14:textFill>
            <w14:solidFill>
              <w14:schemeClr w14:val="tx1"/>
            </w14:solidFill>
          </w14:textFill>
        </w:rPr>
        <w:t>构建网格化智能化基层治理体系，提高城市管理和社会治理水平。</w:t>
      </w:r>
    </w:p>
    <w:p w14:paraId="5B279B64">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bookmarkStart w:id="131" w:name="_Toc30930"/>
      <w:bookmarkStart w:id="132" w:name="_Toc83296409"/>
    </w:p>
    <w:p w14:paraId="507348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69DCEB2">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0734D5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14:paraId="7A118BFC">
      <w:pPr>
        <w:pStyle w:val="4"/>
        <w:rPr>
          <w:rFonts w:hint="default" w:ascii="Times New Roman" w:hAnsi="Times New Roman" w:cs="Times New Roman"/>
        </w:rPr>
      </w:pPr>
    </w:p>
    <w:p w14:paraId="47BC9704">
      <w:pPr>
        <w:rPr>
          <w:rFonts w:hint="default" w:ascii="Times New Roman" w:hAnsi="Times New Roman" w:cs="Times New Roman"/>
        </w:rPr>
      </w:pPr>
    </w:p>
    <w:p w14:paraId="40365C26">
      <w:pPr>
        <w:pStyle w:val="4"/>
        <w:rPr>
          <w:rFonts w:hint="default" w:ascii="Times New Roman" w:hAnsi="Times New Roman" w:cs="Times New Roman"/>
        </w:rPr>
      </w:pPr>
    </w:p>
    <w:p w14:paraId="2F140830">
      <w:pPr>
        <w:rPr>
          <w:rFonts w:hint="default" w:ascii="Times New Roman" w:hAnsi="Times New Roman" w:cs="Times New Roman"/>
        </w:rPr>
      </w:pPr>
    </w:p>
    <w:p w14:paraId="1A395B4B">
      <w:pPr>
        <w:pStyle w:val="4"/>
        <w:rPr>
          <w:rFonts w:hint="default"/>
        </w:rPr>
      </w:pPr>
    </w:p>
    <w:p w14:paraId="774C94F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000000" w:themeColor="text1"/>
          <w:sz w:val="32"/>
          <w:szCs w:val="32"/>
          <w14:textFill>
            <w14:solidFill>
              <w14:schemeClr w14:val="tx1"/>
            </w14:solidFill>
          </w14:textFill>
        </w:rPr>
      </w:pPr>
    </w:p>
    <w:p w14:paraId="7A9D99D4">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33" w:name="_Toc3171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第四章  重点工程</w:t>
      </w:r>
      <w:bookmarkEnd w:id="131"/>
      <w:bookmarkEnd w:id="132"/>
      <w:bookmarkEnd w:id="133"/>
    </w:p>
    <w:p w14:paraId="0411F20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34" w:name="_Toc71708641"/>
      <w:bookmarkStart w:id="135" w:name="_Toc17105"/>
      <w:bookmarkStart w:id="136" w:name="_Toc71175363"/>
      <w:bookmarkStart w:id="137" w:name="_Toc71164862"/>
    </w:p>
    <w:p w14:paraId="612DFF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适应现代服务业发展的新趋势、新要求，大力实施发展环境优化、集聚载体提升、市场主体培育、品牌品质塑造、人力资源保障五大工程，加快实现服务业发展体系化和发展能力现代化。</w:t>
      </w:r>
      <w:bookmarkEnd w:id="134"/>
      <w:bookmarkEnd w:id="135"/>
      <w:bookmarkEnd w:id="136"/>
      <w:bookmarkEnd w:id="137"/>
    </w:p>
    <w:p w14:paraId="465E494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38" w:name="_Toc83296410"/>
      <w:bookmarkStart w:id="139" w:name="_Toc30829"/>
      <w:bookmarkStart w:id="140" w:name="_Toc9911"/>
      <w:r>
        <w:rPr>
          <w:rFonts w:hint="default" w:ascii="Times New Roman" w:hAnsi="Times New Roman" w:eastAsia="黑体" w:cs="Times New Roman"/>
          <w:b w:val="0"/>
          <w:bCs w:val="0"/>
          <w:color w:val="000000" w:themeColor="text1"/>
          <w14:textFill>
            <w14:solidFill>
              <w14:schemeClr w14:val="tx1"/>
            </w14:solidFill>
          </w14:textFill>
        </w:rPr>
        <w:t>一、发展环境优化工程</w:t>
      </w:r>
      <w:bookmarkEnd w:id="138"/>
      <w:bookmarkEnd w:id="139"/>
      <w:bookmarkEnd w:id="140"/>
    </w:p>
    <w:p w14:paraId="009B79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吸收应用长三角区域先进经验，深入推进“放管服”改革，组织解放思想学习讨论，深化“一网、一门、一次”改革，聚焦高频政务服务事项，推行线上线下联动办理、异地办理、全网通办，全面提升“互联网+政务服务”水平，打通政策落地“最后一公里”。提高服务业市场开放程度。完善市场准入机制，全面实施市场准入负面清单制度和公平竞争审查制度，凡国家法律法规未明令禁入的服务业领域，全部向外资、民间资本开放。全面规范市场准入程序，除法律法规规定的审查环节外，其他审查环节一律取消。优化服务业企业开办和服务业项目投资审批事项办理流程，精简办事材料，压缩办事时限，提升审批效率和服务质量。持续开展“四送一服”双千工程，为服务业企业提供全流程代办服务，构建亲清新型政商关系。帮助服务业企业、服务业项目解决发展中的困难和问题。加强信用体系建设，推进信用信息共享共用，完善联合奖惩机制，强化“红黑名单”认定使用，营造诚信发展环境。</w:t>
      </w:r>
    </w:p>
    <w:p w14:paraId="69ACA2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1" w:name="_Toc2166"/>
      <w:bookmarkStart w:id="142" w:name="_Toc3978"/>
      <w:bookmarkStart w:id="143" w:name="_Toc83296411"/>
      <w:r>
        <w:rPr>
          <w:rFonts w:hint="default" w:ascii="Times New Roman" w:hAnsi="Times New Roman" w:eastAsia="黑体" w:cs="Times New Roman"/>
          <w:b w:val="0"/>
          <w:bCs w:val="0"/>
          <w:color w:val="000000" w:themeColor="text1"/>
          <w14:textFill>
            <w14:solidFill>
              <w14:schemeClr w14:val="tx1"/>
            </w14:solidFill>
          </w14:textFill>
        </w:rPr>
        <w:t>二、集聚载体提升工程</w:t>
      </w:r>
      <w:bookmarkEnd w:id="141"/>
      <w:bookmarkEnd w:id="142"/>
      <w:bookmarkEnd w:id="143"/>
    </w:p>
    <w:p w14:paraId="5097973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加快现有濉溪县百善物流园、濉溪县电子商务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w:t>
      </w:r>
      <w:r>
        <w:rPr>
          <w:rFonts w:hint="default" w:ascii="Times New Roman" w:hAnsi="Times New Roman" w:eastAsia="仿宋_GB2312" w:cs="Times New Roman"/>
          <w:color w:val="000000" w:themeColor="text1"/>
          <w:sz w:val="32"/>
          <w:szCs w:val="32"/>
          <w14:textFill>
            <w14:solidFill>
              <w14:schemeClr w14:val="tx1"/>
            </w14:solidFill>
          </w14:textFill>
        </w:rPr>
        <w:t>园、中瑞新型农产品批发市场新型专业市场等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个现有省级服务业集聚区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（示范区）</w:t>
      </w:r>
      <w:r>
        <w:rPr>
          <w:rFonts w:hint="default" w:ascii="Times New Roman" w:hAnsi="Times New Roman" w:eastAsia="仿宋_GB2312" w:cs="Times New Roman"/>
          <w:color w:val="000000" w:themeColor="text1"/>
          <w:sz w:val="32"/>
          <w:szCs w:val="32"/>
          <w14:textFill>
            <w14:solidFill>
              <w14:schemeClr w14:val="tx1"/>
            </w14:solidFill>
          </w14:textFill>
        </w:rPr>
        <w:t>提升，探索</w:t>
      </w:r>
      <w:r>
        <w:rPr>
          <w:rFonts w:hint="default" w:ascii="Times New Roman" w:hAnsi="Times New Roman" w:eastAsia="仿宋_GB2312" w:cs="Times New Roman"/>
          <w:smallCaps/>
          <w:color w:val="000000" w:themeColor="text1"/>
          <w:sz w:val="32"/>
          <w:szCs w:val="32"/>
          <w14:textFill>
            <w14:solidFill>
              <w14:schemeClr w14:val="tx1"/>
            </w14:solidFill>
          </w14:textFill>
        </w:rPr>
        <w:t>园区体制机制改革创新，</w:t>
      </w:r>
      <w:r>
        <w:rPr>
          <w:rFonts w:hint="default" w:ascii="Times New Roman" w:hAnsi="Times New Roman" w:eastAsia="仿宋_GB2312" w:cs="Times New Roman"/>
          <w:color w:val="000000" w:themeColor="text1"/>
          <w:sz w:val="32"/>
          <w:szCs w:val="32"/>
          <w14:textFill>
            <w14:solidFill>
              <w14:schemeClr w14:val="tx1"/>
            </w14:solidFill>
          </w14:textFill>
        </w:rPr>
        <w:t>积极落实省市县相关政策，鼓励各园区制订支持服务业发展的政策措施，持续完善服务业集聚区的公共服务平台和重大项目建设，</w:t>
      </w:r>
      <w:r>
        <w:rPr>
          <w:rFonts w:hint="default" w:ascii="Times New Roman" w:hAnsi="Times New Roman" w:eastAsia="仿宋_GB2312" w:cs="Times New Roman"/>
          <w:smallCaps/>
          <w:color w:val="000000" w:themeColor="text1"/>
          <w:sz w:val="32"/>
          <w:szCs w:val="32"/>
          <w14:textFill>
            <w14:solidFill>
              <w14:schemeClr w14:val="tx1"/>
            </w14:solidFill>
          </w14:textFill>
        </w:rPr>
        <w:t>完善基础设施配套，着力构建面向园区、产业集群的公共平台，涵盖技术研发应用、信息服务、人员培训、质量技术标准和检验检测、产品交易与物流配送等</w:t>
      </w:r>
      <w:r>
        <w:rPr>
          <w:rFonts w:hint="default" w:ascii="Times New Roman" w:hAnsi="Times New Roman" w:eastAsia="仿宋_GB2312" w:cs="Times New Roman"/>
          <w:color w:val="000000" w:themeColor="text1"/>
          <w:sz w:val="32"/>
          <w:szCs w:val="32"/>
          <w14:textFill>
            <w14:solidFill>
              <w14:schemeClr w14:val="tx1"/>
            </w14:solidFill>
          </w14:textFill>
        </w:rPr>
        <w:t>。实施服务发展战略，服务业空间布局依托老城升级、南部次中心建设、服务业集聚区提升，增强完善城市服务功能，形成一批产业集聚、特色鲜明、功能完善的服务业发展集聚区，支持全县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符合条件的</w:t>
      </w:r>
      <w:r>
        <w:rPr>
          <w:rFonts w:hint="default" w:ascii="Times New Roman" w:hAnsi="Times New Roman" w:eastAsia="仿宋_GB2312" w:cs="Times New Roman"/>
          <w:color w:val="000000" w:themeColor="text1"/>
          <w:sz w:val="32"/>
          <w:szCs w:val="32"/>
          <w14:textFill>
            <w14:solidFill>
              <w14:schemeClr w14:val="tx1"/>
            </w14:solidFill>
          </w14:textFill>
        </w:rPr>
        <w:t>服务业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园区</w:t>
      </w:r>
      <w:r>
        <w:rPr>
          <w:rFonts w:hint="default" w:ascii="Times New Roman" w:hAnsi="Times New Roman" w:eastAsia="仿宋_GB2312" w:cs="Times New Roman"/>
          <w:color w:val="000000" w:themeColor="text1"/>
          <w:sz w:val="32"/>
          <w:szCs w:val="32"/>
          <w14:textFill>
            <w14:solidFill>
              <w14:schemeClr w14:val="tx1"/>
            </w14:solidFill>
          </w14:textFill>
        </w:rPr>
        <w:t>争创国家、省级各类服务业集聚示范区（园区），推动中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瑞新型农产品批发市场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能级提升，争创省级服务业集聚示范园区。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地制宜建设一批服务业特色微型产业集聚区，高标准推进韩村三彩文旅微型产业集聚区、百善运河文化微型产业集聚区等一批省级微型产业集聚区和试验类微型产业集聚区建设。规划建设主城、河西、濉芜产业园区商业综合体。推进海关特殊监管区和“综合保税区”建设。围绕农副产品、工业</w:t>
      </w:r>
      <w:r>
        <w:rPr>
          <w:rFonts w:hint="default" w:ascii="Times New Roman" w:hAnsi="Times New Roman" w:eastAsia="仿宋_GB2312" w:cs="Times New Roman"/>
          <w:color w:val="000000" w:themeColor="text1"/>
          <w:sz w:val="32"/>
          <w:szCs w:val="32"/>
          <w14:textFill>
            <w14:solidFill>
              <w14:schemeClr w14:val="tx1"/>
            </w14:solidFill>
          </w14:textFill>
        </w:rPr>
        <w:t>消费品、生产资料和特种商品市场，完善基础设施配套，打造新型专业市场集聚区和现代物流集聚区。</w:t>
      </w:r>
    </w:p>
    <w:p w14:paraId="0A3FE18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4" w:name="_Toc83296412"/>
      <w:bookmarkStart w:id="145" w:name="_Toc10457"/>
      <w:bookmarkStart w:id="146" w:name="_Toc13205"/>
      <w:r>
        <w:rPr>
          <w:rFonts w:hint="default" w:ascii="Times New Roman" w:hAnsi="Times New Roman" w:eastAsia="黑体" w:cs="Times New Roman"/>
          <w:b w:val="0"/>
          <w:bCs w:val="0"/>
          <w:color w:val="000000" w:themeColor="text1"/>
          <w14:textFill>
            <w14:solidFill>
              <w14:schemeClr w14:val="tx1"/>
            </w14:solidFill>
          </w14:textFill>
        </w:rPr>
        <w:t>三、市场主体培育工程</w:t>
      </w:r>
      <w:bookmarkEnd w:id="144"/>
      <w:bookmarkEnd w:id="145"/>
      <w:bookmarkEnd w:id="146"/>
    </w:p>
    <w:p w14:paraId="27445A32">
      <w:pPr>
        <w:pStyle w:val="4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鼓励升规壮大，推进“个转企”、“小上限”、“小升规”，积极培育现有服务业大个体、产业活动单位转型升级，注册为法人单位，鼓励和培育现有小企业、产业单位、个体经营户发展为规上服务业企业。增加规模以上服务企业数量，提升规上服务企业入库质量。着力培育服务业龙头企业。推进规模以上企业股份制改造和兼并重组。鼓励和支持符合条件的企业在主板、中小板、创业板、科创板、新三板、四板挂牌上市。</w:t>
      </w:r>
      <w:r>
        <w:rPr>
          <w:rFonts w:hint="default" w:ascii="Times New Roman" w:hAnsi="Times New Roman" w:eastAsia="仿宋_GB2312" w:cs="Times New Roman"/>
          <w:sz w:val="32"/>
          <w:szCs w:val="32"/>
        </w:rPr>
        <w:t>依托现有开发区、产业园区和现代服务业集聚区等载体，盘活存量楼宇资源，提升产业集聚、金融商务、科技创新、物流贸易、文化交往、交通服务等功能，</w:t>
      </w:r>
      <w:r>
        <w:rPr>
          <w:rFonts w:hint="default" w:ascii="Times New Roman" w:hAnsi="Times New Roman" w:eastAsia="仿宋_GB2312" w:cs="Times New Roman"/>
          <w:color w:val="000000" w:themeColor="text1"/>
          <w:sz w:val="32"/>
          <w:szCs w:val="32"/>
          <w14:textFill>
            <w14:solidFill>
              <w14:schemeClr w14:val="tx1"/>
            </w14:solidFill>
          </w14:textFill>
        </w:rPr>
        <w:t>大力引进国内外知名商贸等服务业企业，吸引服务业企业总部落户濉溪，</w:t>
      </w:r>
      <w:r>
        <w:rPr>
          <w:rFonts w:hint="default" w:ascii="Times New Roman" w:hAnsi="Times New Roman" w:eastAsia="仿宋_GB2312" w:cs="Times New Roman"/>
          <w:sz w:val="32"/>
          <w:szCs w:val="32"/>
        </w:rPr>
        <w:t>引导总部经济集聚发展</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积极向上争取资金和政策扶持。通过政府引导扶持，吸引更多银行信贷资金和社会资金投入服务业，引导业主通过项目融资、资产重组等各种形式等筹集资金，加快全县服务业发展。引导商业银行在防范资金风险的前提下，放宽物流企业贷款融资条件，降低其融资成本；建立物流业融资担保体系，协助中小物流企业取得贷款。支持服务业企业创新发展，鼓励培育平台经济、创意经济、体验经济和分享经济。推动产业结构优化升级，促进经济发展提质增效。</w:t>
      </w:r>
    </w:p>
    <w:p w14:paraId="496119C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7" w:name="_Toc7250"/>
      <w:bookmarkStart w:id="148" w:name="_Toc8102"/>
      <w:bookmarkStart w:id="149" w:name="_Toc83296413"/>
      <w:r>
        <w:rPr>
          <w:rFonts w:hint="default" w:ascii="Times New Roman" w:hAnsi="Times New Roman" w:eastAsia="黑体" w:cs="Times New Roman"/>
          <w:b w:val="0"/>
          <w:bCs w:val="0"/>
          <w:color w:val="000000" w:themeColor="text1"/>
          <w14:textFill>
            <w14:solidFill>
              <w14:schemeClr w14:val="tx1"/>
            </w14:solidFill>
          </w14:textFill>
        </w:rPr>
        <w:t>四、品牌品质塑造工程</w:t>
      </w:r>
      <w:bookmarkEnd w:id="147"/>
      <w:bookmarkEnd w:id="148"/>
      <w:bookmarkEnd w:id="149"/>
    </w:p>
    <w:p w14:paraId="1E933C20">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积极推进品牌强县建设，打造一批特色鲜明、示范性强的服务业品牌样板。抓好模式创新及服务业标准化和品牌建设，开展服务质量满意度测评，促进全县服务业发展质量整体上升。坚持品牌化目标，做大做强柳孜运河遗址景区、淮海战役总前委旧址红色景区、临涣历史文化古城品牌，做特做优安徽淮北濉溪柳孜大运河文化艺术节、临涣棒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茶饮文化、民俗踩街展示活动、朱务平故居及纪念馆、蹇叔故里、嵇康故里等品牌。</w:t>
      </w:r>
      <w:r>
        <w:rPr>
          <w:rFonts w:ascii="Times New Roman" w:hAnsi="Times New Roman" w:eastAsia="仿宋_GB2312" w:cs="Times New Roman"/>
          <w:color w:val="000000" w:themeColor="text1"/>
          <w:sz w:val="32"/>
          <w:szCs w:val="32"/>
          <w:highlight w:val="none"/>
          <w14:textFill>
            <w14:solidFill>
              <w14:schemeClr w14:val="tx1"/>
            </w14:solidFill>
          </w14:textFill>
        </w:rPr>
        <w:t>引导企业树立品牌意识，健全品牌</w:t>
      </w:r>
      <w:r>
        <w:rPr>
          <w:rFonts w:hint="default" w:ascii="Times New Roman" w:hAnsi="Times New Roman" w:eastAsia="仿宋_GB2312" w:cs="Times New Roman"/>
          <w:color w:val="000000" w:themeColor="text1"/>
          <w:sz w:val="32"/>
          <w:szCs w:val="32"/>
          <w14:textFill>
            <w14:solidFill>
              <w14:schemeClr w14:val="tx1"/>
            </w14:solidFill>
          </w14:textFill>
        </w:rPr>
        <w:t>管理体系，提升品牌认可度和品牌价值。落实淮北质量品牌升级工程，积极开展区域品牌提升行动</w:t>
      </w:r>
      <w:r>
        <w:rPr>
          <w:rFonts w:hint="default" w:ascii="Times New Roman" w:hAnsi="Times New Roman" w:eastAsia="仿宋_GB2312" w:cs="Times New Roman"/>
          <w:color w:val="000000" w:themeColor="text1"/>
          <w:kern w:val="0"/>
          <w:sz w:val="32"/>
          <w:szCs w:val="32"/>
          <w14:textFill>
            <w14:solidFill>
              <w14:schemeClr w14:val="tx1"/>
            </w14:solidFill>
          </w14:textFill>
        </w:rPr>
        <w:t>，打造一批地理标志性商标和知名品牌，支持创建省、市服务名牌、3A级以上物流企业、3星级以上文明规范市场、国家绿色饭店及钻级酒店等。</w:t>
      </w:r>
    </w:p>
    <w:p w14:paraId="0FD935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0" w:name="_Toc21056"/>
      <w:bookmarkStart w:id="151" w:name="_Toc83296414"/>
      <w:bookmarkStart w:id="152" w:name="_Toc5894"/>
      <w:r>
        <w:rPr>
          <w:rFonts w:hint="default" w:ascii="Times New Roman" w:hAnsi="Times New Roman" w:eastAsia="黑体" w:cs="Times New Roman"/>
          <w:b w:val="0"/>
          <w:bCs w:val="0"/>
          <w:color w:val="000000" w:themeColor="text1"/>
          <w14:textFill>
            <w14:solidFill>
              <w14:schemeClr w14:val="tx1"/>
            </w14:solidFill>
          </w14:textFill>
        </w:rPr>
        <w:t>五、人力资源保障工程</w:t>
      </w:r>
      <w:bookmarkEnd w:id="150"/>
      <w:bookmarkEnd w:id="151"/>
      <w:bookmarkEnd w:id="152"/>
    </w:p>
    <w:p w14:paraId="33287FB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创新高端人才引进模式，实施“人才引进”工程，采取高校合作、核心人物带动、高新技术项目开发等多种方式，</w:t>
      </w:r>
      <w:r>
        <w:rPr>
          <w:rFonts w:hint="default" w:ascii="Times New Roman" w:hAnsi="Times New Roman" w:eastAsia="仿宋_GB2312" w:cs="Times New Roman"/>
          <w:smallCaps/>
          <w:color w:val="000000" w:themeColor="text1"/>
          <w:sz w:val="32"/>
          <w:szCs w:val="32"/>
          <w14:textFill>
            <w14:solidFill>
              <w14:schemeClr w14:val="tx1"/>
            </w14:solidFill>
          </w14:textFill>
        </w:rPr>
        <w:t>建立柔性引才引智机制，畅通人才服务绿色通道，</w:t>
      </w:r>
      <w:r>
        <w:rPr>
          <w:rFonts w:hint="default" w:ascii="Times New Roman" w:hAnsi="Times New Roman" w:eastAsia="仿宋_GB2312" w:cs="Times New Roman"/>
          <w:color w:val="000000" w:themeColor="text1"/>
          <w:kern w:val="0"/>
          <w:sz w:val="32"/>
          <w:szCs w:val="32"/>
          <w14:textFill>
            <w14:solidFill>
              <w14:schemeClr w14:val="tx1"/>
            </w14:solidFill>
          </w14:textFill>
        </w:rPr>
        <w:t>发挥高校、科研院所、龙头企业自身及其合作单位以及商会、老乡会等作用，积极引进符合濉溪县服务业发展需要的各类创新人才；积极和知名高校、科研院所、行业专家学者进行战略合作，采用订单式教育、定制式培养等方式，为服务业发展输送高端人才；制定和落实惠及领军人才的优惠政策，对团队优、能力强、技术新、成果好的企业及项目给予支持，扩大领军人才规模，全力促进领军人才企业发展壮大；加强人才服务体系建设，实施开放、灵活的人才流动政策，出台社会保障等生活方面配套政策，加快提升满足外来人才在医疗保健、居住、子女就学、文化等方面消费需求水平，解决引进人才后顾之忧，逐步建立完善的人才配套服务体系；健全人才激励机制，完善自主创新和科技成果转化的激励分配机制，探索建立股权期权激励、创业融资、中介服务、知识产权管理等多元化、复合型的激励发展机制；强化技能人才培养。加强职业教育，加大政府投入，推行职业技能培训制度，广泛开展各种形式的职业技能培训、再就业培训、创业培训；吸引鼓励在外创业的濉溪籍的尖端人才、知名专家、企业家和创业能人回归家乡、创业家乡、置业家乡、投资家乡。</w:t>
      </w:r>
    </w:p>
    <w:p w14:paraId="03CEDE6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47D0FCE">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0B7AD2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70BFB0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E5BC02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7F042546">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DA01AB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2AFBF9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69472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988F3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CBE44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7F881B8">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153" w:name="_Toc29118"/>
      <w:bookmarkStart w:id="154" w:name="_Toc83296415"/>
    </w:p>
    <w:p w14:paraId="33D20A32">
      <w:pPr>
        <w:rPr>
          <w:rFonts w:hint="default" w:ascii="Times New Roman" w:hAnsi="Times New Roman" w:cs="Times New Roman"/>
          <w:color w:val="000000" w:themeColor="text1"/>
          <w:sz w:val="32"/>
          <w:szCs w:val="32"/>
          <w14:textFill>
            <w14:solidFill>
              <w14:schemeClr w14:val="tx1"/>
            </w14:solidFill>
          </w14:textFill>
        </w:rPr>
      </w:pPr>
    </w:p>
    <w:p w14:paraId="491CA182">
      <w:pPr>
        <w:pStyle w:val="4"/>
        <w:rPr>
          <w:rFonts w:hint="default"/>
        </w:rPr>
      </w:pPr>
    </w:p>
    <w:p w14:paraId="55021370">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3B2CA36B">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4DA13517">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C0FAFA5">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55" w:name="_Toc5301"/>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第五章  服务业空间布局</w:t>
      </w:r>
      <w:bookmarkEnd w:id="153"/>
      <w:bookmarkEnd w:id="154"/>
      <w:bookmarkEnd w:id="155"/>
    </w:p>
    <w:p w14:paraId="7FC0B5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2149FE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“十四五”时期，濉溪县深度融入长三角一体化发展战略，优化服务业区域分工，形成区域协调发展的服务业格局。</w:t>
      </w:r>
    </w:p>
    <w:p w14:paraId="467F260B">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6" w:name="_Toc17031"/>
      <w:bookmarkStart w:id="157" w:name="_Toc25209"/>
      <w:bookmarkStart w:id="158" w:name="_Toc83296416"/>
      <w:r>
        <w:rPr>
          <w:rFonts w:hint="default" w:ascii="Times New Roman" w:hAnsi="Times New Roman" w:eastAsia="黑体" w:cs="Times New Roman"/>
          <w:b w:val="0"/>
          <w:bCs w:val="0"/>
          <w:color w:val="000000" w:themeColor="text1"/>
          <w14:textFill>
            <w14:solidFill>
              <w14:schemeClr w14:val="tx1"/>
            </w14:solidFill>
          </w14:textFill>
        </w:rPr>
        <w:t>一、总体布局</w:t>
      </w:r>
      <w:bookmarkEnd w:id="156"/>
      <w:bookmarkEnd w:id="157"/>
      <w:bookmarkEnd w:id="158"/>
    </w:p>
    <w:p w14:paraId="25C85A15">
      <w:pPr>
        <w:widowControl w:val="0"/>
        <w:numPr>
          <w:ilvl w:val="255"/>
          <w:numId w:val="0"/>
        </w:numPr>
        <w:shd w:val="clear" w:color="auto" w:fill="FFFFFF"/>
        <w:spacing w:line="560" w:lineRule="exact"/>
        <w:ind w:firstLine="640"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全省服务业规划“双核一带三区”和淮北市服务业规划“一主一副、两轴一带”的空间布局和打造“两淮一蚌服务业引领转型区”的要求，遵循“产业集聚、布局集中、资源集约”的原则，基于濉溪县“一心两极多基点”的产业发展、城镇空间格局和各镇区服务业发展基础，依托老城升级、南部次中心建设、双堆集新城建设、临涣古镇建设、省级服务业集聚区提升、园区两业融合发展，增强完善城市服务功能，形成一批产业集聚、特色鲜明、功能完善的服务业发展集聚区，引导商贸商务、文化旅游、现代物流等现代服务业在全县范围内进行科学布局。</w:t>
      </w:r>
    </w:p>
    <w:p w14:paraId="590423C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9" w:name="_Toc13232"/>
      <w:bookmarkStart w:id="160" w:name="_Toc851"/>
      <w:bookmarkStart w:id="161" w:name="_Toc83296417"/>
      <w:r>
        <w:rPr>
          <w:rFonts w:hint="default" w:ascii="Times New Roman" w:hAnsi="Times New Roman" w:eastAsia="黑体" w:cs="Times New Roman"/>
          <w:b w:val="0"/>
          <w:bCs w:val="0"/>
          <w:color w:val="000000" w:themeColor="text1"/>
          <w14:textFill>
            <w14:solidFill>
              <w14:schemeClr w14:val="tx1"/>
            </w14:solidFill>
          </w14:textFill>
        </w:rPr>
        <w:t>二、生产性服务业布局</w:t>
      </w:r>
      <w:bookmarkEnd w:id="159"/>
      <w:bookmarkEnd w:id="160"/>
      <w:bookmarkEnd w:id="161"/>
    </w:p>
    <w:p w14:paraId="14E851C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围绕现有省级服务业集聚区升级和濉溪经开区、濉芜产业园及各镇区工业园两业融合发展，布局现代服务业。</w:t>
      </w:r>
    </w:p>
    <w:p w14:paraId="685081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业集聚区升级。落实现有省级服务业集聚区的规划定位，濉溪县百善物流园重点发展煤炭、煤化工、农副产品等专业物流；濉溪县电子商务产业园，坚持传统电商、产业电商、电商配套、仓储物流四大电商模块一体，以生产型、农副产品深加工配套电商技术服务、电商项目运营、互联网+酒业创客工厂、智能仓储中心、品牌运营中心于一体的综合电子商务产业聚集区；濉溪县电子商务产业园（淮海壹号），坚持以电子商务产业孵化基地为中心、互联网信息技术研发基地、电子商务、创客空间、濉溪文化创意园区、互联网金融、智能化仓储物流中心与一体的互联网综合型小微企业创业基地，加快基础设施建设，实现集聚区升级发展；中瑞新型农产品批发市场新型专业市场，持续推进农产品交易、仓储物流、冷链物流、加工配送、商务服务、检测检疫、农产品展示等能力建设。争创省级服务业综合改革试点、濉溪县公铁水多式联运现代物流集聚区、农产品冷链现代物流集聚区等，形成一批产业集聚、特色鲜明、功能完善的现代服务业发展集聚区。</w:t>
      </w:r>
    </w:p>
    <w:p w14:paraId="0DC9BA0D">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园区配套发展现代服务业。濉溪经开区聚焦铝基新材料、高端装备制造、新能源新材料、汽车部件等主导产业；濉芜产业园聚焦装备制造、新能源新材料产业；安徽（淮北）新型煤化工合成材料基地聚焦甲醇主导产业，延伸产业链；百善现代农业综合开发示范区聚焦粮食产业；濉溪镇、百善镇、刘桥镇、临涣镇、南坪镇、韩村镇工业园区聚焦主导产业，有序发展现代服务业，尤其是生产性服务业，促进先进制造业、现代农业与现代服务业的深度融合发展。</w:t>
      </w:r>
      <w:bookmarkStart w:id="162" w:name="_Toc488224108"/>
      <w:bookmarkStart w:id="163" w:name="_Toc490259490"/>
      <w:r>
        <w:rPr>
          <w:rFonts w:hint="default" w:ascii="Times New Roman" w:hAnsi="Times New Roman" w:eastAsia="仿宋_GB2312" w:cs="Times New Roman"/>
          <w:color w:val="000000" w:themeColor="text1"/>
          <w:sz w:val="32"/>
          <w:szCs w:val="32"/>
          <w14:textFill>
            <w14:solidFill>
              <w14:schemeClr w14:val="tx1"/>
            </w14:solidFill>
          </w14:textFill>
        </w:rPr>
        <w:t>其他各镇区依据资源禀赋、产业基础、经济发展水平等，立足农副产品、工业消费品、生产资料和特种商品市场，完善基础设施配套，打造新型专业市场集聚区和现代物流集聚区，突出特色、错位发展，有选择、有重点、分层次地推进区域现代服务业重点领域的发展。</w:t>
      </w:r>
    </w:p>
    <w:p w14:paraId="1F47BA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64" w:name="_Toc83296418"/>
      <w:bookmarkStart w:id="165" w:name="_Toc9876"/>
      <w:bookmarkStart w:id="166" w:name="_Toc8651"/>
      <w:r>
        <w:rPr>
          <w:rFonts w:hint="default" w:ascii="Times New Roman" w:hAnsi="Times New Roman" w:eastAsia="黑体" w:cs="Times New Roman"/>
          <w:b w:val="0"/>
          <w:bCs w:val="0"/>
          <w:color w:val="000000" w:themeColor="text1"/>
          <w14:textFill>
            <w14:solidFill>
              <w14:schemeClr w14:val="tx1"/>
            </w14:solidFill>
          </w14:textFill>
        </w:rPr>
        <w:t>三、生活性服务业布局</w:t>
      </w:r>
      <w:bookmarkEnd w:id="164"/>
      <w:bookmarkEnd w:id="165"/>
      <w:bookmarkEnd w:id="166"/>
    </w:p>
    <w:p w14:paraId="7461154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结合老城改造、新城完善、新区建设，重点围绕河西新区、南部次中心、双堆集新城，以及县城到临涣古镇一线，打造“三片一线”布局，重点布局生活性服务业。</w:t>
      </w:r>
    </w:p>
    <w:p w14:paraId="6C0427BD">
      <w:pPr>
        <w:widowControl w:val="0"/>
        <w:shd w:val="clear" w:color="auto" w:fill="FFFFFF"/>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老城河西新区作为濉溪“宜居新城”板块，打造集政务、教育、文体、居住等功能为一体的高品质健康生活区，规划在主城、河西、濉芜产业园区建设商业综合体等。南部次中心地处县域中心位置，实现综合功能、生态绿化、建设品质、文化内涵和服务水平等“五大提升”，打造成为皖北地区以煤化为特色的产业新城、皖北生态文明建设样板、淮北都市区“南下”战略的核心增长极、濉溪县县域新中心，成为淮北南部乐业宜居、创新活力的新型城市，到“十四五”末，南部次中心起步区基本建成，集聚人口超过6万人，同时大力培育新型煤化工、碳科技产业和现代服务业、现代农产品加工业，打造新的人口聚集区、经济增长极，辐射带动县域南部地区全面发展。双堆集新城，依托高铁双堆集站的建设，承担淮北市南部交通枢纽功能，辐射带动双堆集、南坪聚集发展，打造成宜业宜居、创新开放的现代新城。同时从县城到临涣古镇沿线</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依托濉溪良好的文化、旅游资源（临涣文昌宫、小李庄前委旧址、双堆集烈士陵园红色旅游线和濉溪老城石板街、乾隆湖风景区、柳孜运河遗址等旅游线），大力发展特色餐饮和旅游业等。</w:t>
      </w:r>
      <w:bookmarkEnd w:id="162"/>
      <w:bookmarkEnd w:id="163"/>
    </w:p>
    <w:p w14:paraId="6558B33F">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67" w:name="_Toc15972"/>
      <w:bookmarkStart w:id="168" w:name="_Toc20117"/>
      <w:bookmarkStart w:id="169" w:name="_Toc83296419"/>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第六章  保障措施</w:t>
      </w:r>
      <w:bookmarkEnd w:id="167"/>
      <w:bookmarkEnd w:id="168"/>
      <w:bookmarkEnd w:id="169"/>
    </w:p>
    <w:p w14:paraId="6D1E04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D7EFF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w:t>
      </w:r>
      <w:r>
        <w:rPr>
          <w:rFonts w:hint="default" w:ascii="Times New Roman" w:hAnsi="Times New Roman" w:eastAsia="仿宋_GB2312" w:cs="Times New Roman"/>
          <w:color w:val="000000" w:themeColor="text1"/>
          <w:sz w:val="32"/>
          <w:szCs w:val="32"/>
          <w14:textFill>
            <w14:solidFill>
              <w14:schemeClr w14:val="tx1"/>
            </w14:solidFill>
          </w14:textFill>
        </w:rPr>
        <w:t>中国特色社会主义思想为指导，建立健全党领导服务业发展的体制机制，确保目标任务顺利完成。</w:t>
      </w:r>
    </w:p>
    <w:p w14:paraId="10E440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0" w:name="_Toc28875"/>
      <w:bookmarkStart w:id="171" w:name="_Toc83296420"/>
      <w:bookmarkStart w:id="172" w:name="_Toc30648"/>
      <w:r>
        <w:rPr>
          <w:rFonts w:hint="default" w:ascii="Times New Roman" w:hAnsi="Times New Roman" w:eastAsia="黑体" w:cs="Times New Roman"/>
          <w:b w:val="0"/>
          <w:bCs w:val="0"/>
          <w:color w:val="000000" w:themeColor="text1"/>
          <w14:textFill>
            <w14:solidFill>
              <w14:schemeClr w14:val="tx1"/>
            </w14:solidFill>
          </w14:textFill>
        </w:rPr>
        <w:t>一、加强组织协调</w:t>
      </w:r>
      <w:bookmarkEnd w:id="170"/>
      <w:bookmarkEnd w:id="171"/>
      <w:bookmarkEnd w:id="172"/>
    </w:p>
    <w:p w14:paraId="341D3A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坚持党总揽全局、协调各方，发挥各级党委（党组）领导核心作用，</w:t>
      </w:r>
      <w:r>
        <w:rPr>
          <w:rFonts w:hint="default" w:ascii="Times New Roman" w:hAnsi="Times New Roman" w:eastAsia="仿宋_GB2312" w:cs="Times New Roman"/>
          <w:color w:val="000000" w:themeColor="text1"/>
          <w:spacing w:val="6"/>
          <w:sz w:val="32"/>
          <w:szCs w:val="32"/>
          <w14:textFill>
            <w14:solidFill>
              <w14:schemeClr w14:val="tx1"/>
            </w14:solidFill>
          </w14:textFill>
        </w:rPr>
        <w:t>将招商引资和服务业发展作为党政“一把手”工程，</w:t>
      </w:r>
      <w:r>
        <w:rPr>
          <w:rFonts w:hint="default" w:ascii="Times New Roman" w:hAnsi="Times New Roman" w:eastAsia="仿宋_GB2312" w:cs="Times New Roman"/>
          <w:color w:val="000000" w:themeColor="text1"/>
          <w:sz w:val="32"/>
          <w:szCs w:val="32"/>
          <w14:textFill>
            <w14:solidFill>
              <w14:schemeClr w14:val="tx1"/>
            </w14:solidFill>
          </w14:textFill>
        </w:rPr>
        <w:t>由县主要领导牵头成立县服务业发展领导小组，统筹推进服务业发展，协调解决发展中存在的主要问题。领导小组各成员单位负责制定各领域发展规划或计划，研究制定相关行业政策，推进服务业集聚区和重大项目建设。领导小组办公室设在县发展改革委，具体负责领导小组的日常工作。各行业主管部门各负其责，加强配合，积极开展工作，积极发挥行业主管优势，加强对服务企业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充分发挥行业协会等的桥梁纽带作用，做好调查研究、技术推广、标准制修订和宣传推广、信息统计、人才培养等方面工作。</w:t>
      </w:r>
      <w:r>
        <w:rPr>
          <w:rFonts w:hint="default" w:ascii="Times New Roman" w:hAnsi="Times New Roman" w:eastAsia="仿宋_GB2312" w:cs="Times New Roman"/>
          <w:color w:val="000000" w:themeColor="text1"/>
          <w:sz w:val="32"/>
          <w:szCs w:val="32"/>
          <w14:textFill>
            <w14:solidFill>
              <w14:schemeClr w14:val="tx1"/>
            </w14:solidFill>
          </w14:textFill>
        </w:rPr>
        <w:t>加大对服务业企业统计人员的培训</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力度和宣传范围，</w:t>
      </w:r>
      <w:r>
        <w:rPr>
          <w:rFonts w:hint="default" w:ascii="Times New Roman" w:hAnsi="Times New Roman" w:eastAsia="仿宋_GB2312" w:cs="Times New Roman"/>
          <w:sz w:val="32"/>
          <w:szCs w:val="32"/>
        </w:rPr>
        <w:t>充分调动全社会加快发展服务业的积极性、主动性和创造性。</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同时强化考核奖惩，制定并严格落实年度服务业发展任务。</w:t>
      </w:r>
    </w:p>
    <w:p w14:paraId="086EDA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3" w:name="_Toc83296421"/>
      <w:bookmarkStart w:id="174" w:name="_Toc18995"/>
      <w:bookmarkStart w:id="175" w:name="_Toc21896"/>
      <w:r>
        <w:rPr>
          <w:rFonts w:hint="default" w:ascii="Times New Roman" w:hAnsi="Times New Roman" w:eastAsia="黑体" w:cs="Times New Roman"/>
          <w:b w:val="0"/>
          <w:bCs w:val="0"/>
          <w:color w:val="000000" w:themeColor="text1"/>
          <w14:textFill>
            <w14:solidFill>
              <w14:schemeClr w14:val="tx1"/>
            </w14:solidFill>
          </w14:textFill>
        </w:rPr>
        <w:t>二、聚焦政策扶持</w:t>
      </w:r>
      <w:bookmarkEnd w:id="173"/>
      <w:bookmarkEnd w:id="174"/>
      <w:bookmarkEnd w:id="175"/>
    </w:p>
    <w:p w14:paraId="2647C68C">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全面梳理并用足用好现有的国家、省、市服务业政策，制定落实符合县服务业发展各项政策措施，</w:t>
      </w:r>
      <w:r>
        <w:rPr>
          <w:rFonts w:hint="default" w:ascii="Times New Roman" w:hAnsi="Times New Roman" w:eastAsia="仿宋_GB2312" w:cs="Times New Roman"/>
          <w:sz w:val="32"/>
          <w:szCs w:val="32"/>
        </w:rPr>
        <w:t>努力形成政策洼地效应，为服务业创造最佳发展环境。</w:t>
      </w:r>
      <w:r>
        <w:rPr>
          <w:rFonts w:hint="default" w:ascii="Times New Roman" w:hAnsi="Times New Roman" w:eastAsia="仿宋_GB2312" w:cs="Times New Roman"/>
          <w:color w:val="000000" w:themeColor="text1"/>
          <w:sz w:val="32"/>
          <w:szCs w:val="32"/>
          <w14:textFill>
            <w14:solidFill>
              <w14:schemeClr w14:val="tx1"/>
            </w14:solidFill>
          </w14:textFill>
        </w:rPr>
        <w:t>加大对服务业集聚区、重点平台、重点项目和创新型企业的扶持力度。加强政策导向，重点支持生产性服务业、新兴服务业、服务业新模式新业态发展。拓宽政府采购范围，加大公共服务、专业服务、环境服务等政府购买服务力度。健全并落实各类所有制主体统一适用的制度政策，切实解决产业发展过程中存在的不平等问题，促进服务业企业公平竞争。出台奖励政策，整合资源，优化组合，鼓励和培育现有小企业、产业单位、个体经营户发展为规上服务业企业，鼓励现有企业主体设立专门的服务业企业，增加规模以上服务企业数量，提升规上服务企业入库质量。拓宽对外开放政策体系，主动融入长江经济带和长三角经济圈。</w:t>
      </w:r>
    </w:p>
    <w:p w14:paraId="10969BF2">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6" w:name="_Toc83296422"/>
      <w:bookmarkStart w:id="177" w:name="_Toc4240"/>
      <w:bookmarkStart w:id="178" w:name="_Toc14939"/>
      <w:r>
        <w:rPr>
          <w:rFonts w:hint="default" w:ascii="Times New Roman" w:hAnsi="Times New Roman" w:eastAsia="黑体" w:cs="Times New Roman"/>
          <w:b w:val="0"/>
          <w:bCs w:val="0"/>
          <w:color w:val="000000" w:themeColor="text1"/>
          <w14:textFill>
            <w14:solidFill>
              <w14:schemeClr w14:val="tx1"/>
            </w14:solidFill>
          </w14:textFill>
        </w:rPr>
        <w:t>三、强化要素保障</w:t>
      </w:r>
      <w:bookmarkEnd w:id="176"/>
      <w:bookmarkEnd w:id="177"/>
      <w:bookmarkEnd w:id="178"/>
    </w:p>
    <w:p w14:paraId="761A8A49">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79" w:name="_Toc83296423"/>
      <w:bookmarkStart w:id="180" w:name="_Toc31792"/>
      <w:bookmarkStart w:id="181" w:name="_Toc71708652"/>
      <w:bookmarkStart w:id="182" w:name="_Toc71164876"/>
      <w:bookmarkStart w:id="183" w:name="_Toc71728331"/>
      <w:bookmarkStart w:id="184" w:name="_Toc6250"/>
      <w:bookmarkStart w:id="185" w:name="_Toc71709049"/>
      <w:bookmarkStart w:id="186" w:name="_Toc3382"/>
      <w:bookmarkStart w:id="187" w:name="_Toc71175376"/>
      <w:bookmarkStart w:id="188" w:name="_Toc13132"/>
      <w:bookmarkStart w:id="189" w:name="_Toc15310"/>
      <w:r>
        <w:rPr>
          <w:rFonts w:hint="default" w:ascii="Times New Roman" w:hAnsi="Times New Roman" w:eastAsia="楷体_GB2312" w:cs="Times New Roman"/>
          <w:b/>
          <w:color w:val="000000" w:themeColor="text1"/>
          <w:sz w:val="32"/>
          <w:szCs w:val="32"/>
          <w14:textFill>
            <w14:solidFill>
              <w14:schemeClr w14:val="tx1"/>
            </w14:solidFill>
          </w14:textFill>
        </w:rPr>
        <w:t>1.保障土地供应</w:t>
      </w:r>
      <w:bookmarkEnd w:id="179"/>
      <w:bookmarkEnd w:id="180"/>
      <w:bookmarkEnd w:id="181"/>
      <w:bookmarkEnd w:id="182"/>
      <w:bookmarkEnd w:id="183"/>
      <w:bookmarkEnd w:id="184"/>
      <w:bookmarkEnd w:id="185"/>
      <w:bookmarkEnd w:id="186"/>
      <w:bookmarkEnd w:id="187"/>
      <w:bookmarkEnd w:id="188"/>
    </w:p>
    <w:p w14:paraId="64643F45">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与国土空间规划充分衔接，加强服务</w:t>
      </w:r>
      <w:r>
        <w:rPr>
          <w:rFonts w:hint="default" w:ascii="Times New Roman" w:hAnsi="Times New Roman" w:eastAsia="仿宋_GB2312" w:cs="Times New Roman"/>
          <w:color w:val="000000" w:themeColor="text1"/>
          <w:sz w:val="32"/>
          <w:szCs w:val="32"/>
          <w14:textFill>
            <w14:solidFill>
              <w14:schemeClr w14:val="tx1"/>
            </w14:solidFill>
          </w14:textFill>
        </w:rPr>
        <w:t>业用地规划、储备和供应保障，建立健全服务业用地保障机制，适度扩大现代服务业发展规划控制范围和预留空间。争取省级预留建设用地指标优先安排解决重大项目建设用地，提高现代服务业规划用地权重，在安排现代服务业重点项目建设用地计划时实行适度倾斜。优先满足现代服务业重大项目的用地需求。落实国家支持新产业新业态发展用地政策，鼓励服务业项目盘活利用存量建设用地，鼓励企业利用现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存量房产</w:t>
      </w:r>
      <w:r>
        <w:rPr>
          <w:rFonts w:hint="default" w:ascii="Times New Roman" w:hAnsi="Times New Roman" w:eastAsia="仿宋_GB2312" w:cs="Times New Roman"/>
          <w:color w:val="000000" w:themeColor="text1"/>
          <w:sz w:val="32"/>
          <w:szCs w:val="32"/>
          <w14:textFill>
            <w14:solidFill>
              <w14:schemeClr w14:val="tx1"/>
            </w14:solidFill>
          </w14:textFill>
        </w:rPr>
        <w:t>和土地</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资源</w:t>
      </w:r>
      <w:r>
        <w:rPr>
          <w:rFonts w:hint="default" w:ascii="Times New Roman" w:hAnsi="Times New Roman" w:eastAsia="仿宋_GB2312" w:cs="Times New Roman"/>
          <w:color w:val="000000" w:themeColor="text1"/>
          <w:sz w:val="32"/>
          <w:szCs w:val="32"/>
          <w14:textFill>
            <w14:solidFill>
              <w14:schemeClr w14:val="tx1"/>
            </w14:solidFill>
          </w14:textFill>
        </w:rPr>
        <w:t>，兴办文化创意、科研、健康养老、房屋租赁、工业旅游、众创空间、现代服务业、“互联网+”等新业态。有效整合村级存量集体建设用地，提升现有土地集约利用程度，向土地利用效率高、社会效益好的优质型服务业行业倾斜。推进服务业用地多功能开发和地上地下立体综合开发利用。探索投资者可通过出让、转让、划拨、租赁等方式取得土地使用权。</w:t>
      </w:r>
    </w:p>
    <w:p w14:paraId="07A9B06F">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90" w:name="_Toc11185"/>
      <w:bookmarkStart w:id="191" w:name="_Toc71728332"/>
      <w:bookmarkStart w:id="192" w:name="_Toc25055"/>
      <w:bookmarkStart w:id="193" w:name="_Toc16021"/>
      <w:bookmarkStart w:id="194" w:name="_Toc71175377"/>
      <w:bookmarkStart w:id="195" w:name="_Toc83296424"/>
      <w:bookmarkStart w:id="196" w:name="_Toc71708653"/>
      <w:bookmarkStart w:id="197" w:name="_Toc71709050"/>
      <w:bookmarkStart w:id="198" w:name="_Toc71164877"/>
      <w:bookmarkStart w:id="199" w:name="_Toc1332"/>
      <w:bookmarkStart w:id="200" w:name="_Toc14329"/>
      <w:r>
        <w:rPr>
          <w:rFonts w:hint="default" w:ascii="Times New Roman" w:hAnsi="Times New Roman" w:eastAsia="楷体_GB2312" w:cs="Times New Roman"/>
          <w:b/>
          <w:color w:val="000000" w:themeColor="text1"/>
          <w:sz w:val="32"/>
          <w:szCs w:val="32"/>
          <w14:textFill>
            <w14:solidFill>
              <w14:schemeClr w14:val="tx1"/>
            </w14:solidFill>
          </w14:textFill>
        </w:rPr>
        <w:t>2.落实金融财税政策</w:t>
      </w:r>
      <w:bookmarkEnd w:id="190"/>
      <w:bookmarkEnd w:id="191"/>
      <w:bookmarkEnd w:id="192"/>
      <w:bookmarkEnd w:id="193"/>
      <w:bookmarkEnd w:id="194"/>
      <w:bookmarkEnd w:id="195"/>
      <w:bookmarkEnd w:id="196"/>
      <w:bookmarkEnd w:id="197"/>
      <w:bookmarkEnd w:id="198"/>
      <w:bookmarkEnd w:id="199"/>
      <w:bookmarkEnd w:id="200"/>
    </w:p>
    <w:p w14:paraId="08F22B64">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挥财政资金的引导带动作用，加大财政资金对服务业各重点行业和领域的支持力度，探索建立现代服务业产业投资基金，培育发展新兴服务业，县财政根据资金使用情况和财力的增长情况逐年予以充实。研究制定具体管理使用办法，落实服务业引导资金采取贴补、贴息以及对国家、省、市有关扶持资金配套等方式对服务业重点企业进行扶持。协调解决企业融资难问题，降低其融资成本，引导社会资本投向服务业，支持服务业企业运用发行债券、股权融资、投贷联动、融资租赁等方式筹集资金，鼓励各类股权投资基金、信托投资机构、金融租赁机构、信用担保机构加大对生产性服务业企业和中小微服务业企业的支持力度。深化跨境人民币业务试点，促进跨境投融资便利化，鼓励服务业企业充分利用境内和境外两种资源、两个市场拓展自身业务。</w:t>
      </w:r>
    </w:p>
    <w:p w14:paraId="228DB39C">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01" w:name="_Toc83296425"/>
      <w:bookmarkStart w:id="202" w:name="_Toc71708654"/>
      <w:bookmarkStart w:id="203" w:name="_Toc71728333"/>
      <w:bookmarkStart w:id="204" w:name="_Toc30100"/>
      <w:bookmarkStart w:id="205" w:name="_Toc71175378"/>
      <w:bookmarkStart w:id="206" w:name="_Toc28055"/>
      <w:bookmarkStart w:id="207" w:name="_Toc71164878"/>
      <w:bookmarkStart w:id="208" w:name="_Toc4285"/>
      <w:bookmarkStart w:id="209" w:name="_Toc71709051"/>
      <w:bookmarkStart w:id="210" w:name="_Toc19590"/>
      <w:bookmarkStart w:id="211" w:name="_Toc7206"/>
      <w:r>
        <w:rPr>
          <w:rFonts w:hint="default" w:ascii="Times New Roman" w:hAnsi="Times New Roman" w:eastAsia="楷体_GB2312" w:cs="Times New Roman"/>
          <w:b/>
          <w:color w:val="000000" w:themeColor="text1"/>
          <w:sz w:val="32"/>
          <w:szCs w:val="32"/>
          <w14:textFill>
            <w14:solidFill>
              <w14:schemeClr w14:val="tx1"/>
            </w14:solidFill>
          </w14:textFill>
        </w:rPr>
        <w:t>3.强化</w:t>
      </w:r>
      <w:bookmarkEnd w:id="201"/>
      <w:bookmarkEnd w:id="202"/>
      <w:bookmarkEnd w:id="203"/>
      <w:bookmarkEnd w:id="204"/>
      <w:bookmarkEnd w:id="205"/>
      <w:bookmarkEnd w:id="206"/>
      <w:bookmarkEnd w:id="207"/>
      <w:bookmarkEnd w:id="208"/>
      <w:bookmarkEnd w:id="209"/>
      <w:bookmarkStart w:id="212" w:name="_Toc71164879"/>
      <w:bookmarkStart w:id="213" w:name="_Toc71728334"/>
      <w:bookmarkStart w:id="214" w:name="_Toc25473"/>
      <w:bookmarkStart w:id="215" w:name="_Toc71175379"/>
      <w:bookmarkStart w:id="216" w:name="_Toc71708655"/>
      <w:bookmarkStart w:id="217" w:name="_Toc22659"/>
      <w:bookmarkStart w:id="218" w:name="_Toc24221"/>
      <w:bookmarkStart w:id="219" w:name="_Toc71709052"/>
      <w:bookmarkStart w:id="220" w:name="_Toc83296426"/>
      <w:r>
        <w:rPr>
          <w:rFonts w:hint="default" w:ascii="Times New Roman" w:hAnsi="Times New Roman" w:eastAsia="楷体_GB2312" w:cs="Times New Roman"/>
          <w:b/>
          <w:color w:val="000000" w:themeColor="text1"/>
          <w:sz w:val="32"/>
          <w:szCs w:val="32"/>
          <w14:textFill>
            <w14:solidFill>
              <w14:schemeClr w14:val="tx1"/>
            </w14:solidFill>
          </w14:textFill>
        </w:rPr>
        <w:t>人才保障</w:t>
      </w:r>
      <w:bookmarkEnd w:id="210"/>
      <w:bookmarkEnd w:id="211"/>
      <w:bookmarkEnd w:id="212"/>
      <w:bookmarkEnd w:id="213"/>
      <w:bookmarkEnd w:id="214"/>
      <w:bookmarkEnd w:id="215"/>
      <w:bookmarkEnd w:id="216"/>
      <w:bookmarkEnd w:id="217"/>
      <w:bookmarkEnd w:id="218"/>
      <w:bookmarkEnd w:id="219"/>
      <w:bookmarkEnd w:id="220"/>
    </w:p>
    <w:p w14:paraId="049A1AB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人才支撑和智库引进，推动服务业人才结构战略性调整，实施领军人才引进培养计划，积极引进服务业亟需的高端人才和高技能人才，加强人才服务体系建设，对引进的高层次人才，及时兑现安家、子女入园入学、社会保障等方面政策待遇。强化专业型服务人才培养，鼓励高校、专业培训机构与服务业企业合作，开展各种职业技能培训，建立公共职业训练基地，集成利用政产学研及社会培训资源，提高专业型服务人才培养效率。健全人才激励机制，构筑多样化众创空间，营造“引得来、留得住、用得好、能创业”的人才发展环境，为全县服务业跨越发展提供智力支持和人才支撑。加快建立服务创新发展的科技创新智库，深化智库人才岗位聘用等制度改革。</w:t>
      </w:r>
    </w:p>
    <w:p w14:paraId="400849D8">
      <w:pPr>
        <w:spacing w:line="560" w:lineRule="exact"/>
        <w:ind w:firstLine="643" w:firstLineChars="200"/>
        <w:outlineLvl w:val="2"/>
        <w:rPr>
          <w:rFonts w:hint="default" w:ascii="Times New Roman" w:hAnsi="Times New Roman" w:eastAsia="楷体_GB2312" w:cs="Times New Roman"/>
          <w:b/>
          <w:color w:val="000000" w:themeColor="text1"/>
          <w:sz w:val="32"/>
          <w:szCs w:val="32"/>
          <w:highlight w:val="none"/>
          <w14:textFill>
            <w14:solidFill>
              <w14:schemeClr w14:val="tx1"/>
            </w14:solidFill>
          </w14:textFill>
        </w:rPr>
      </w:pPr>
      <w:bookmarkStart w:id="221" w:name="_Toc28907"/>
      <w:bookmarkStart w:id="222" w:name="_Toc11902"/>
      <w:r>
        <w:rPr>
          <w:rFonts w:hint="default" w:ascii="Times New Roman" w:hAnsi="Times New Roman" w:eastAsia="楷体_GB2312" w:cs="Times New Roman"/>
          <w:b/>
          <w:color w:val="000000" w:themeColor="text1"/>
          <w:sz w:val="32"/>
          <w:szCs w:val="32"/>
          <w:highlight w:val="none"/>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优化</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数据资源</w:t>
      </w:r>
      <w:r>
        <w:rPr>
          <w:rFonts w:hint="default" w:ascii="Times New Roman" w:hAnsi="Times New Roman" w:eastAsia="楷体_GB2312" w:cs="Times New Roman"/>
          <w:b/>
          <w:color w:val="000000" w:themeColor="text1"/>
          <w:sz w:val="32"/>
          <w:szCs w:val="32"/>
          <w14:textFill>
            <w14:solidFill>
              <w14:schemeClr w14:val="tx1"/>
            </w14:solidFill>
          </w14:textFill>
        </w:rPr>
        <w:t>应用</w:t>
      </w:r>
      <w:bookmarkEnd w:id="221"/>
      <w:bookmarkEnd w:id="222"/>
    </w:p>
    <w:p w14:paraId="69B871B7">
      <w:pPr>
        <w:widowControl w:val="0"/>
        <w:shd w:val="clear" w:color="auto" w:fill="FFFFFF"/>
        <w:spacing w:line="560"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建立服务业数据库，加快培育服务业数据要素市场，培育和引进一批服务经济和社会发展的数据挖掘、数据分析行业的服务业企业，支持构建农业、工业、交通、教育、安防、城市管理、公共资源交易等领域规范化数据开发利用的场景。发挥企业主体和行业协会商会桥梁作用，落实适用于大数据环境下的数据分类分级保护和应用，加强数据资源整合和安全保护，加强对企业商业秘密和个人数据的保护。提高数据质量和规范性，做好数据平台对接，推进政府、部门和企业数据开放共享。</w:t>
      </w:r>
    </w:p>
    <w:bookmarkEnd w:id="189"/>
    <w:p w14:paraId="73583AD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23" w:name="_Toc25738"/>
      <w:bookmarkStart w:id="224" w:name="_Toc16451"/>
      <w:bookmarkStart w:id="225" w:name="_Toc83296427"/>
      <w:r>
        <w:rPr>
          <w:rFonts w:hint="default" w:ascii="Times New Roman" w:hAnsi="Times New Roman" w:eastAsia="黑体" w:cs="Times New Roman"/>
          <w:b w:val="0"/>
          <w:bCs w:val="0"/>
          <w:color w:val="000000" w:themeColor="text1"/>
          <w14:textFill>
            <w14:solidFill>
              <w14:schemeClr w14:val="tx1"/>
            </w14:solidFill>
          </w14:textFill>
        </w:rPr>
        <w:t>四、优化发展环境</w:t>
      </w:r>
      <w:bookmarkEnd w:id="223"/>
      <w:bookmarkEnd w:id="224"/>
      <w:bookmarkEnd w:id="225"/>
    </w:p>
    <w:p w14:paraId="5D4EF44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26" w:name="_Toc15897"/>
      <w:bookmarkStart w:id="227" w:name="_Toc71708657"/>
      <w:bookmarkStart w:id="228" w:name="_Toc16229"/>
      <w:bookmarkStart w:id="229" w:name="_Toc83296428"/>
      <w:bookmarkStart w:id="230" w:name="_Toc71728336"/>
      <w:bookmarkStart w:id="231" w:name="_Toc71709054"/>
      <w:bookmarkStart w:id="232" w:name="_Toc71164881"/>
      <w:bookmarkStart w:id="233" w:name="_Toc26898"/>
      <w:bookmarkStart w:id="234" w:name="_Toc71175381"/>
      <w:bookmarkStart w:id="235" w:name="_Toc11643"/>
      <w:r>
        <w:rPr>
          <w:rFonts w:hint="default" w:ascii="Times New Roman" w:hAnsi="Times New Roman" w:eastAsia="楷体_GB2312" w:cs="Times New Roman"/>
          <w:b/>
          <w:color w:val="000000" w:themeColor="text1"/>
          <w:sz w:val="32"/>
          <w:szCs w:val="32"/>
          <w14:textFill>
            <w14:solidFill>
              <w14:schemeClr w14:val="tx1"/>
            </w14:solidFill>
          </w14:textFill>
        </w:rPr>
        <w:t>1.推进社会信用体系建设</w:t>
      </w:r>
      <w:bookmarkEnd w:id="226"/>
      <w:bookmarkEnd w:id="227"/>
      <w:bookmarkEnd w:id="228"/>
      <w:bookmarkEnd w:id="229"/>
      <w:bookmarkEnd w:id="230"/>
      <w:bookmarkEnd w:id="231"/>
      <w:bookmarkEnd w:id="232"/>
      <w:bookmarkEnd w:id="233"/>
      <w:bookmarkEnd w:id="234"/>
      <w:bookmarkEnd w:id="235"/>
    </w:p>
    <w:p w14:paraId="15F6B9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诚信自律、守信受益、失信惩戒为导向，以信用之都建设为目标、以信用数据为基础，以信用服务行业为支撑，强化诚信记录查询和信用服务应用，示范推广全过程信用管理模式。大力宣传弘扬契约精神，对符合产业发展方向、信用良好的服务业企业，优先给予政策优惠、资金扶持和信贷支持，健全完善行政、市场、社会综合性信用奖惩机制，充分发挥信用建设规范市场秩序的作用，构建诚信、透明的市场环境。强化知识产权保护，加强对企业服务模式和服务内容等创新的保护，促进知识产权创造和运用，进一步保护创新创业积极性。</w:t>
      </w:r>
      <w:r>
        <w:rPr>
          <w:rFonts w:hint="default" w:ascii="Times New Roman" w:hAnsi="Times New Roman" w:eastAsia="仿宋_GB2312" w:cs="Times New Roman"/>
          <w:color w:val="000000" w:themeColor="text1"/>
          <w:kern w:val="0"/>
          <w:sz w:val="32"/>
          <w:szCs w:val="32"/>
          <w14:textFill>
            <w14:solidFill>
              <w14:schemeClr w14:val="tx1"/>
            </w14:solidFill>
          </w14:textFill>
        </w:rPr>
        <w:t>加快社会信用、经营异常企业名录、执法部门信息共享、知识产权保护等综合监管体系建设，形成国际化、法制化营商环境。</w:t>
      </w:r>
    </w:p>
    <w:p w14:paraId="5FEBD89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6" w:name="_Toc13697"/>
      <w:r>
        <w:rPr>
          <w:rFonts w:hint="default" w:ascii="Times New Roman" w:hAnsi="Times New Roman" w:eastAsia="楷体_GB2312" w:cs="Times New Roman"/>
          <w:b/>
          <w:color w:val="000000" w:themeColor="text1"/>
          <w:sz w:val="32"/>
          <w:szCs w:val="32"/>
          <w14:textFill>
            <w14:solidFill>
              <w14:schemeClr w14:val="tx1"/>
            </w14:solidFill>
          </w14:textFill>
        </w:rPr>
        <w:t>2.深化服务业领域改革创新</w:t>
      </w:r>
      <w:bookmarkEnd w:id="236"/>
    </w:p>
    <w:p w14:paraId="43BF52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优化政策体制环境，完善服务业政策体系，推动行业规范管理。进一步放宽行业准入限制，放宽服务业企业登记注册条件，简化相关审批手续。进一步规范审批程序，规范市场交易行为，规范市场竞争；加强服务业市场监管，加大工商行政管理、质量技术监督和城管监察力度，发挥消费者、媒体的监督和参与作用；强化社会诚信，引导企业依法经营，倡导公平竞争、透明优质服务。积极对接安徽自贸区建设，借鉴中国（安徽）自由贸易试验区试点经验，用足用好自由贸易试验区政策红利，探索建设联动创新体制机制。培育行业服务平台体系，快推进行业协会商会与行政机关脱钩工作，加大政府职能转移力度，逐步将政府事务性、辅助性等职能，依法转移，充分发挥行业协会在管理中的组织协调指导作用，规范行业秩序，切实加强与国内外相关部门的联系和沟通，更好地为企业服务。加快构建服务业多元化发展格局，推动民间资本参与服务业发展。深化公用事业和社会事业改革，推动非基本公共服务市场化改革，拓展社会资本服务业发展空间。建立服务业创新保障体系，加强信息化管理网络的建设，为服务业的发展提供及时、有效、科学的服务。建立健全服务保障体系，加强市场监管，规范行业秩序和市场行为，营造公平、公正、公开的竞争环境。</w:t>
      </w:r>
    </w:p>
    <w:p w14:paraId="31E05D7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7" w:name="_Toc7551"/>
      <w:r>
        <w:rPr>
          <w:rFonts w:hint="default" w:ascii="Times New Roman" w:hAnsi="Times New Roman" w:eastAsia="楷体_GB2312" w:cs="Times New Roman"/>
          <w:b/>
          <w:color w:val="000000" w:themeColor="text1"/>
          <w:sz w:val="32"/>
          <w:szCs w:val="32"/>
          <w14:textFill>
            <w14:solidFill>
              <w14:schemeClr w14:val="tx1"/>
            </w14:solidFill>
          </w14:textFill>
        </w:rPr>
        <w:t>3.改善事中事后监管体制</w:t>
      </w:r>
      <w:bookmarkEnd w:id="237"/>
    </w:p>
    <w:p w14:paraId="32FB57FA">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监管环节上，探索完善“五证合一、一照一码”等机制，从事前审批向事后监管转变。进一步减少行政审批事项，优化工商登记与商事登记制度，放宽准入限制，加强事中事后经营行为对社会影响监管，建立动态监管与信用管理、安全监管及反垄断管理相结合的管理体系。在监管主体上，从政府主导向多元参与转变，加快推进第三方技术、评估、监测、仲裁机构发展，充分发挥社会组织和媒体行业监督职能。</w:t>
      </w:r>
    </w:p>
    <w:p w14:paraId="30D894A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8" w:name="_Toc11158"/>
      <w:r>
        <w:rPr>
          <w:rFonts w:hint="default" w:ascii="Times New Roman" w:hAnsi="Times New Roman" w:eastAsia="楷体_GB2312" w:cs="Times New Roman"/>
          <w:b/>
          <w:color w:val="000000" w:themeColor="text1"/>
          <w:sz w:val="32"/>
          <w:szCs w:val="32"/>
          <w14:textFill>
            <w14:solidFill>
              <w14:schemeClr w14:val="tx1"/>
            </w14:solidFill>
          </w14:textFill>
        </w:rPr>
        <w:t>4.加强市场监督管理和惩罚力度</w:t>
      </w:r>
      <w:bookmarkEnd w:id="238"/>
    </w:p>
    <w:p w14:paraId="2809DD6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保障服务业市场的良性发展，规范市场监督管理处罚程序，市场监督管理部门对依据监督检查职权或者通过投诉、举报、其他部门移送、上级交办等途径发现的违法行为线索，应当自发现线索或者收到材料之日起十五个工作日内予以核查。市场监督管理部门依照政府信息公开有关规定，及时公开行政处罚案件相关信息，接受社会公众监督。市场监督管理部门实施行政处罚，应当遵循公正、公开的原则，坚持处罚与教育相结合，做到事实清楚、证据确凿、适用依据正确、程序合法、处罚适当。</w:t>
      </w:r>
    </w:p>
    <w:p w14:paraId="2F558E41">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39" w:name="_Toc19791"/>
      <w:bookmarkStart w:id="240" w:name="_Toc18751"/>
      <w:bookmarkStart w:id="241" w:name="_Toc27878"/>
      <w:bookmarkStart w:id="242" w:name="_Toc19596"/>
      <w:bookmarkStart w:id="243" w:name="_Toc19999"/>
      <w:bookmarkStart w:id="244" w:name="_Toc83296429"/>
      <w:bookmarkStart w:id="245" w:name="_Toc97"/>
      <w:bookmarkStart w:id="246" w:name="_Toc23817"/>
      <w:bookmarkStart w:id="247" w:name="_Toc62198221"/>
      <w:bookmarkStart w:id="248" w:name="_Toc13996"/>
      <w:bookmarkStart w:id="249" w:name="_Toc24548"/>
      <w:bookmarkStart w:id="250" w:name="_Toc3878"/>
      <w:bookmarkStart w:id="251" w:name="_Toc19984"/>
      <w:bookmarkStart w:id="252" w:name="_Toc21814"/>
      <w:bookmarkStart w:id="253" w:name="_Toc25139"/>
      <w:bookmarkStart w:id="254" w:name="_Toc4455"/>
      <w:bookmarkStart w:id="255" w:name="_Toc1233"/>
      <w:r>
        <w:rPr>
          <w:rFonts w:hint="default" w:ascii="Times New Roman" w:hAnsi="Times New Roman" w:eastAsia="黑体" w:cs="Times New Roman"/>
          <w:b w:val="0"/>
          <w:bCs w:val="0"/>
          <w:color w:val="000000" w:themeColor="text1"/>
          <w14:textFill>
            <w14:solidFill>
              <w14:schemeClr w14:val="tx1"/>
            </w14:solidFill>
          </w14:textFill>
        </w:rPr>
        <w:t>五、强化项目支撑</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A502503">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6" w:name="_Toc27578"/>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1.坚持以项目为抓手</w:t>
      </w:r>
      <w:bookmarkEnd w:id="256"/>
    </w:p>
    <w:p w14:paraId="738AD7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将实施项目作为推动服务业发展的抓手，充分发挥项目对规划实施的支撑作用。围绕服务业新业态新模式谋划、研究、论证、储备和建设项目，完善服务业重大项目库，实行动态管理、滚动推进，确保开工一批、建设一批、竣工一批、储备一批。同时加大招商引资力度，</w:t>
      </w:r>
      <w:r>
        <w:rPr>
          <w:rFonts w:hint="default" w:ascii="Times New Roman" w:hAnsi="Times New Roman" w:eastAsia="仿宋_GB2312" w:cs="Times New Roman"/>
          <w:color w:val="000000" w:themeColor="text1"/>
          <w:sz w:val="32"/>
          <w:szCs w:val="32"/>
          <w14:textFill>
            <w14:solidFill>
              <w14:schemeClr w14:val="tx1"/>
            </w14:solidFill>
          </w14:textFill>
        </w:rPr>
        <w:t>吸引现代服务业、零售业等领域服务业企业总部落户，并</w:t>
      </w:r>
      <w:r>
        <w:rPr>
          <w:rFonts w:hint="default" w:ascii="Times New Roman" w:hAnsi="Times New Roman" w:eastAsia="仿宋_GB2312" w:cs="Times New Roman"/>
          <w:smallCaps/>
          <w:color w:val="000000" w:themeColor="text1"/>
          <w:sz w:val="32"/>
          <w:szCs w:val="32"/>
          <w14:textFill>
            <w14:solidFill>
              <w14:schemeClr w14:val="tx1"/>
            </w14:solidFill>
          </w14:textFill>
        </w:rPr>
        <w:t>探索与发达地区园区、基金，以及科研院所，大院大所合作模式，推进产业链招商。</w:t>
      </w:r>
    </w:p>
    <w:p w14:paraId="457DA91D">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7" w:name="_Toc2969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2.完善项目推进机制</w:t>
      </w:r>
      <w:bookmarkEnd w:id="257"/>
    </w:p>
    <w:p w14:paraId="17B772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实施重大项目目标责任制，严格落实“四督四保”要求，健全项目“载体单位全程代办、窗口单位无权否决”等制度，</w:t>
      </w:r>
      <w:r>
        <w:rPr>
          <w:rFonts w:hint="default" w:ascii="Times New Roman" w:hAnsi="Times New Roman" w:eastAsia="仿宋_GB2312" w:cs="Times New Roman"/>
          <w:color w:val="000000" w:themeColor="text1"/>
          <w:sz w:val="32"/>
          <w:szCs w:val="32"/>
          <w14:textFill>
            <w14:solidFill>
              <w14:schemeClr w14:val="tx1"/>
            </w14:solidFill>
          </w14:textFill>
        </w:rPr>
        <w:t>优化土地资源配置，加强金融支持，</w:t>
      </w:r>
      <w:r>
        <w:rPr>
          <w:rFonts w:hint="default" w:ascii="Times New Roman" w:hAnsi="Times New Roman" w:eastAsia="仿宋_GB2312" w:cs="Times New Roman"/>
          <w:smallCaps/>
          <w:color w:val="000000" w:themeColor="text1"/>
          <w:sz w:val="32"/>
          <w:szCs w:val="32"/>
          <w14:textFill>
            <w14:solidFill>
              <w14:schemeClr w14:val="tx1"/>
            </w14:solidFill>
          </w14:textFill>
        </w:rPr>
        <w:t>切实抓好项目选址、审批等各个环节的前期工作，加大重点项目建设的推进力度，</w:t>
      </w:r>
      <w:r>
        <w:rPr>
          <w:rFonts w:hint="default" w:ascii="Times New Roman" w:hAnsi="Times New Roman" w:eastAsia="仿宋_GB2312" w:cs="Times New Roman"/>
          <w:color w:val="000000" w:themeColor="text1"/>
          <w:sz w:val="32"/>
          <w:szCs w:val="32"/>
          <w14:textFill>
            <w14:solidFill>
              <w14:schemeClr w14:val="tx1"/>
            </w14:solidFill>
          </w14:textFill>
        </w:rPr>
        <w:t>全面提升重大项目要素保障水平</w:t>
      </w:r>
      <w:r>
        <w:rPr>
          <w:rFonts w:hint="default" w:ascii="Times New Roman" w:hAnsi="Times New Roman" w:eastAsia="仿宋_GB2312" w:cs="Times New Roman"/>
          <w:smallCaps/>
          <w:color w:val="000000" w:themeColor="text1"/>
          <w:sz w:val="32"/>
          <w:szCs w:val="32"/>
          <w14:textFill>
            <w14:solidFill>
              <w14:schemeClr w14:val="tx1"/>
            </w14:solidFill>
          </w14:textFill>
        </w:rPr>
        <w:t>。为企业发展提供“全生命周期”的优质服务，有效提高项目建设协调服务水平。</w:t>
      </w:r>
    </w:p>
    <w:p w14:paraId="1A11170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58" w:name="_Toc83296430"/>
      <w:bookmarkStart w:id="259" w:name="_Toc7938"/>
      <w:bookmarkStart w:id="260" w:name="_Toc9696"/>
      <w:r>
        <w:rPr>
          <w:rFonts w:hint="default" w:ascii="Times New Roman" w:hAnsi="Times New Roman" w:eastAsia="黑体" w:cs="Times New Roman"/>
          <w:b w:val="0"/>
          <w:bCs w:val="0"/>
          <w:color w:val="000000" w:themeColor="text1"/>
          <w14:textFill>
            <w14:solidFill>
              <w14:schemeClr w14:val="tx1"/>
            </w14:solidFill>
          </w14:textFill>
        </w:rPr>
        <w:t>六、抓好督促落实</w:t>
      </w:r>
      <w:bookmarkEnd w:id="258"/>
      <w:bookmarkEnd w:id="259"/>
      <w:bookmarkEnd w:id="260"/>
    </w:p>
    <w:p w14:paraId="19DD085A">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1" w:name="_Toc1462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1.加强任务实施管理</w:t>
      </w:r>
      <w:bookmarkEnd w:id="261"/>
    </w:p>
    <w:p w14:paraId="7A753A9F">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服务业发展规划和电商、商业布点等行业专项规划，按年度将主要目标和重大事项分解落实到具体部门，明确工作任务和实施主体责任。加强任务执行的跟踪检查，加强对服务经济财政扶持资金的跟踪，切实保障服务业政策规划的贯彻执行和具体落实。建立切实可行的指标考核体系，真实、全面、客观地反映政策实施效果和财政资金投入绩效，使政策和资金扶持领域更加贴近企业实际需求，更具科学性和绩效性。建立信息共享机制，完善统计信息发布制度，加强对服务业相关重点领域发展态势的监测、预测和分析。</w:t>
      </w:r>
    </w:p>
    <w:p w14:paraId="2B10EC7E">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2" w:name="_Toc10717"/>
      <w:r>
        <w:rPr>
          <w:rFonts w:hint="default" w:ascii="Times New Roman" w:hAnsi="Times New Roman" w:eastAsia="楷体_GB2312" w:cs="Times New Roman"/>
          <w:b/>
          <w:bCs w:val="0"/>
          <w:smallCaps w:val="0"/>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.强化规划实施监测评估</w:t>
      </w:r>
      <w:bookmarkEnd w:id="262"/>
    </w:p>
    <w:p w14:paraId="0B37B5B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pgSz w:w="11906" w:h="16838"/>
          <w:pgMar w:top="2098" w:right="1474" w:bottom="1984" w:left="1587" w:header="851" w:footer="138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按照规划提出的发展目标、重点任务和推进措施，以及各专项规划，按年度将主要目标和重大事项分解落实到具体部门，明确工作任务和实施主体责任。探索建立第三方考核评价制度，跟踪规划执行情况。组织开展年度执行情况跟踪评估、中期实施情况评估和总结评估工作，并视评估情况，进行动态修订调整。</w:t>
      </w:r>
    </w:p>
    <w:p w14:paraId="68C03AC3">
      <w:pPr>
        <w:pStyle w:val="4"/>
        <w:keepNext/>
        <w:keepLines/>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color w:val="000000" w:themeColor="text1"/>
          <w14:textFill>
            <w14:solidFill>
              <w14:schemeClr w14:val="tx1"/>
            </w14:solidFill>
          </w14:textFill>
        </w:rPr>
      </w:pPr>
      <w:bookmarkStart w:id="263" w:name="_Toc10405"/>
      <w:bookmarkStart w:id="264" w:name="_Toc14420"/>
      <w:bookmarkStart w:id="265" w:name="_Toc83296431"/>
      <w:r>
        <w:rPr>
          <w:rFonts w:hint="default" w:ascii="Times New Roman" w:hAnsi="Times New Roman" w:cs="Times New Roman"/>
          <w:color w:val="000000" w:themeColor="text1"/>
          <w14:textFill>
            <w14:solidFill>
              <w14:schemeClr w14:val="tx1"/>
            </w14:solidFill>
          </w14:textFill>
        </w:rPr>
        <w:t>附件</w:t>
      </w:r>
      <w:bookmarkEnd w:id="263"/>
      <w:bookmarkEnd w:id="264"/>
    </w:p>
    <w:p w14:paraId="07D62D17">
      <w:pPr>
        <w:pStyle w:val="4"/>
        <w:spacing w:before="0"/>
        <w:jc w:val="center"/>
        <w:rPr>
          <w:rFonts w:hint="default" w:ascii="Times New Roman" w:hAnsi="Times New Roman" w:eastAsia="方正小标宋简体" w:cs="Times New Roman"/>
          <w:color w:val="0000FF"/>
          <w:sz w:val="44"/>
          <w:szCs w:val="44"/>
        </w:rPr>
      </w:pPr>
      <w:bookmarkStart w:id="266" w:name="_Toc2034"/>
      <w:bookmarkStart w:id="267" w:name="_Toc25631"/>
      <w:r>
        <w:rPr>
          <w:rFonts w:hint="default" w:ascii="Times New Roman" w:hAnsi="Times New Roman" w:eastAsia="方正小标宋简体" w:cs="Times New Roman"/>
          <w:color w:val="000000" w:themeColor="text1"/>
          <w:sz w:val="44"/>
          <w:szCs w:val="44"/>
          <w14:textFill>
            <w14:solidFill>
              <w14:schemeClr w14:val="tx1"/>
            </w14:solidFill>
          </w14:textFill>
        </w:rPr>
        <w:t>濉溪县“十四五”服务业发展重大项目一览表</w:t>
      </w:r>
      <w:bookmarkEnd w:id="265"/>
      <w:bookmarkEnd w:id="266"/>
      <w:bookmarkEnd w:id="267"/>
    </w:p>
    <w:tbl>
      <w:tblPr>
        <w:tblStyle w:val="16"/>
        <w:tblW w:w="13930" w:type="dxa"/>
        <w:jc w:val="center"/>
        <w:tblLayout w:type="fixed"/>
        <w:tblCellMar>
          <w:top w:w="0" w:type="dxa"/>
          <w:left w:w="0" w:type="dxa"/>
          <w:bottom w:w="0" w:type="dxa"/>
          <w:right w:w="0" w:type="dxa"/>
        </w:tblCellMar>
      </w:tblPr>
      <w:tblGrid>
        <w:gridCol w:w="601"/>
        <w:gridCol w:w="2807"/>
        <w:gridCol w:w="1243"/>
        <w:gridCol w:w="1450"/>
        <w:gridCol w:w="1045"/>
        <w:gridCol w:w="4714"/>
        <w:gridCol w:w="1393"/>
        <w:gridCol w:w="677"/>
      </w:tblGrid>
      <w:tr w14:paraId="1FB2B658">
        <w:trPr>
          <w:trHeight w:val="644" w:hRule="atLeast"/>
          <w:tblHeader/>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B764">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br w:type="page"/>
            </w: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92E6">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9DDC">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建设地点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E00E">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建设起止</w:t>
            </w:r>
          </w:p>
          <w:p w14:paraId="2C1F20AB">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年限</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3335">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总投资（亿元）</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9053">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主要建设内容和建设规模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4A9A">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责任单位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BE07">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备注</w:t>
            </w:r>
          </w:p>
        </w:tc>
      </w:tr>
      <w:tr w14:paraId="5AC41F19">
        <w:trPr>
          <w:trHeight w:val="112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C8F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F19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淮北港韩村港区孙疃作业区综合码头工程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9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95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2021年7月-2022年12月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384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842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拟建设6个500吨级兼顾1000吨级的综合性泊位，设计年吞吐量540万吨。</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1E5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80F6">
            <w:pPr>
              <w:widowControl/>
              <w:jc w:val="center"/>
              <w:textAlignment w:val="center"/>
              <w:rPr>
                <w:rFonts w:hint="default" w:ascii="Times New Roman" w:hAnsi="Times New Roman" w:eastAsia="仿宋_GB2312" w:cs="Times New Roman"/>
                <w:color w:val="000000"/>
                <w:sz w:val="24"/>
                <w:szCs w:val="24"/>
              </w:rPr>
            </w:pPr>
          </w:p>
        </w:tc>
      </w:tr>
      <w:tr w14:paraId="1D3247E7">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E0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C7E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临涣闸至李口集段浍河航道项目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D3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EFD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427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EA8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临涣闸至李口集，全长35.5公里，四级航道。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E8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0E59">
            <w:pPr>
              <w:widowControl/>
              <w:jc w:val="center"/>
              <w:textAlignment w:val="center"/>
              <w:rPr>
                <w:rFonts w:hint="default" w:ascii="Times New Roman" w:hAnsi="Times New Roman" w:eastAsia="仿宋_GB2312" w:cs="Times New Roman"/>
                <w:color w:val="000000"/>
                <w:sz w:val="24"/>
                <w:szCs w:val="24"/>
              </w:rPr>
            </w:pPr>
          </w:p>
        </w:tc>
      </w:tr>
      <w:tr w14:paraId="3E8D5684">
        <w:trPr>
          <w:trHeight w:val="160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3D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1526">
            <w:pPr>
              <w:pStyle w:val="39"/>
              <w:spacing w:line="240" w:lineRule="auto"/>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沱浍河航道临涣船闸工程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FD4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9CF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2020年5月-2023年5月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689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5.68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C00">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该项目按IV级通航标准建设，设计最大船型为500吨级（兼顾1000吨级）货船。主要建设内容包括闸首，闸室，引航道、导航建筑物、靠船建筑物、桥梁改建及配套工程等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B29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F062">
            <w:pPr>
              <w:widowControl/>
              <w:jc w:val="center"/>
              <w:textAlignment w:val="center"/>
              <w:rPr>
                <w:rFonts w:hint="default" w:ascii="Times New Roman" w:hAnsi="Times New Roman" w:eastAsia="仿宋_GB2312" w:cs="Times New Roman"/>
                <w:color w:val="000000"/>
                <w:sz w:val="24"/>
                <w:szCs w:val="24"/>
              </w:rPr>
            </w:pPr>
          </w:p>
        </w:tc>
      </w:tr>
      <w:tr w14:paraId="3FE58036">
        <w:trPr>
          <w:trHeight w:val="10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BA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4FA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韩村散货码头建设项目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0267">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85D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2024年5月-2025年5月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9578">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2.40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C968">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本项目拟建5个500吨级泊位，泊位长度390m。设计年吞吐量440万吨。建设进港公路一条，长500米，宽15米。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54A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CAD8">
            <w:pPr>
              <w:widowControl/>
              <w:jc w:val="center"/>
              <w:textAlignment w:val="center"/>
              <w:rPr>
                <w:rFonts w:hint="default" w:ascii="Times New Roman" w:hAnsi="Times New Roman" w:eastAsia="仿宋_GB2312" w:cs="Times New Roman"/>
                <w:color w:val="000000"/>
                <w:sz w:val="24"/>
                <w:szCs w:val="24"/>
              </w:rPr>
            </w:pPr>
          </w:p>
        </w:tc>
      </w:tr>
      <w:tr w14:paraId="0FAEB1C4">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CA7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3F5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淮海中瑞农产品物流中心冷链物流园项目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88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AC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2021年10月-2022年12月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3F5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882E">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占地面积约99.79亩，建设冷链物流用冷库及冻品交易及其他配套用房等。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34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D9B4">
            <w:pPr>
              <w:widowControl/>
              <w:jc w:val="center"/>
              <w:textAlignment w:val="center"/>
              <w:rPr>
                <w:rFonts w:hint="default" w:ascii="Times New Roman" w:hAnsi="Times New Roman" w:eastAsia="仿宋_GB2312" w:cs="Times New Roman"/>
                <w:color w:val="000000"/>
                <w:sz w:val="24"/>
                <w:szCs w:val="24"/>
              </w:rPr>
            </w:pPr>
          </w:p>
        </w:tc>
      </w:tr>
      <w:tr w14:paraId="0831520C">
        <w:trPr>
          <w:trHeight w:val="104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9C7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6D7E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中德产业园子项目（智能快递物流中心建设项目）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036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782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7D3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7DF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占地约70亩，总建筑面积约5.2万平方米，包括3栋两层仓储物流仓库、1栋业务综合楼以及其他相关配套设施。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E2FE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F531">
            <w:pPr>
              <w:widowControl/>
              <w:jc w:val="center"/>
              <w:textAlignment w:val="center"/>
              <w:rPr>
                <w:rFonts w:hint="default" w:ascii="Times New Roman" w:hAnsi="Times New Roman" w:eastAsia="仿宋_GB2312" w:cs="Times New Roman"/>
                <w:color w:val="000000"/>
                <w:sz w:val="24"/>
                <w:szCs w:val="24"/>
              </w:rPr>
            </w:pPr>
          </w:p>
        </w:tc>
      </w:tr>
      <w:tr w14:paraId="608EC40E">
        <w:trPr>
          <w:trHeight w:val="142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4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6D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淮海京东现代物流产业园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6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3C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2022年3月-2024年3月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316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D84C">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引进京东物流运营管理模式，建设集云计算、大数据、智能化于一体的现代物流产业园，全面整合提升濉溪县的物流产业，计划总投资2亿元，占地面积200亩左右。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B0F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00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highlight w:val="none"/>
                <w:lang w:bidi="ar"/>
              </w:rPr>
              <w:t>洽谈</w:t>
            </w:r>
          </w:p>
        </w:tc>
      </w:tr>
      <w:tr w14:paraId="7A281A3E">
        <w:trPr>
          <w:trHeight w:val="8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AE0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F1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濉溪县粮食物流应急保障中心项目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2F8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1A3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2022年-2025年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E84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8A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项目新增土地仓储用地120亩，新建15万吨粮食和应急物资仓库及配套设施。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0FD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县发改委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7D81">
            <w:pPr>
              <w:widowControl/>
              <w:jc w:val="center"/>
              <w:textAlignment w:val="center"/>
              <w:rPr>
                <w:rFonts w:hint="default" w:ascii="Times New Roman" w:hAnsi="Times New Roman" w:eastAsia="仿宋_GB2312" w:cs="Times New Roman"/>
                <w:color w:val="000000"/>
                <w:sz w:val="24"/>
                <w:szCs w:val="24"/>
              </w:rPr>
            </w:pPr>
          </w:p>
        </w:tc>
      </w:tr>
      <w:tr w14:paraId="3E026172">
        <w:trPr>
          <w:trHeight w:val="80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D68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4BF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铁佛镇浍河货运集散区项目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456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63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1E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0.70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F6B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建立一座占地约200亩，硬化面积39000平方米的物流集散区及相关办公楼等配套设施。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28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6D51">
            <w:pPr>
              <w:widowControl/>
              <w:jc w:val="center"/>
              <w:textAlignment w:val="center"/>
              <w:rPr>
                <w:rFonts w:hint="default" w:ascii="Times New Roman" w:hAnsi="Times New Roman" w:eastAsia="仿宋_GB2312" w:cs="Times New Roman"/>
                <w:color w:val="000000"/>
                <w:sz w:val="24"/>
                <w:szCs w:val="24"/>
              </w:rPr>
            </w:pPr>
          </w:p>
        </w:tc>
      </w:tr>
      <w:tr w14:paraId="402A7F8D">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DAD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C2C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铁佛镇茂铺物流园建设项目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26B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DD6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F02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E893">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735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60A1">
            <w:pPr>
              <w:widowControl/>
              <w:jc w:val="center"/>
              <w:textAlignment w:val="center"/>
              <w:rPr>
                <w:rFonts w:hint="default" w:ascii="Times New Roman" w:hAnsi="Times New Roman" w:eastAsia="仿宋_GB2312" w:cs="Times New Roman"/>
                <w:color w:val="000000"/>
                <w:sz w:val="24"/>
                <w:szCs w:val="24"/>
              </w:rPr>
            </w:pPr>
          </w:p>
        </w:tc>
      </w:tr>
      <w:tr w14:paraId="167AFF68">
        <w:trPr>
          <w:trHeight w:val="8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F60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CDD7">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濉溪县南坪镇临港现代</w:t>
            </w:r>
          </w:p>
          <w:p w14:paraId="3342E6FB">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A3B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DCB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4D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A9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园区道路、下水管网，绿化、亮化、农贸商城、综合交易中心、现货交易中心、物流仓储、冷链物流、商场超市、电子商务创意文化园等。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637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833E">
            <w:pPr>
              <w:widowControl/>
              <w:jc w:val="center"/>
              <w:textAlignment w:val="center"/>
              <w:rPr>
                <w:rFonts w:hint="default" w:ascii="Times New Roman" w:hAnsi="Times New Roman" w:eastAsia="仿宋_GB2312" w:cs="Times New Roman"/>
                <w:color w:val="000000"/>
                <w:sz w:val="24"/>
                <w:szCs w:val="24"/>
              </w:rPr>
            </w:pPr>
          </w:p>
        </w:tc>
      </w:tr>
      <w:tr w14:paraId="5A42D39F">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AE2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3A5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孙疃港建材物流园项目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9EE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A77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C4C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96A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CF1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5533">
            <w:pPr>
              <w:widowControl/>
              <w:jc w:val="center"/>
              <w:textAlignment w:val="center"/>
              <w:rPr>
                <w:rFonts w:hint="default" w:ascii="Times New Roman" w:hAnsi="Times New Roman" w:eastAsia="仿宋_GB2312" w:cs="Times New Roman"/>
                <w:color w:val="000000"/>
                <w:sz w:val="24"/>
                <w:szCs w:val="24"/>
              </w:rPr>
            </w:pPr>
          </w:p>
        </w:tc>
      </w:tr>
      <w:tr w14:paraId="440714F5">
        <w:trPr>
          <w:trHeight w:val="64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601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0F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泽源物流项目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AB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78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1A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AC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由国安能源投资建设，进行货物运输、仓储服务和建材、机械设备、零部件的销售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816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EA91">
            <w:pPr>
              <w:widowControl/>
              <w:jc w:val="center"/>
              <w:textAlignment w:val="center"/>
              <w:rPr>
                <w:rFonts w:hint="default" w:ascii="Times New Roman" w:hAnsi="Times New Roman" w:eastAsia="仿宋_GB2312" w:cs="Times New Roman"/>
                <w:color w:val="000000"/>
                <w:sz w:val="24"/>
                <w:szCs w:val="24"/>
              </w:rPr>
            </w:pPr>
          </w:p>
        </w:tc>
      </w:tr>
      <w:tr w14:paraId="4124252C">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29C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w:t>
            </w:r>
            <w:r>
              <w:rPr>
                <w:rFonts w:hint="default" w:ascii="Times New Roman" w:hAnsi="Times New Roman" w:eastAsia="仿宋_GB2312" w:cs="Times New Roman"/>
                <w:color w:val="000000"/>
                <w:kern w:val="0"/>
                <w:sz w:val="24"/>
                <w:szCs w:val="24"/>
                <w:highlight w:val="none"/>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7C24">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物流产业园项目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F324">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667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2022年9月-2024年8月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01D0">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A0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占地90亩，建设物流产业园，打造以顺达商贸、恒信物流为主，集仓储物流、贸易及配送的物流集散中心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7BF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12C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洽谈</w:t>
            </w:r>
          </w:p>
        </w:tc>
      </w:tr>
      <w:tr w14:paraId="65909298">
        <w:trPr>
          <w:trHeight w:val="17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7A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18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4AB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13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B5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F2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位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5AF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61E8">
            <w:pPr>
              <w:widowControl/>
              <w:jc w:val="center"/>
              <w:textAlignment w:val="center"/>
              <w:rPr>
                <w:rFonts w:hint="default" w:ascii="Times New Roman" w:hAnsi="Times New Roman" w:eastAsia="仿宋_GB2312" w:cs="Times New Roman"/>
                <w:color w:val="000000"/>
                <w:sz w:val="24"/>
                <w:szCs w:val="24"/>
              </w:rPr>
            </w:pPr>
          </w:p>
        </w:tc>
      </w:tr>
      <w:tr w14:paraId="6C5F9187">
        <w:trPr>
          <w:trHeight w:val="17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00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510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濉溪县电子商务产业园（淮海壹号）二期</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A8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ED6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2022年9月-2023年9月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ABF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86E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规划建设濉溪数字经济产业园，拟打造以电商产业、信息科技、现代服务、健康养老、科研教育、文化创意等为主的现代服务业集聚区二期。</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DE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B826">
            <w:pPr>
              <w:widowControl/>
              <w:jc w:val="center"/>
              <w:textAlignment w:val="center"/>
              <w:rPr>
                <w:rFonts w:hint="default" w:ascii="Times New Roman" w:hAnsi="Times New Roman" w:eastAsia="仿宋_GB2312" w:cs="Times New Roman"/>
                <w:color w:val="000000"/>
                <w:sz w:val="24"/>
                <w:szCs w:val="24"/>
              </w:rPr>
            </w:pPr>
          </w:p>
        </w:tc>
      </w:tr>
      <w:tr w14:paraId="4CBEF3EF">
        <w:trPr>
          <w:trHeight w:val="19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B9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1E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综合保税区建设项目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9C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C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2023年2月-2024年12月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960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02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建设2.5平方公里保税加工、保税物流、保税服务等设施建设，并拓展研发、维修、检测、商品展示、国际中转、国际采购、跨境电子商务等业务，重点打造特色加工制造基地、高新技术产品研发生产基地、保税物流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67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6CD9">
            <w:pPr>
              <w:widowControl/>
              <w:jc w:val="center"/>
              <w:textAlignment w:val="center"/>
              <w:rPr>
                <w:rFonts w:hint="default" w:ascii="Times New Roman" w:hAnsi="Times New Roman" w:eastAsia="仿宋_GB2312" w:cs="Times New Roman"/>
                <w:color w:val="000000"/>
                <w:sz w:val="24"/>
                <w:szCs w:val="24"/>
              </w:rPr>
            </w:pPr>
          </w:p>
        </w:tc>
      </w:tr>
      <w:tr w14:paraId="73BC0E02">
        <w:trPr>
          <w:trHeight w:val="309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B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9AD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濉芜现代产业园双创孵化园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A23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174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07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0A7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主要建设一、综合服务中心建设项目，占地107亩，建设双创孵化园综合服务中心，总建筑面积12.5万平方米；二、氢能源产业园及配套建设项目。占地1800亩，建设标准化厂房115万平方米，主要包括仓储中心、生产、展示交易中心等三大功能区;三、生态及交通提升建设项目，建设3条人工渠道连接巴河及沱河，建设提升泵站，采购100辆氢能源公交车辆。</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678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CFF7">
            <w:pPr>
              <w:widowControl/>
              <w:jc w:val="center"/>
              <w:textAlignment w:val="center"/>
              <w:rPr>
                <w:rFonts w:hint="default" w:ascii="Times New Roman" w:hAnsi="Times New Roman" w:eastAsia="仿宋_GB2312" w:cs="Times New Roman"/>
                <w:color w:val="000000"/>
                <w:sz w:val="24"/>
                <w:szCs w:val="24"/>
              </w:rPr>
            </w:pPr>
          </w:p>
        </w:tc>
      </w:tr>
      <w:tr w14:paraId="272A91A8">
        <w:trPr>
          <w:trHeight w:val="16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C8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1</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705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新型金属铝材料公共服务平台项目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824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0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2021年11月-2023年11月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D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D0C7">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占地约144亩，总建筑面积约10万平方米，包含院士工作站、铝产业研发中心、国家级铝制品检测中心、产业孵化期、众创空间、会展中心、科创中心及其他相关配套设施。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61D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6F22">
            <w:pPr>
              <w:widowControl/>
              <w:jc w:val="center"/>
              <w:textAlignment w:val="center"/>
              <w:rPr>
                <w:rFonts w:hint="default" w:ascii="Times New Roman" w:hAnsi="Times New Roman" w:eastAsia="仿宋_GB2312" w:cs="Times New Roman"/>
                <w:color w:val="000000"/>
                <w:sz w:val="24"/>
                <w:szCs w:val="24"/>
              </w:rPr>
            </w:pPr>
          </w:p>
        </w:tc>
      </w:tr>
      <w:tr w14:paraId="30CD4B5E">
        <w:trPr>
          <w:trHeight w:val="143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145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3EF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企业安全培训基地项目(应急安全城）</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E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5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D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39E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占地约76亩。总建筑面积约3万平方米，包含应急体验馆、应急指挥中心、应急物资储备库以及其他相关配套设施。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666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6C5A">
            <w:pPr>
              <w:widowControl/>
              <w:jc w:val="center"/>
              <w:textAlignment w:val="center"/>
              <w:rPr>
                <w:rFonts w:hint="default" w:ascii="Times New Roman" w:hAnsi="Times New Roman" w:eastAsia="仿宋_GB2312" w:cs="Times New Roman"/>
                <w:color w:val="000000"/>
                <w:sz w:val="24"/>
                <w:szCs w:val="24"/>
              </w:rPr>
            </w:pPr>
          </w:p>
        </w:tc>
      </w:tr>
      <w:tr w14:paraId="0490E041">
        <w:trPr>
          <w:trHeight w:val="14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FF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404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知俐科技创新产业园项目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A6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3574">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9月-2023</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D7E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4B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科创孵化器，目前拟入驻淮北维迪亚斯电子科技有限公司、淮北市速讯电子科技有限公司、安徽极讯自动化仪表有限公司</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B24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1967">
            <w:pPr>
              <w:widowControl/>
              <w:jc w:val="center"/>
              <w:textAlignment w:val="center"/>
              <w:rPr>
                <w:rFonts w:hint="default" w:ascii="Times New Roman" w:hAnsi="Times New Roman" w:eastAsia="仿宋_GB2312" w:cs="Times New Roman"/>
                <w:color w:val="000000"/>
                <w:sz w:val="24"/>
                <w:szCs w:val="24"/>
              </w:rPr>
            </w:pPr>
          </w:p>
        </w:tc>
      </w:tr>
      <w:tr w14:paraId="09DC17F1">
        <w:trPr>
          <w:trHeight w:val="125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1FF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D95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濉溪镇失地农民创业园项目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5C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A6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2022年12月-2025年12月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2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166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占地面积约500亩，建设标准化工业厂房4万平方米，以及园区路网、地下管网等配套工程，以及承载乾隆湖园区的搬迁安置。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E2C1">
            <w:pPr>
              <w:widowControl/>
              <w:jc w:val="center"/>
              <w:textAlignment w:val="center"/>
              <w:rPr>
                <w:rFonts w:hint="default" w:ascii="Times New Roman" w:hAnsi="Times New Roman" w:eastAsia="仿宋_GB2312" w:cs="Times New Roman"/>
                <w:color w:val="000000"/>
                <w:sz w:val="24"/>
                <w:szCs w:val="24"/>
              </w:rPr>
            </w:pPr>
          </w:p>
        </w:tc>
      </w:tr>
      <w:tr w14:paraId="3E8C4FCF">
        <w:trPr>
          <w:trHeight w:val="119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F1F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55C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汽车零部件综合提升工程项目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25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4C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2024年3月-2025年12月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86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442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利用商贸基础现有办公楼，建设集园区汽车零部件研发中心、物流配套、公共服务及自主知识产权提升工程于一体的孵化基地。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4C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D58F">
            <w:pPr>
              <w:widowControl/>
              <w:jc w:val="center"/>
              <w:textAlignment w:val="center"/>
              <w:rPr>
                <w:rFonts w:hint="default" w:ascii="Times New Roman" w:hAnsi="Times New Roman" w:eastAsia="仿宋_GB2312" w:cs="Times New Roman"/>
                <w:color w:val="000000"/>
                <w:sz w:val="24"/>
                <w:szCs w:val="24"/>
              </w:rPr>
            </w:pPr>
          </w:p>
        </w:tc>
      </w:tr>
      <w:tr w14:paraId="63056385">
        <w:trPr>
          <w:trHeight w:val="77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36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1AF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濉溪县城市智慧超脑运营中心项目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27B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997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kern w:val="0"/>
                <w:sz w:val="24"/>
                <w:szCs w:val="24"/>
                <w:lang w:bidi="ar"/>
              </w:rPr>
              <w:t>2022年10月-2027年2月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64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CE65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础设施部分，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63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CEDA">
            <w:pPr>
              <w:widowControl/>
              <w:jc w:val="center"/>
              <w:textAlignment w:val="center"/>
              <w:rPr>
                <w:rFonts w:hint="default" w:ascii="Times New Roman" w:hAnsi="Times New Roman" w:eastAsia="仿宋_GB2312" w:cs="Times New Roman"/>
                <w:color w:val="000000"/>
                <w:sz w:val="24"/>
                <w:szCs w:val="24"/>
              </w:rPr>
            </w:pPr>
          </w:p>
        </w:tc>
      </w:tr>
      <w:tr w14:paraId="16DC27CF">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A19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E8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濉溪县大数据产业投资有限责任公司项目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7FB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0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1DC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F7C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C11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076D">
            <w:pPr>
              <w:widowControl/>
              <w:jc w:val="center"/>
              <w:textAlignment w:val="center"/>
              <w:rPr>
                <w:rFonts w:hint="default" w:ascii="Times New Roman" w:hAnsi="Times New Roman" w:eastAsia="仿宋_GB2312" w:cs="Times New Roman"/>
                <w:color w:val="000000"/>
                <w:sz w:val="24"/>
                <w:szCs w:val="24"/>
              </w:rPr>
            </w:pPr>
          </w:p>
        </w:tc>
      </w:tr>
      <w:tr w14:paraId="70D07F94">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986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D4F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猎鹰人力资源产业园项目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8D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A14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A1E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0.20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5FA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5年营业收入不低于42亿元企业管理顾问服务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69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B9B7">
            <w:pPr>
              <w:widowControl/>
              <w:jc w:val="center"/>
              <w:textAlignment w:val="center"/>
              <w:rPr>
                <w:rFonts w:hint="default" w:ascii="Times New Roman" w:hAnsi="Times New Roman" w:eastAsia="仿宋_GB2312" w:cs="Times New Roman"/>
                <w:color w:val="000000"/>
                <w:kern w:val="0"/>
                <w:sz w:val="24"/>
                <w:szCs w:val="24"/>
                <w:lang w:bidi="ar"/>
              </w:rPr>
            </w:pPr>
          </w:p>
        </w:tc>
      </w:tr>
      <w:tr w14:paraId="1FC8097B">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FB2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4F8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国才人力资源服务项目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47E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3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8B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81AE">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占地10亩，投资2000万元，建设人力资源服务项目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B86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CF87">
            <w:pPr>
              <w:widowControl/>
              <w:jc w:val="center"/>
              <w:textAlignment w:val="center"/>
              <w:rPr>
                <w:rFonts w:hint="default" w:ascii="Times New Roman" w:hAnsi="Times New Roman" w:eastAsia="仿宋_GB2312" w:cs="Times New Roman"/>
                <w:color w:val="000000"/>
                <w:kern w:val="0"/>
                <w:sz w:val="24"/>
                <w:szCs w:val="24"/>
                <w:lang w:bidi="ar"/>
              </w:rPr>
            </w:pPr>
          </w:p>
        </w:tc>
      </w:tr>
      <w:tr w14:paraId="1683306F">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805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85F5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濉溪县口子中等专业学校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46D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3F2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val="en-US" w:eastAsia="zh-CN" w:bidi="ar"/>
              </w:rPr>
              <w:t>2022年3月-2023年8月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D12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val="en-US" w:eastAsia="zh-CN" w:bidi="ar"/>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CF59">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eastAsia="zh-CN" w:bidi="ar"/>
              </w:rPr>
              <w:t>项目占地共计</w:t>
            </w:r>
            <w:r>
              <w:rPr>
                <w:rFonts w:hint="default" w:ascii="Times New Roman" w:hAnsi="Times New Roman" w:eastAsia="仿宋_GB2312" w:cs="Times New Roman"/>
                <w:color w:val="000000"/>
                <w:kern w:val="0"/>
                <w:sz w:val="24"/>
                <w:szCs w:val="24"/>
                <w:lang w:val="en-US" w:eastAsia="zh-CN" w:bidi="ar"/>
              </w:rPr>
              <w:t>308.71亩，建筑面积9.9万平方米，建设项目包括</w:t>
            </w:r>
            <w:r>
              <w:rPr>
                <w:rFonts w:hint="default" w:ascii="Times New Roman" w:hAnsi="Times New Roman" w:eastAsia="仿宋_GB2312" w:cs="Times New Roman"/>
                <w:color w:val="000000"/>
                <w:kern w:val="0"/>
                <w:sz w:val="24"/>
                <w:szCs w:val="24"/>
                <w:lang w:eastAsia="zh-CN" w:bidi="ar"/>
              </w:rPr>
              <w:t>装修老校区、建设食堂、宿舍、装修教学楼、实验办公楼、实训大楼等。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E67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县教育局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78D0">
            <w:pPr>
              <w:widowControl/>
              <w:jc w:val="center"/>
              <w:textAlignment w:val="center"/>
              <w:rPr>
                <w:rFonts w:hint="default" w:ascii="Times New Roman" w:hAnsi="Times New Roman" w:eastAsia="仿宋_GB2312" w:cs="Times New Roman"/>
                <w:color w:val="000000"/>
                <w:kern w:val="0"/>
                <w:sz w:val="24"/>
                <w:szCs w:val="24"/>
                <w:lang w:bidi="ar"/>
              </w:rPr>
            </w:pPr>
          </w:p>
        </w:tc>
      </w:tr>
      <w:tr w14:paraId="12293623">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C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2</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C9B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濉溪县凤栖湖湿地生态保护(采煤沉陷区生态保护)项目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E69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1B6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2019年2月至2022年10月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00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2.10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0B9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湿地恢复与保护工程总规划用地约12100亩（含水体）；交通工程总规划用地约420亩，主要建设内容包括环湖路、游步道、湿地栈道、码头、桥梁等。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DC3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0943">
            <w:pPr>
              <w:widowControl/>
              <w:jc w:val="center"/>
              <w:textAlignment w:val="center"/>
              <w:rPr>
                <w:rFonts w:hint="default" w:ascii="Times New Roman" w:hAnsi="Times New Roman" w:eastAsia="仿宋_GB2312" w:cs="Times New Roman"/>
                <w:color w:val="000000"/>
                <w:sz w:val="24"/>
                <w:szCs w:val="24"/>
              </w:rPr>
            </w:pPr>
          </w:p>
        </w:tc>
      </w:tr>
      <w:tr w14:paraId="5BA1ED88">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5A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8A6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安徽淮北濉溪县老城石板街历史街区保护与更新项目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FF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130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49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5.72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96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修复老城石板街长1000米，沿街门面400多间恢复旧时景象和重要景点十处，建设博物馆、公园以及基础配套设施等。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B4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eastAsia="zh-CN" w:bidi="ar"/>
              </w:rPr>
              <w:t>县</w:t>
            </w:r>
            <w:r>
              <w:rPr>
                <w:rFonts w:hint="default" w:ascii="Times New Roman" w:hAnsi="Times New Roman" w:eastAsia="仿宋_GB2312" w:cs="Times New Roman"/>
                <w:color w:val="000000"/>
                <w:kern w:val="0"/>
                <w:sz w:val="24"/>
                <w:szCs w:val="24"/>
                <w:lang w:bidi="ar"/>
              </w:rPr>
              <w:t>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9E6E">
            <w:pPr>
              <w:widowControl/>
              <w:jc w:val="center"/>
              <w:textAlignment w:val="center"/>
              <w:rPr>
                <w:rFonts w:hint="default" w:ascii="Times New Roman" w:hAnsi="Times New Roman" w:eastAsia="仿宋_GB2312" w:cs="Times New Roman"/>
                <w:color w:val="000000"/>
                <w:sz w:val="24"/>
                <w:szCs w:val="24"/>
              </w:rPr>
            </w:pPr>
          </w:p>
        </w:tc>
      </w:tr>
      <w:tr w14:paraId="18836519">
        <w:trPr>
          <w:trHeight w:val="5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E9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E0C8">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淮海战役双堆集战场遗址旅游发展项目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5D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F5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2021年-2023年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14C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21.22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EF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开发建设淮海战役双堆集战场红色旅游资源，打造5A级红色旅游及爱国主义教育基地。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440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771A">
            <w:pPr>
              <w:widowControl/>
              <w:jc w:val="center"/>
              <w:textAlignment w:val="center"/>
              <w:rPr>
                <w:rFonts w:hint="default" w:ascii="Times New Roman" w:hAnsi="Times New Roman" w:eastAsia="仿宋_GB2312" w:cs="Times New Roman"/>
                <w:color w:val="000000"/>
                <w:sz w:val="24"/>
                <w:szCs w:val="24"/>
              </w:rPr>
            </w:pPr>
          </w:p>
        </w:tc>
      </w:tr>
      <w:tr w14:paraId="2EBC72EF">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4E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130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临涣文化旅游休闲街区项目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3E5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76D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3B3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0.14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942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建设蹇叔墓（石板街）、老街、南阁街三条街区石板街、社区便民商圈、特色文化旅游购物场所及消费聚集区配套基础</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4"/>
                <w:szCs w:val="24"/>
                <w14:textFill>
                  <w14:solidFill>
                    <w14:schemeClr w14:val="tx1"/>
                  </w14:solidFill>
                </w14:textFill>
              </w:rPr>
              <w:t>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AF0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990B">
            <w:pPr>
              <w:widowControl/>
              <w:jc w:val="center"/>
              <w:textAlignment w:val="center"/>
              <w:rPr>
                <w:rFonts w:hint="default" w:ascii="Times New Roman" w:hAnsi="Times New Roman" w:eastAsia="仿宋_GB2312" w:cs="Times New Roman"/>
                <w:color w:val="000000"/>
                <w:sz w:val="24"/>
                <w:szCs w:val="24"/>
              </w:rPr>
            </w:pPr>
          </w:p>
        </w:tc>
      </w:tr>
      <w:tr w14:paraId="0E1DCFE5">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28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DE30">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临涣古镇保护与展示及基础设施提升项目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292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7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B59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27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古镇道路及配套工程、古镇旅游基础设施及配套项目、临涣古城墙保护与环境提升项目、古镇四大名泉保护与利用项目、古镇研学游乐体验项目、古镇游客服务设施建设项目、古镇遗存保护与展示项目。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211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8D2B">
            <w:pPr>
              <w:widowControl/>
              <w:jc w:val="center"/>
              <w:textAlignment w:val="center"/>
              <w:rPr>
                <w:rFonts w:hint="default" w:ascii="Times New Roman" w:hAnsi="Times New Roman" w:eastAsia="仿宋_GB2312" w:cs="Times New Roman"/>
                <w:color w:val="000000"/>
                <w:sz w:val="24"/>
                <w:szCs w:val="24"/>
              </w:rPr>
            </w:pPr>
          </w:p>
        </w:tc>
      </w:tr>
      <w:tr w14:paraId="50890869">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5A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310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濉溪县铁佛镇文化旅游环境综合治理项目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939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B10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2022年1月-2025年8月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E58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80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邹楼村银杏树开发环境综合治理项目、古汉墓国保单位周边环境综合治理项目、卧龙湖人民公社文化旅游周边环境综合提升项目、铁佛寺周边环境综合治理项目及崔楼村农民文化园综合开发项目。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55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D7C4">
            <w:pPr>
              <w:widowControl/>
              <w:jc w:val="center"/>
              <w:textAlignment w:val="center"/>
              <w:rPr>
                <w:rFonts w:hint="default" w:ascii="Times New Roman" w:hAnsi="Times New Roman" w:eastAsia="仿宋_GB2312" w:cs="Times New Roman"/>
                <w:color w:val="000000"/>
                <w:sz w:val="24"/>
                <w:szCs w:val="24"/>
              </w:rPr>
            </w:pPr>
          </w:p>
        </w:tc>
      </w:tr>
      <w:tr w14:paraId="66E4D56C">
        <w:trPr>
          <w:trHeight w:val="2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8B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2E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color w:val="000000"/>
                <w:kern w:val="0"/>
                <w:sz w:val="24"/>
                <w:szCs w:val="24"/>
                <w:lang w:bidi="ar"/>
              </w:rPr>
              <w:t xml:space="preserve">濉溪县百善特色旅游微型产业集聚区  </w:t>
            </w:r>
            <w:r>
              <w:rPr>
                <w:rFonts w:hint="default" w:ascii="Times New Roman" w:hAnsi="Times New Roman" w:eastAsia="仿宋_GB2312" w:cs="Times New Roman"/>
                <w:sz w:val="24"/>
                <w:szCs w:val="24"/>
              </w:rPr>
              <w:t xml:space="preserve">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7FA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9CB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201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24.79</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0B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总建设用地：3183亩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DF7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7B56">
            <w:pPr>
              <w:widowControl/>
              <w:jc w:val="center"/>
              <w:textAlignment w:val="center"/>
              <w:rPr>
                <w:rFonts w:hint="default" w:ascii="Times New Roman" w:hAnsi="Times New Roman" w:eastAsia="仿宋_GB2312" w:cs="Times New Roman"/>
                <w:color w:val="000000"/>
                <w:sz w:val="24"/>
                <w:szCs w:val="24"/>
              </w:rPr>
            </w:pPr>
          </w:p>
        </w:tc>
      </w:tr>
      <w:tr w14:paraId="0DC57793">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4F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468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百善镇乡村振兴文旅融合—隋唐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E5C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1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2022年10月-2023年10月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F22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11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占地480亩，拆迁安置1000户，隋唐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特色建筑150000平方米，并建设各项配套设施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0C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C2F6">
            <w:pPr>
              <w:widowControl/>
              <w:jc w:val="center"/>
              <w:textAlignment w:val="center"/>
              <w:rPr>
                <w:rFonts w:hint="default" w:ascii="Times New Roman" w:hAnsi="Times New Roman" w:eastAsia="仿宋_GB2312" w:cs="Times New Roman"/>
                <w:color w:val="000000"/>
                <w:sz w:val="24"/>
                <w:szCs w:val="24"/>
              </w:rPr>
            </w:pPr>
          </w:p>
        </w:tc>
      </w:tr>
      <w:tr w14:paraId="632144D5">
        <w:trPr>
          <w:trHeight w:val="140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3E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3C9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濉溪县小李家红色文化基地</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915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3892">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2022年3月-2024年12月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2C9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982C">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总规划用地1800亩，主要进行濉溪县小李家红色文化基地建设，建设内容主要包括生态采摘园、游客接待中心以及配套工程、旅游购物一条街和旅游景点提升工程、土地整理等。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A4B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04E4">
            <w:pPr>
              <w:widowControl/>
              <w:jc w:val="center"/>
              <w:textAlignment w:val="center"/>
              <w:rPr>
                <w:rFonts w:hint="default" w:ascii="Times New Roman" w:hAnsi="Times New Roman" w:eastAsia="仿宋_GB2312" w:cs="Times New Roman"/>
                <w:color w:val="000000"/>
                <w:sz w:val="24"/>
                <w:szCs w:val="24"/>
              </w:rPr>
            </w:pPr>
          </w:p>
        </w:tc>
      </w:tr>
      <w:tr w14:paraId="1F026898">
        <w:trPr>
          <w:trHeight w:val="110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0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2E2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淮北濉溪县淮海红色观游影视文化基地项目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8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DFC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7B1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165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建设红色革命史和红色教育、观光、拍摄、文化、旅游影视城，包含中华传统民居影视城、和淮海战场动漫园。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454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72A0">
            <w:pPr>
              <w:widowControl/>
              <w:jc w:val="center"/>
              <w:textAlignment w:val="center"/>
              <w:rPr>
                <w:rFonts w:hint="default" w:ascii="Times New Roman" w:hAnsi="Times New Roman" w:eastAsia="仿宋_GB2312" w:cs="Times New Roman"/>
                <w:color w:val="000000"/>
                <w:sz w:val="24"/>
                <w:szCs w:val="24"/>
              </w:rPr>
            </w:pPr>
          </w:p>
        </w:tc>
      </w:tr>
      <w:tr w14:paraId="6D388B8A">
        <w:trPr>
          <w:trHeight w:val="222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7A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3</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BC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黄沟村压煤塌陷区休闲观光基地</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8A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EA9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90A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B03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028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3499">
            <w:pPr>
              <w:widowControl/>
              <w:jc w:val="center"/>
              <w:textAlignment w:val="center"/>
              <w:rPr>
                <w:rFonts w:hint="default" w:ascii="Times New Roman" w:hAnsi="Times New Roman" w:eastAsia="仿宋_GB2312" w:cs="Times New Roman"/>
                <w:color w:val="000000"/>
                <w:sz w:val="24"/>
                <w:szCs w:val="24"/>
              </w:rPr>
            </w:pPr>
          </w:p>
        </w:tc>
      </w:tr>
      <w:tr w14:paraId="369A22CF">
        <w:trPr>
          <w:trHeight w:val="121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A2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AB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南坪狙击战纪念馆项目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216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8B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2022年11月-2024年2月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6D8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21B4">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项目占地约100亩，建设内容包括纪念馆、纪念塔、文化馆、民俗馆、农村大舞台、文明实践中心、广场、停车场等其他相关配套设施。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AB4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3651">
            <w:pPr>
              <w:widowControl/>
              <w:jc w:val="center"/>
              <w:textAlignment w:val="center"/>
              <w:rPr>
                <w:rFonts w:hint="default" w:ascii="Times New Roman" w:hAnsi="Times New Roman" w:eastAsia="仿宋_GB2312" w:cs="Times New Roman"/>
                <w:color w:val="000000"/>
                <w:sz w:val="24"/>
                <w:szCs w:val="24"/>
              </w:rPr>
            </w:pPr>
          </w:p>
        </w:tc>
      </w:tr>
      <w:tr w14:paraId="14151046">
        <w:trPr>
          <w:trHeight w:val="180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8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ABC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双堆集镇乡村振兴培训服务中心建设项目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C36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56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99B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E59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选址在淮海战役陵园东侧建设，计划占地263亩，投资2亿元，设计接待能力600人，院内规划有多媒体教室、餐厅、宿舍、拓展基地等教育及周边配套。服务对象包括淮、徐、宿、蚌、亳、永等1小时车程地区的团体学员和个体游客。</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9AFF">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县农投</w:t>
            </w:r>
          </w:p>
          <w:p w14:paraId="722D7CC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公司</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63D1">
            <w:pPr>
              <w:widowControl/>
              <w:jc w:val="center"/>
              <w:textAlignment w:val="center"/>
              <w:rPr>
                <w:rFonts w:hint="default" w:ascii="Times New Roman" w:hAnsi="Times New Roman" w:eastAsia="仿宋_GB2312" w:cs="Times New Roman"/>
                <w:color w:val="000000"/>
                <w:sz w:val="24"/>
                <w:szCs w:val="24"/>
              </w:rPr>
            </w:pPr>
          </w:p>
        </w:tc>
      </w:tr>
      <w:tr w14:paraId="7D5F9DF2">
        <w:trPr>
          <w:trHeight w:val="104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7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26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虹桥商业广场</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D3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5C9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B8D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FEA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占地面积300亩左右，建设集汽车交易、建材家居销售、文体娱乐设施等于一体的大型综合性商业综合体。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68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FD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highlight w:val="none"/>
                <w:lang w:bidi="ar"/>
              </w:rPr>
              <w:t>洽谈</w:t>
            </w:r>
          </w:p>
        </w:tc>
      </w:tr>
      <w:tr w14:paraId="09422BFE">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4E1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BA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闸河路商业综合体项目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4F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00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2020年8月-2022年3月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375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7E7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建筑面积约2.68万平方米，建设生鲜超市（标准化菜市场）、蔬菜副食品检疫检验中心、社区生活设施配套、商务酒店、餐饮、娱乐等项目。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8E0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A3AB">
            <w:pPr>
              <w:widowControl/>
              <w:jc w:val="center"/>
              <w:textAlignment w:val="center"/>
              <w:rPr>
                <w:rFonts w:hint="default" w:ascii="Times New Roman" w:hAnsi="Times New Roman" w:eastAsia="仿宋_GB2312" w:cs="Times New Roman"/>
                <w:color w:val="000000"/>
                <w:kern w:val="0"/>
                <w:sz w:val="24"/>
                <w:szCs w:val="24"/>
                <w:lang w:bidi="ar"/>
              </w:rPr>
            </w:pPr>
          </w:p>
        </w:tc>
      </w:tr>
      <w:tr w14:paraId="50CB0926">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0C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01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二关路商贸综合体项目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79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BD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80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080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建筑面积约3万平方米，其中新型菜市场建筑面积约6千平方米。办公商铺及超市约1.2万平方米，休闲娱乐及酒店约5千平方米，地下建筑面积约7千平方米。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6F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8F3E">
            <w:pPr>
              <w:widowControl/>
              <w:jc w:val="center"/>
              <w:textAlignment w:val="center"/>
              <w:rPr>
                <w:rFonts w:hint="default" w:ascii="Times New Roman" w:hAnsi="Times New Roman" w:eastAsia="仿宋_GB2312" w:cs="Times New Roman"/>
                <w:color w:val="000000"/>
                <w:sz w:val="24"/>
                <w:szCs w:val="24"/>
              </w:rPr>
            </w:pPr>
          </w:p>
        </w:tc>
      </w:tr>
      <w:tr w14:paraId="312CF976">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A628">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231C">
            <w:pPr>
              <w:widowControl/>
              <w:jc w:val="center"/>
              <w:textAlignment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中瑞农产品批发市场项目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A14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0DF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rPr>
              <w:t>2023年1月-2026年3月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A13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4</w:t>
            </w:r>
            <w:r>
              <w:rPr>
                <w:rFonts w:hint="default" w:ascii="Times New Roman" w:hAnsi="Times New Roman" w:eastAsia="仿宋_GB2312" w:cs="Times New Roman"/>
                <w:color w:val="000000" w:themeColor="text1"/>
                <w:kern w:val="0"/>
                <w:sz w:val="24"/>
                <w:szCs w:val="24"/>
                <w14:textFill>
                  <w14:solidFill>
                    <w14:schemeClr w14:val="tx1"/>
                  </w14:solidFill>
                </w14:textFill>
              </w:rPr>
              <w:t>.00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BFB0">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建设农副产品9大交易区，以及配套仓储物流、加工配送、检测检疫等服务中心，开展农副产品批发零售、电子商务、生鲜配送等业务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925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9573">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r>
      <w:tr w14:paraId="4B0145BC">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DE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7B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河西区城市综合体项目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3E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2EFC">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2022年6月-2023年12月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D1D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568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规划用地</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60</w:t>
            </w:r>
            <w:r>
              <w:rPr>
                <w:rFonts w:hint="default" w:ascii="Times New Roman" w:hAnsi="Times New Roman" w:eastAsia="仿宋_GB2312" w:cs="Times New Roman"/>
                <w:color w:val="000000" w:themeColor="text1"/>
                <w:kern w:val="0"/>
                <w:sz w:val="24"/>
                <w:szCs w:val="24"/>
                <w14:textFill>
                  <w14:solidFill>
                    <w14:schemeClr w14:val="tx1"/>
                  </w14:solidFill>
                </w14:textFill>
              </w:rPr>
              <w:t>亩，建设新型购物中心、社区生活服务、商务酒店、娱乐、餐饮、特色文化商业街（濉溪历史文化街区）、商务办公、商务公寓等。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49C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89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洽谈</w:t>
            </w:r>
          </w:p>
        </w:tc>
      </w:tr>
      <w:tr w14:paraId="43D6E6EE">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C1ED">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609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E51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A5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2021年3月-2022年9月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F8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63E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项目建筑面积约10000平方米。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8FC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4C47">
            <w:pPr>
              <w:widowControl/>
              <w:jc w:val="center"/>
              <w:textAlignment w:val="center"/>
              <w:rPr>
                <w:rFonts w:hint="default" w:ascii="Times New Roman" w:hAnsi="Times New Roman" w:eastAsia="仿宋_GB2312" w:cs="Times New Roman"/>
                <w:color w:val="000000"/>
                <w:sz w:val="24"/>
                <w:szCs w:val="24"/>
              </w:rPr>
            </w:pPr>
          </w:p>
        </w:tc>
      </w:tr>
      <w:tr w14:paraId="30930256">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7E5A">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36E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五沟镇综合商贸服务一体化建设项目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11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五沟镇新街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74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0C7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0.35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C1DA">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打造全新的商业综合体，构筑新商业业态，项目建筑面积约5000平方米。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EB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150E">
            <w:pPr>
              <w:widowControl/>
              <w:jc w:val="center"/>
              <w:textAlignment w:val="center"/>
              <w:rPr>
                <w:rFonts w:hint="default" w:ascii="Times New Roman" w:hAnsi="Times New Roman" w:eastAsia="仿宋_GB2312" w:cs="Times New Roman"/>
                <w:color w:val="000000"/>
                <w:sz w:val="24"/>
                <w:szCs w:val="24"/>
              </w:rPr>
            </w:pPr>
          </w:p>
        </w:tc>
      </w:tr>
      <w:tr w14:paraId="71F174E6">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F30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41D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韩村镇商业综合体建设项目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F56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A14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2023年10月-2024年10月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2205">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0.38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E3E5">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占地面积12561平方米，约合18.83亩，对原韩建金朋酒店维修改造，总建筑面积18900平方米。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D7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E635">
            <w:pPr>
              <w:widowControl/>
              <w:jc w:val="center"/>
              <w:textAlignment w:val="center"/>
              <w:rPr>
                <w:rFonts w:hint="default" w:ascii="Times New Roman" w:hAnsi="Times New Roman" w:eastAsia="仿宋_GB2312" w:cs="Times New Roman"/>
                <w:color w:val="000000"/>
                <w:sz w:val="24"/>
                <w:szCs w:val="24"/>
              </w:rPr>
            </w:pPr>
          </w:p>
        </w:tc>
      </w:tr>
      <w:tr w14:paraId="0900E82F">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122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DF0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四铺镇菊花产业园项目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A13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55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F03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4.07</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31B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CEE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179B">
            <w:pPr>
              <w:widowControl/>
              <w:jc w:val="center"/>
              <w:textAlignment w:val="center"/>
              <w:rPr>
                <w:rFonts w:hint="default" w:ascii="Times New Roman" w:hAnsi="Times New Roman" w:eastAsia="仿宋_GB2312" w:cs="Times New Roman"/>
                <w:color w:val="000000"/>
                <w:sz w:val="24"/>
                <w:szCs w:val="24"/>
              </w:rPr>
            </w:pPr>
          </w:p>
        </w:tc>
      </w:tr>
      <w:tr w14:paraId="77936003">
        <w:trPr>
          <w:trHeight w:val="108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287E">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93A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南坪镇商业消费集聚区建设项目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3AF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930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38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ED0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建设特色美食街、城镇商业步行街、商业综合体、社区便民商业圈、农贸商城等便民商业圈及其互联互通配套基础设施建设。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F6FC">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A6A2">
            <w:pPr>
              <w:widowControl/>
              <w:jc w:val="center"/>
              <w:textAlignment w:val="center"/>
              <w:rPr>
                <w:rFonts w:hint="default" w:ascii="Times New Roman" w:hAnsi="Times New Roman" w:eastAsia="仿宋_GB2312" w:cs="Times New Roman"/>
                <w:color w:val="000000"/>
                <w:sz w:val="24"/>
                <w:szCs w:val="24"/>
              </w:rPr>
            </w:pPr>
          </w:p>
        </w:tc>
      </w:tr>
      <w:tr w14:paraId="3BC24482">
        <w:trPr>
          <w:trHeight w:val="88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6BE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B94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濉溪县汽车文化产业园项目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CF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D88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0D6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E2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建设面积20000平方米现代汽车文化产业园。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226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6123">
            <w:pPr>
              <w:widowControl/>
              <w:jc w:val="center"/>
              <w:textAlignment w:val="center"/>
              <w:rPr>
                <w:rFonts w:hint="default" w:ascii="Times New Roman" w:hAnsi="Times New Roman" w:eastAsia="仿宋_GB2312" w:cs="Times New Roman"/>
                <w:color w:val="000000"/>
                <w:sz w:val="24"/>
                <w:szCs w:val="24"/>
              </w:rPr>
            </w:pPr>
          </w:p>
        </w:tc>
      </w:tr>
      <w:tr w14:paraId="0E070D60">
        <w:trPr>
          <w:trHeight w:val="387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E91C">
            <w:pPr>
              <w:widowControl/>
              <w:jc w:val="center"/>
              <w:textAlignment w:val="center"/>
              <w:rPr>
                <w:rFonts w:hint="default" w:ascii="Times New Roman" w:hAnsi="Times New Roman" w:eastAsia="仿宋_GB2312" w:cs="Times New Roman"/>
                <w:color w:val="000000"/>
                <w:kern w:val="0"/>
                <w:sz w:val="24"/>
                <w:szCs w:val="24"/>
                <w:lang w:eastAsia="zh-CN" w:bidi="ar"/>
              </w:rPr>
            </w:pPr>
            <w:r>
              <w:rPr>
                <w:rFonts w:hint="default"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07B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淮北银华康养综合服务中心一期、二期项目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DD9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59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A2B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24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52C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78B9">
            <w:pPr>
              <w:widowControl/>
              <w:jc w:val="center"/>
              <w:textAlignment w:val="center"/>
              <w:rPr>
                <w:rFonts w:hint="default" w:ascii="Times New Roman" w:hAnsi="Times New Roman" w:eastAsia="仿宋_GB2312" w:cs="Times New Roman"/>
                <w:color w:val="000000"/>
                <w:sz w:val="24"/>
                <w:szCs w:val="24"/>
              </w:rPr>
            </w:pPr>
          </w:p>
        </w:tc>
      </w:tr>
      <w:tr w14:paraId="4CE51B7B">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9221">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B0D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濉溪县乡村医养结合项目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D6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53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2019年-2022年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7B9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3.75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D686">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总改扩建建筑面积约91464.8平方米；新增医疗设备约239台、套；信息化建设。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B55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县卫</w:t>
            </w:r>
            <w:r>
              <w:rPr>
                <w:rFonts w:hint="eastAsia" w:ascii="Times New Roman" w:hAnsi="Times New Roman" w:eastAsia="仿宋_GB2312" w:cs="Times New Roman"/>
                <w:color w:val="000000"/>
                <w:sz w:val="24"/>
                <w:szCs w:val="24"/>
                <w:lang w:val="en-US" w:eastAsia="zh-CN"/>
              </w:rPr>
              <w:t>健</w:t>
            </w:r>
            <w:r>
              <w:rPr>
                <w:rFonts w:hint="default" w:ascii="Times New Roman" w:hAnsi="Times New Roman" w:eastAsia="仿宋_GB2312" w:cs="Times New Roman"/>
                <w:color w:val="000000"/>
                <w:sz w:val="24"/>
                <w:szCs w:val="24"/>
              </w:rPr>
              <w:t>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9E90">
            <w:pPr>
              <w:widowControl/>
              <w:jc w:val="center"/>
              <w:textAlignment w:val="center"/>
              <w:rPr>
                <w:rFonts w:hint="default" w:ascii="Times New Roman" w:hAnsi="Times New Roman" w:eastAsia="仿宋_GB2312" w:cs="Times New Roman"/>
                <w:color w:val="000000"/>
                <w:sz w:val="24"/>
                <w:szCs w:val="24"/>
              </w:rPr>
            </w:pPr>
          </w:p>
        </w:tc>
      </w:tr>
      <w:tr w14:paraId="6F9CB91C">
        <w:trPr>
          <w:trHeight w:val="299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BC13">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0B9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杏康血液透析中心项目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99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312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2022年1月-2022年5月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9FA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12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本项目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885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2506">
            <w:pPr>
              <w:widowControl/>
              <w:jc w:val="center"/>
              <w:textAlignment w:val="center"/>
              <w:rPr>
                <w:rFonts w:hint="default" w:ascii="Times New Roman" w:hAnsi="Times New Roman" w:eastAsia="仿宋_GB2312" w:cs="Times New Roman"/>
                <w:color w:val="000000"/>
                <w:sz w:val="24"/>
                <w:szCs w:val="24"/>
              </w:rPr>
            </w:pPr>
          </w:p>
        </w:tc>
      </w:tr>
      <w:tr w14:paraId="7A67BBD8">
        <w:trPr>
          <w:trHeight w:val="395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BD2C">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FD8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濉溪县河西片区和乾隆湖片区综合开发项目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B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D5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AF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2AB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项目总占地 5264.55 亩，其中居住用地 2393.85 亩，商业服务设施用地 396 亩，公共管理与公共服务用地 517.2 亩，绿地与广场用849.45 亩，交通设施用地 1050.3 亩，公共设施用地 35.25 亩，水域 22.5 亩；乾隆湖片区总占地 4693.41 亩，其中居住用地 1410.00 亩，公共服务与公共管理用地 245.76 亩，商业服务设施用地 159.79 亩，绿地与广场用地 936.96 亩，交通设施用地355.72亩，公共设施用地 85.18 亩，水域面积 1500 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18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A54C">
            <w:pPr>
              <w:widowControl/>
              <w:jc w:val="center"/>
              <w:textAlignment w:val="center"/>
              <w:rPr>
                <w:rFonts w:hint="default" w:ascii="Times New Roman" w:hAnsi="Times New Roman" w:eastAsia="仿宋_GB2312" w:cs="Times New Roman"/>
                <w:color w:val="000000"/>
                <w:sz w:val="24"/>
                <w:szCs w:val="24"/>
              </w:rPr>
            </w:pPr>
          </w:p>
        </w:tc>
      </w:tr>
      <w:tr w14:paraId="7771508A">
        <w:trPr>
          <w:trHeight w:val="35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B40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BCB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淮北市濉溪县智慧停车项目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58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992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2022年1月-2024年12月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9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013F">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（1）公共停车场55个，总停车位约14260个，其中新建30个公共停车场，共8990个停车泊位(其中地面停车位4497个，地下停车位4493个)； 改造25个公共停车场，共5270个停车泊位(其中地面停车位 2877个，地下停车位2393个)；路边划线泊车位4602个；</w:t>
            </w:r>
          </w:p>
          <w:p w14:paraId="7242D2BC">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（2）附属工程建设：3000个新能源汽车充电桩和7200套(10充电座/套)非机动车充电桩设备的建设工程；</w:t>
            </w:r>
          </w:p>
          <w:p w14:paraId="73AD8DB4">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lang w:bidi="ar"/>
              </w:rPr>
              <w:t>（3）配套工程建设：停车场智能管理系统工程及相对应的广告设施工程。</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65A0">
            <w:pPr>
              <w:widowControl/>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07B8">
            <w:pPr>
              <w:widowControl/>
              <w:jc w:val="center"/>
              <w:textAlignment w:val="center"/>
              <w:rPr>
                <w:rFonts w:hint="default" w:ascii="Times New Roman" w:hAnsi="Times New Roman" w:eastAsia="仿宋_GB2312" w:cs="Times New Roman"/>
                <w:color w:val="000000"/>
                <w:sz w:val="24"/>
                <w:szCs w:val="24"/>
              </w:rPr>
            </w:pPr>
          </w:p>
        </w:tc>
      </w:tr>
      <w:tr w14:paraId="6DB783DB">
        <w:trPr>
          <w:trHeight w:val="7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F66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E1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韩村镇祁集农贸市场建设项目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303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FDA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2022年2月-2022年8月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6EB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0.04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779E">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建设钢构交易大棚5200平方米，设置摊位，以及道路、排水管网等配套设施。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4E62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6963">
            <w:pPr>
              <w:widowControl/>
              <w:jc w:val="center"/>
              <w:textAlignment w:val="center"/>
              <w:rPr>
                <w:rFonts w:hint="default" w:ascii="Times New Roman" w:hAnsi="Times New Roman" w:eastAsia="仿宋_GB2312" w:cs="Times New Roman"/>
                <w:color w:val="000000"/>
                <w:kern w:val="0"/>
                <w:sz w:val="24"/>
                <w:szCs w:val="24"/>
                <w:lang w:bidi="ar"/>
              </w:rPr>
            </w:pPr>
          </w:p>
        </w:tc>
      </w:tr>
      <w:tr w14:paraId="058DDD96">
        <w:trPr>
          <w:trHeight w:val="7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C51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EC0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液化气石油气钢瓶项目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3D3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0803">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2021</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A11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0.4</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CE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液化气钢瓶检测、生产、报废回收等业务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15A7">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DCDD">
            <w:pPr>
              <w:widowControl/>
              <w:jc w:val="center"/>
              <w:textAlignment w:val="center"/>
              <w:rPr>
                <w:rFonts w:hint="default" w:ascii="Times New Roman" w:hAnsi="Times New Roman" w:eastAsia="仿宋_GB2312" w:cs="Times New Roman"/>
                <w:color w:val="000000"/>
                <w:kern w:val="0"/>
                <w:sz w:val="24"/>
                <w:szCs w:val="24"/>
                <w:lang w:bidi="ar"/>
              </w:rPr>
            </w:pPr>
          </w:p>
        </w:tc>
      </w:tr>
      <w:tr w14:paraId="1C1D7444">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BCA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7F0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上海电气储能项目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9DD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67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eastAsia="zh-CN" w:bidi="ar"/>
              </w:rPr>
              <w:t>月</w:t>
            </w:r>
            <w:r>
              <w:rPr>
                <w:rFonts w:hint="default" w:ascii="Times New Roman" w:hAnsi="Times New Roman" w:eastAsia="仿宋_GB2312" w:cs="Times New Roman"/>
                <w:color w:val="000000"/>
                <w:kern w:val="0"/>
                <w:sz w:val="24"/>
                <w:szCs w:val="24"/>
                <w:lang w:bidi="ar"/>
              </w:rPr>
              <w:t>-2023</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12</w:t>
            </w:r>
            <w:r>
              <w:rPr>
                <w:rFonts w:hint="default" w:ascii="Times New Roman" w:hAnsi="Times New Roman" w:eastAsia="仿宋_GB2312" w:cs="Times New Roman"/>
                <w:color w:val="000000"/>
                <w:kern w:val="0"/>
                <w:sz w:val="24"/>
                <w:szCs w:val="24"/>
                <w:lang w:eastAsia="zh-CN"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648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0F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新能源产业。建设100MW/200MWh规模储能电站,配套建设1座110KV升压站，2台63MVA变压器。生产能力7290万千瓦时。</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F2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FEFD">
            <w:pPr>
              <w:widowControl/>
              <w:jc w:val="center"/>
              <w:textAlignment w:val="center"/>
              <w:rPr>
                <w:rFonts w:hint="default" w:ascii="Times New Roman" w:hAnsi="Times New Roman" w:eastAsia="仿宋_GB2312" w:cs="Times New Roman"/>
                <w:color w:val="000000"/>
                <w:sz w:val="24"/>
                <w:szCs w:val="24"/>
              </w:rPr>
            </w:pPr>
          </w:p>
        </w:tc>
      </w:tr>
    </w:tbl>
    <w:p w14:paraId="6282FB03">
      <w:pPr>
        <w:rPr>
          <w:rFonts w:hint="default" w:ascii="Times New Roman" w:hAnsi="Times New Roman" w:cs="Times New Roman"/>
        </w:rPr>
        <w:sectPr>
          <w:pgSz w:w="16838" w:h="11906" w:orient="landscape"/>
          <w:pgMar w:top="2098" w:right="1474" w:bottom="1984" w:left="1587" w:header="851" w:footer="1219" w:gutter="0"/>
          <w:pgNumType w:fmt="decimal"/>
          <w:cols w:space="0" w:num="1"/>
          <w:rtlGutter w:val="0"/>
          <w:docGrid w:type="lines" w:linePitch="312" w:charSpace="0"/>
        </w:sectPr>
      </w:pPr>
    </w:p>
    <w:p w14:paraId="00AA1B8B">
      <w:pPr>
        <w:pStyle w:val="4"/>
        <w:rPr>
          <w:rFonts w:hint="default"/>
        </w:rPr>
      </w:pPr>
    </w:p>
    <w:p w14:paraId="44509499">
      <w:pPr>
        <w:rPr>
          <w:rFonts w:hint="default"/>
        </w:rPr>
      </w:pPr>
    </w:p>
    <w:p w14:paraId="6021CAB6">
      <w:pPr>
        <w:pStyle w:val="4"/>
        <w:rPr>
          <w:rFonts w:hint="default"/>
        </w:rPr>
      </w:pPr>
    </w:p>
    <w:p w14:paraId="3DFD7C53">
      <w:pPr>
        <w:rPr>
          <w:rFonts w:hint="default"/>
        </w:rPr>
      </w:pPr>
    </w:p>
    <w:p w14:paraId="4A7D3917">
      <w:pPr>
        <w:pStyle w:val="4"/>
        <w:rPr>
          <w:rFonts w:hint="default"/>
        </w:rPr>
      </w:pPr>
    </w:p>
    <w:p w14:paraId="3E3FBFFF">
      <w:pPr>
        <w:rPr>
          <w:rFonts w:hint="default"/>
        </w:rPr>
      </w:pPr>
    </w:p>
    <w:p w14:paraId="1F45F29C">
      <w:pPr>
        <w:pStyle w:val="4"/>
        <w:rPr>
          <w:rFonts w:hint="default"/>
        </w:rPr>
      </w:pPr>
    </w:p>
    <w:p w14:paraId="359C78F8">
      <w:pPr>
        <w:rPr>
          <w:rFonts w:hint="default"/>
        </w:rPr>
      </w:pPr>
    </w:p>
    <w:p w14:paraId="228AE647">
      <w:pPr>
        <w:pStyle w:val="4"/>
        <w:rPr>
          <w:rFonts w:hint="default"/>
        </w:rPr>
      </w:pPr>
    </w:p>
    <w:p w14:paraId="7BD13AAB">
      <w:pPr>
        <w:rPr>
          <w:rFonts w:hint="default"/>
        </w:rPr>
      </w:pPr>
    </w:p>
    <w:p w14:paraId="1BEFBF78">
      <w:pPr>
        <w:pStyle w:val="4"/>
        <w:rPr>
          <w:rFonts w:hint="default"/>
        </w:rPr>
      </w:pPr>
    </w:p>
    <w:p w14:paraId="01FE9505">
      <w:pPr>
        <w:rPr>
          <w:rFonts w:hint="default"/>
        </w:rPr>
      </w:pPr>
    </w:p>
    <w:p w14:paraId="00EAFEDA">
      <w:pPr>
        <w:pStyle w:val="4"/>
        <w:rPr>
          <w:rFonts w:hint="default"/>
        </w:rPr>
      </w:pPr>
    </w:p>
    <w:p w14:paraId="53575104">
      <w:pPr>
        <w:rPr>
          <w:rFonts w:hint="default"/>
        </w:rPr>
      </w:pPr>
    </w:p>
    <w:p w14:paraId="06BECC0B">
      <w:pPr>
        <w:pStyle w:val="4"/>
        <w:rPr>
          <w:rFonts w:hint="default"/>
        </w:rPr>
      </w:pPr>
    </w:p>
    <w:p w14:paraId="2E52B454">
      <w:pPr>
        <w:rPr>
          <w:rFonts w:hint="default"/>
        </w:rPr>
      </w:pPr>
    </w:p>
    <w:p w14:paraId="1B577512">
      <w:pPr>
        <w:pStyle w:val="4"/>
        <w:rPr>
          <w:rFonts w:hint="default"/>
        </w:rPr>
      </w:pPr>
    </w:p>
    <w:p w14:paraId="36EBC745">
      <w:pPr>
        <w:rPr>
          <w:rFonts w:hint="default"/>
        </w:rPr>
      </w:pPr>
    </w:p>
    <w:p w14:paraId="39E3AE15">
      <w:pPr>
        <w:pStyle w:val="4"/>
        <w:rPr>
          <w:rFonts w:hint="default"/>
        </w:rPr>
      </w:pPr>
    </w:p>
    <w:p w14:paraId="0D9C6339">
      <w:pPr>
        <w:rPr>
          <w:rFonts w:hint="default"/>
        </w:rPr>
      </w:pPr>
    </w:p>
    <w:p w14:paraId="3585CF3C">
      <w:pPr>
        <w:pStyle w:val="2"/>
        <w:rPr>
          <w:rFonts w:hint="default"/>
        </w:rPr>
      </w:pPr>
    </w:p>
    <w:p w14:paraId="2A65896F">
      <w:pPr>
        <w:rPr>
          <w:rFonts w:hint="eastAsia"/>
          <w:lang w:val="en-US" w:eastAsia="zh-CN"/>
        </w:rPr>
      </w:pPr>
    </w:p>
    <w:p w14:paraId="7928AEBB">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val="0"/>
        <w:snapToGrid w:val="0"/>
        <w:spacing w:after="0" w:line="580" w:lineRule="exact"/>
        <w:jc w:val="center"/>
        <w:textAlignment w:val="auto"/>
        <w:rPr>
          <w:rFonts w:hint="default"/>
        </w:rPr>
      </w:pPr>
      <w:r>
        <w:rPr>
          <w:rFonts w:hint="default" w:ascii="Times New Roman" w:hAnsi="Times New Roman" w:eastAsia="仿宋_GB2312" w:cs="Times New Roman"/>
          <w:sz w:val="28"/>
          <w:szCs w:val="28"/>
          <w:lang w:val="en-US" w:eastAsia="zh-CN"/>
        </w:rPr>
        <w:t>中共濉溪县委办公室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lang w:val="en-US" w:eastAsia="zh-CN"/>
        </w:rPr>
        <w:t>年5月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pgSz w:w="11906" w:h="16838"/>
      <w:pgMar w:top="2098" w:right="1474" w:bottom="1984" w:left="1587" w:header="851"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E-BZ">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3D65">
    <w:pPr>
      <w:pStyle w:val="11"/>
      <w:jc w:val="center"/>
    </w:pPr>
  </w:p>
  <w:p w14:paraId="705D978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B5D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2BFA889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490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D1222"/>
    <w:multiLevelType w:val="singleLevel"/>
    <w:tmpl w:val="DDCD1222"/>
    <w:lvl w:ilvl="0" w:tentative="0">
      <w:start w:val="1"/>
      <w:numFmt w:val="bullet"/>
      <w:lvlText w:val=""/>
      <w:lvlJc w:val="left"/>
      <w:pPr>
        <w:ind w:left="420" w:hanging="420"/>
      </w:pPr>
      <w:rPr>
        <w:rFonts w:hint="default" w:ascii="Wingdings" w:hAnsi="Wingdings"/>
      </w:rPr>
    </w:lvl>
  </w:abstractNum>
  <w:abstractNum w:abstractNumId="1">
    <w:nsid w:val="3B5D173D"/>
    <w:multiLevelType w:val="multilevel"/>
    <w:tmpl w:val="3B5D17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YTljMjdhYTBiZDQxMzc3YWMzODlmM2VlOWYyMDgifQ=="/>
  </w:docVars>
  <w:rsids>
    <w:rsidRoot w:val="004B3528"/>
    <w:rsid w:val="00000CC9"/>
    <w:rsid w:val="00002F69"/>
    <w:rsid w:val="0000586D"/>
    <w:rsid w:val="000104B9"/>
    <w:rsid w:val="000149A1"/>
    <w:rsid w:val="00015155"/>
    <w:rsid w:val="000201F6"/>
    <w:rsid w:val="00020A8A"/>
    <w:rsid w:val="0002771B"/>
    <w:rsid w:val="00030258"/>
    <w:rsid w:val="00031E3A"/>
    <w:rsid w:val="000325CF"/>
    <w:rsid w:val="00036F04"/>
    <w:rsid w:val="0004202F"/>
    <w:rsid w:val="00043F8B"/>
    <w:rsid w:val="00045D3E"/>
    <w:rsid w:val="00045FFD"/>
    <w:rsid w:val="00046A92"/>
    <w:rsid w:val="0005018E"/>
    <w:rsid w:val="0005253C"/>
    <w:rsid w:val="00052833"/>
    <w:rsid w:val="0005495B"/>
    <w:rsid w:val="00054DD5"/>
    <w:rsid w:val="000555C8"/>
    <w:rsid w:val="00056B69"/>
    <w:rsid w:val="0005731F"/>
    <w:rsid w:val="00060DCD"/>
    <w:rsid w:val="00062CDC"/>
    <w:rsid w:val="00063BF3"/>
    <w:rsid w:val="00067A5F"/>
    <w:rsid w:val="00070AE1"/>
    <w:rsid w:val="000749AB"/>
    <w:rsid w:val="00076418"/>
    <w:rsid w:val="00077C3C"/>
    <w:rsid w:val="000949A1"/>
    <w:rsid w:val="000956AD"/>
    <w:rsid w:val="00095963"/>
    <w:rsid w:val="00096C50"/>
    <w:rsid w:val="000A3FA8"/>
    <w:rsid w:val="000A6AAD"/>
    <w:rsid w:val="000A713F"/>
    <w:rsid w:val="000A76FA"/>
    <w:rsid w:val="000A78F0"/>
    <w:rsid w:val="000B2540"/>
    <w:rsid w:val="000B44D3"/>
    <w:rsid w:val="000B5254"/>
    <w:rsid w:val="000B56E6"/>
    <w:rsid w:val="000C00AA"/>
    <w:rsid w:val="000C0542"/>
    <w:rsid w:val="000C075B"/>
    <w:rsid w:val="000C5AE4"/>
    <w:rsid w:val="000E1DA8"/>
    <w:rsid w:val="000E3033"/>
    <w:rsid w:val="000E53BD"/>
    <w:rsid w:val="000E56B9"/>
    <w:rsid w:val="000E60A1"/>
    <w:rsid w:val="000F1E34"/>
    <w:rsid w:val="00103068"/>
    <w:rsid w:val="00110612"/>
    <w:rsid w:val="001106BC"/>
    <w:rsid w:val="00110D3D"/>
    <w:rsid w:val="0011354B"/>
    <w:rsid w:val="00114999"/>
    <w:rsid w:val="0011583C"/>
    <w:rsid w:val="00116BB2"/>
    <w:rsid w:val="00121C09"/>
    <w:rsid w:val="0012216B"/>
    <w:rsid w:val="00125825"/>
    <w:rsid w:val="001316AA"/>
    <w:rsid w:val="00134020"/>
    <w:rsid w:val="001354BA"/>
    <w:rsid w:val="0013654B"/>
    <w:rsid w:val="00140DB0"/>
    <w:rsid w:val="001438B1"/>
    <w:rsid w:val="00145284"/>
    <w:rsid w:val="00151A78"/>
    <w:rsid w:val="00156398"/>
    <w:rsid w:val="00157BCA"/>
    <w:rsid w:val="00157D2E"/>
    <w:rsid w:val="0016141F"/>
    <w:rsid w:val="00165735"/>
    <w:rsid w:val="0016625D"/>
    <w:rsid w:val="001713B9"/>
    <w:rsid w:val="00177308"/>
    <w:rsid w:val="001836D8"/>
    <w:rsid w:val="00192F1A"/>
    <w:rsid w:val="001949AF"/>
    <w:rsid w:val="001951A7"/>
    <w:rsid w:val="001A087D"/>
    <w:rsid w:val="001A5AB6"/>
    <w:rsid w:val="001A6E7A"/>
    <w:rsid w:val="001B697F"/>
    <w:rsid w:val="001B736D"/>
    <w:rsid w:val="001B7422"/>
    <w:rsid w:val="001C0179"/>
    <w:rsid w:val="001C1453"/>
    <w:rsid w:val="001C2398"/>
    <w:rsid w:val="001C4124"/>
    <w:rsid w:val="001C5014"/>
    <w:rsid w:val="001C58A5"/>
    <w:rsid w:val="001C6D35"/>
    <w:rsid w:val="001D24DB"/>
    <w:rsid w:val="001D5FDE"/>
    <w:rsid w:val="001E0E0E"/>
    <w:rsid w:val="001E42D1"/>
    <w:rsid w:val="001E44E9"/>
    <w:rsid w:val="001E4F5E"/>
    <w:rsid w:val="001E6BEC"/>
    <w:rsid w:val="001E71E6"/>
    <w:rsid w:val="001F54FA"/>
    <w:rsid w:val="001F70AD"/>
    <w:rsid w:val="001F78AD"/>
    <w:rsid w:val="00203AC8"/>
    <w:rsid w:val="0020723A"/>
    <w:rsid w:val="002163F5"/>
    <w:rsid w:val="002215DD"/>
    <w:rsid w:val="00224C35"/>
    <w:rsid w:val="00232FEA"/>
    <w:rsid w:val="00237C0A"/>
    <w:rsid w:val="0024027E"/>
    <w:rsid w:val="00244675"/>
    <w:rsid w:val="002460AA"/>
    <w:rsid w:val="0024661C"/>
    <w:rsid w:val="0024665A"/>
    <w:rsid w:val="00252BFF"/>
    <w:rsid w:val="00252C8D"/>
    <w:rsid w:val="0025338E"/>
    <w:rsid w:val="00254D07"/>
    <w:rsid w:val="0026094B"/>
    <w:rsid w:val="0026130D"/>
    <w:rsid w:val="002631B7"/>
    <w:rsid w:val="00265B90"/>
    <w:rsid w:val="00271BEA"/>
    <w:rsid w:val="00275101"/>
    <w:rsid w:val="0029102B"/>
    <w:rsid w:val="00294C44"/>
    <w:rsid w:val="00296D12"/>
    <w:rsid w:val="002A07C4"/>
    <w:rsid w:val="002B5416"/>
    <w:rsid w:val="002C07EF"/>
    <w:rsid w:val="002C2021"/>
    <w:rsid w:val="002C2084"/>
    <w:rsid w:val="002D34B1"/>
    <w:rsid w:val="002D6854"/>
    <w:rsid w:val="002E5A37"/>
    <w:rsid w:val="002F0D10"/>
    <w:rsid w:val="002F1E62"/>
    <w:rsid w:val="002F34ED"/>
    <w:rsid w:val="002F4815"/>
    <w:rsid w:val="00300E7C"/>
    <w:rsid w:val="003029CB"/>
    <w:rsid w:val="00302CCE"/>
    <w:rsid w:val="003053B5"/>
    <w:rsid w:val="00311A4B"/>
    <w:rsid w:val="00311A5F"/>
    <w:rsid w:val="00312BBA"/>
    <w:rsid w:val="0031677F"/>
    <w:rsid w:val="00317212"/>
    <w:rsid w:val="00321B3D"/>
    <w:rsid w:val="0032201C"/>
    <w:rsid w:val="0032293D"/>
    <w:rsid w:val="003252CD"/>
    <w:rsid w:val="003277A4"/>
    <w:rsid w:val="0032799F"/>
    <w:rsid w:val="00331A7F"/>
    <w:rsid w:val="003322BD"/>
    <w:rsid w:val="00332665"/>
    <w:rsid w:val="00333B23"/>
    <w:rsid w:val="00336CFD"/>
    <w:rsid w:val="0034734D"/>
    <w:rsid w:val="00350B92"/>
    <w:rsid w:val="00350C6E"/>
    <w:rsid w:val="003546D4"/>
    <w:rsid w:val="00354921"/>
    <w:rsid w:val="00357D75"/>
    <w:rsid w:val="003600D0"/>
    <w:rsid w:val="00363D89"/>
    <w:rsid w:val="00380A6D"/>
    <w:rsid w:val="003909CE"/>
    <w:rsid w:val="00390D0C"/>
    <w:rsid w:val="003910DC"/>
    <w:rsid w:val="00392D42"/>
    <w:rsid w:val="003931FF"/>
    <w:rsid w:val="0039458A"/>
    <w:rsid w:val="0039558E"/>
    <w:rsid w:val="00396BD8"/>
    <w:rsid w:val="003979EC"/>
    <w:rsid w:val="003A00D2"/>
    <w:rsid w:val="003A0DDE"/>
    <w:rsid w:val="003A1AF8"/>
    <w:rsid w:val="003A62C3"/>
    <w:rsid w:val="003B0B18"/>
    <w:rsid w:val="003B74FE"/>
    <w:rsid w:val="003B7BAC"/>
    <w:rsid w:val="003C46E8"/>
    <w:rsid w:val="003C6A2D"/>
    <w:rsid w:val="003D2C13"/>
    <w:rsid w:val="003D4DB6"/>
    <w:rsid w:val="003D5A9C"/>
    <w:rsid w:val="003E6113"/>
    <w:rsid w:val="003F1C16"/>
    <w:rsid w:val="003F1CF2"/>
    <w:rsid w:val="003F422F"/>
    <w:rsid w:val="0040590E"/>
    <w:rsid w:val="004062E2"/>
    <w:rsid w:val="00407988"/>
    <w:rsid w:val="004116F0"/>
    <w:rsid w:val="004179C4"/>
    <w:rsid w:val="00417B3C"/>
    <w:rsid w:val="0042199A"/>
    <w:rsid w:val="00425000"/>
    <w:rsid w:val="004266AB"/>
    <w:rsid w:val="00427634"/>
    <w:rsid w:val="00432AEE"/>
    <w:rsid w:val="0043379B"/>
    <w:rsid w:val="00435429"/>
    <w:rsid w:val="00444387"/>
    <w:rsid w:val="004457D3"/>
    <w:rsid w:val="00451AA6"/>
    <w:rsid w:val="00452B7C"/>
    <w:rsid w:val="0045390A"/>
    <w:rsid w:val="0046139F"/>
    <w:rsid w:val="00462D04"/>
    <w:rsid w:val="00462F55"/>
    <w:rsid w:val="004638BF"/>
    <w:rsid w:val="00465810"/>
    <w:rsid w:val="0046631A"/>
    <w:rsid w:val="00466D88"/>
    <w:rsid w:val="00485ADB"/>
    <w:rsid w:val="00485F35"/>
    <w:rsid w:val="00486DBC"/>
    <w:rsid w:val="004B3528"/>
    <w:rsid w:val="004B4D9D"/>
    <w:rsid w:val="004B57D0"/>
    <w:rsid w:val="004C25D9"/>
    <w:rsid w:val="004C263A"/>
    <w:rsid w:val="004C349B"/>
    <w:rsid w:val="004C3CEA"/>
    <w:rsid w:val="004C65B9"/>
    <w:rsid w:val="004C6985"/>
    <w:rsid w:val="004D45E4"/>
    <w:rsid w:val="004E1D96"/>
    <w:rsid w:val="004E6711"/>
    <w:rsid w:val="004E69FD"/>
    <w:rsid w:val="004F39DD"/>
    <w:rsid w:val="004F70C1"/>
    <w:rsid w:val="00504000"/>
    <w:rsid w:val="00506A25"/>
    <w:rsid w:val="00506F04"/>
    <w:rsid w:val="0051247F"/>
    <w:rsid w:val="00516590"/>
    <w:rsid w:val="0052019E"/>
    <w:rsid w:val="00522A20"/>
    <w:rsid w:val="00524FB9"/>
    <w:rsid w:val="005258DF"/>
    <w:rsid w:val="00534A6B"/>
    <w:rsid w:val="00534BBF"/>
    <w:rsid w:val="00535B0F"/>
    <w:rsid w:val="0053640B"/>
    <w:rsid w:val="00537D30"/>
    <w:rsid w:val="0054328E"/>
    <w:rsid w:val="00543B97"/>
    <w:rsid w:val="005443C7"/>
    <w:rsid w:val="00545D00"/>
    <w:rsid w:val="0054637A"/>
    <w:rsid w:val="005528FC"/>
    <w:rsid w:val="005612FE"/>
    <w:rsid w:val="00563993"/>
    <w:rsid w:val="005649A7"/>
    <w:rsid w:val="00565EEB"/>
    <w:rsid w:val="005671F8"/>
    <w:rsid w:val="00581E9D"/>
    <w:rsid w:val="00581ECF"/>
    <w:rsid w:val="005821C5"/>
    <w:rsid w:val="0058250B"/>
    <w:rsid w:val="005838DE"/>
    <w:rsid w:val="0058428D"/>
    <w:rsid w:val="00584530"/>
    <w:rsid w:val="00591637"/>
    <w:rsid w:val="00592344"/>
    <w:rsid w:val="0059643D"/>
    <w:rsid w:val="00597223"/>
    <w:rsid w:val="005A044A"/>
    <w:rsid w:val="005A0776"/>
    <w:rsid w:val="005A2BCD"/>
    <w:rsid w:val="005A5B09"/>
    <w:rsid w:val="005B0280"/>
    <w:rsid w:val="005B4439"/>
    <w:rsid w:val="005B47BE"/>
    <w:rsid w:val="005B6C42"/>
    <w:rsid w:val="005C148A"/>
    <w:rsid w:val="005C2CE0"/>
    <w:rsid w:val="005C4A1D"/>
    <w:rsid w:val="005D1C0E"/>
    <w:rsid w:val="005D209E"/>
    <w:rsid w:val="005D21C4"/>
    <w:rsid w:val="005D3A03"/>
    <w:rsid w:val="005D45DF"/>
    <w:rsid w:val="005D6B22"/>
    <w:rsid w:val="005D78B7"/>
    <w:rsid w:val="005E4BC0"/>
    <w:rsid w:val="005E79A7"/>
    <w:rsid w:val="005F1A34"/>
    <w:rsid w:val="005F1CB3"/>
    <w:rsid w:val="005F4072"/>
    <w:rsid w:val="005F5DC7"/>
    <w:rsid w:val="005F6273"/>
    <w:rsid w:val="00600A18"/>
    <w:rsid w:val="00600A76"/>
    <w:rsid w:val="00606457"/>
    <w:rsid w:val="00613230"/>
    <w:rsid w:val="0061386B"/>
    <w:rsid w:val="00622AEB"/>
    <w:rsid w:val="00626EEC"/>
    <w:rsid w:val="00630695"/>
    <w:rsid w:val="00633BC1"/>
    <w:rsid w:val="00634539"/>
    <w:rsid w:val="00635BDB"/>
    <w:rsid w:val="0063655D"/>
    <w:rsid w:val="006370EC"/>
    <w:rsid w:val="00641A5A"/>
    <w:rsid w:val="0065178D"/>
    <w:rsid w:val="00654E38"/>
    <w:rsid w:val="00657865"/>
    <w:rsid w:val="00660292"/>
    <w:rsid w:val="006602B5"/>
    <w:rsid w:val="00663B55"/>
    <w:rsid w:val="0066597E"/>
    <w:rsid w:val="006677D5"/>
    <w:rsid w:val="00677022"/>
    <w:rsid w:val="006801C7"/>
    <w:rsid w:val="00683E2E"/>
    <w:rsid w:val="00684E3F"/>
    <w:rsid w:val="00685978"/>
    <w:rsid w:val="00686C72"/>
    <w:rsid w:val="006874FE"/>
    <w:rsid w:val="006878C5"/>
    <w:rsid w:val="0068793D"/>
    <w:rsid w:val="00687D67"/>
    <w:rsid w:val="0069208F"/>
    <w:rsid w:val="006A4D55"/>
    <w:rsid w:val="006A71E5"/>
    <w:rsid w:val="006B0539"/>
    <w:rsid w:val="006B31C7"/>
    <w:rsid w:val="006B5F19"/>
    <w:rsid w:val="006C0032"/>
    <w:rsid w:val="006C6225"/>
    <w:rsid w:val="006C6E47"/>
    <w:rsid w:val="006D2738"/>
    <w:rsid w:val="006D302B"/>
    <w:rsid w:val="006D68E1"/>
    <w:rsid w:val="006E3EE8"/>
    <w:rsid w:val="006E41A0"/>
    <w:rsid w:val="006E7389"/>
    <w:rsid w:val="006F0D51"/>
    <w:rsid w:val="006F1620"/>
    <w:rsid w:val="006F1B29"/>
    <w:rsid w:val="006F40E5"/>
    <w:rsid w:val="006F525D"/>
    <w:rsid w:val="00700698"/>
    <w:rsid w:val="00706D9F"/>
    <w:rsid w:val="00714EF9"/>
    <w:rsid w:val="00716173"/>
    <w:rsid w:val="00716B09"/>
    <w:rsid w:val="00720324"/>
    <w:rsid w:val="00721A89"/>
    <w:rsid w:val="00725318"/>
    <w:rsid w:val="0073237B"/>
    <w:rsid w:val="00733E6D"/>
    <w:rsid w:val="00736D1B"/>
    <w:rsid w:val="007371D9"/>
    <w:rsid w:val="00741C9F"/>
    <w:rsid w:val="007420F5"/>
    <w:rsid w:val="00751D5D"/>
    <w:rsid w:val="00753FAD"/>
    <w:rsid w:val="007569FB"/>
    <w:rsid w:val="0076020E"/>
    <w:rsid w:val="00760241"/>
    <w:rsid w:val="00762E52"/>
    <w:rsid w:val="007756C4"/>
    <w:rsid w:val="00776EFC"/>
    <w:rsid w:val="007803E8"/>
    <w:rsid w:val="00783446"/>
    <w:rsid w:val="007A0E2F"/>
    <w:rsid w:val="007A36BD"/>
    <w:rsid w:val="007A37B0"/>
    <w:rsid w:val="007A4D05"/>
    <w:rsid w:val="007A77EF"/>
    <w:rsid w:val="007B0C91"/>
    <w:rsid w:val="007B1A31"/>
    <w:rsid w:val="007B4025"/>
    <w:rsid w:val="007B53BA"/>
    <w:rsid w:val="007C2592"/>
    <w:rsid w:val="007C786E"/>
    <w:rsid w:val="007D104E"/>
    <w:rsid w:val="007D1342"/>
    <w:rsid w:val="007D551C"/>
    <w:rsid w:val="007E0894"/>
    <w:rsid w:val="007E193B"/>
    <w:rsid w:val="007E2A8C"/>
    <w:rsid w:val="007E5A84"/>
    <w:rsid w:val="007E7E9D"/>
    <w:rsid w:val="007F51BF"/>
    <w:rsid w:val="007F57E5"/>
    <w:rsid w:val="007F585C"/>
    <w:rsid w:val="007F5B33"/>
    <w:rsid w:val="007F6B65"/>
    <w:rsid w:val="008010CD"/>
    <w:rsid w:val="00806B1F"/>
    <w:rsid w:val="00814653"/>
    <w:rsid w:val="008156F5"/>
    <w:rsid w:val="00816435"/>
    <w:rsid w:val="008231E5"/>
    <w:rsid w:val="00823A89"/>
    <w:rsid w:val="008244F0"/>
    <w:rsid w:val="00835670"/>
    <w:rsid w:val="00840B66"/>
    <w:rsid w:val="0085319E"/>
    <w:rsid w:val="00856A23"/>
    <w:rsid w:val="00857B72"/>
    <w:rsid w:val="00862837"/>
    <w:rsid w:val="008646EA"/>
    <w:rsid w:val="00872697"/>
    <w:rsid w:val="0087367F"/>
    <w:rsid w:val="00873CAD"/>
    <w:rsid w:val="00874192"/>
    <w:rsid w:val="00875434"/>
    <w:rsid w:val="00877500"/>
    <w:rsid w:val="008779B8"/>
    <w:rsid w:val="00883659"/>
    <w:rsid w:val="00883981"/>
    <w:rsid w:val="00883F69"/>
    <w:rsid w:val="008876EA"/>
    <w:rsid w:val="00895402"/>
    <w:rsid w:val="008A0C98"/>
    <w:rsid w:val="008A1218"/>
    <w:rsid w:val="008A2C05"/>
    <w:rsid w:val="008A44EB"/>
    <w:rsid w:val="008B146B"/>
    <w:rsid w:val="008B274A"/>
    <w:rsid w:val="008B588F"/>
    <w:rsid w:val="008B6671"/>
    <w:rsid w:val="008C0401"/>
    <w:rsid w:val="008C32E4"/>
    <w:rsid w:val="008C447E"/>
    <w:rsid w:val="008C5E83"/>
    <w:rsid w:val="008D0E17"/>
    <w:rsid w:val="008D2952"/>
    <w:rsid w:val="008D357E"/>
    <w:rsid w:val="008D3E02"/>
    <w:rsid w:val="008E1260"/>
    <w:rsid w:val="008E2A78"/>
    <w:rsid w:val="008E5797"/>
    <w:rsid w:val="008F07F4"/>
    <w:rsid w:val="008F567C"/>
    <w:rsid w:val="008F5AAF"/>
    <w:rsid w:val="008F76AD"/>
    <w:rsid w:val="009047EE"/>
    <w:rsid w:val="009054B6"/>
    <w:rsid w:val="00911234"/>
    <w:rsid w:val="00911F1E"/>
    <w:rsid w:val="00912746"/>
    <w:rsid w:val="00916AC8"/>
    <w:rsid w:val="00920E0E"/>
    <w:rsid w:val="00923622"/>
    <w:rsid w:val="00924300"/>
    <w:rsid w:val="009302E5"/>
    <w:rsid w:val="00930B9D"/>
    <w:rsid w:val="00942A3D"/>
    <w:rsid w:val="009443EA"/>
    <w:rsid w:val="009452EB"/>
    <w:rsid w:val="00946C26"/>
    <w:rsid w:val="0095291D"/>
    <w:rsid w:val="009538BB"/>
    <w:rsid w:val="00955F74"/>
    <w:rsid w:val="0096258D"/>
    <w:rsid w:val="00966AD9"/>
    <w:rsid w:val="00966EA2"/>
    <w:rsid w:val="00970273"/>
    <w:rsid w:val="00971FE8"/>
    <w:rsid w:val="00972957"/>
    <w:rsid w:val="00972A7A"/>
    <w:rsid w:val="0097311A"/>
    <w:rsid w:val="009771E7"/>
    <w:rsid w:val="00977AD6"/>
    <w:rsid w:val="00977D87"/>
    <w:rsid w:val="0098070D"/>
    <w:rsid w:val="00987542"/>
    <w:rsid w:val="0099361D"/>
    <w:rsid w:val="0099658E"/>
    <w:rsid w:val="0099693D"/>
    <w:rsid w:val="00996EDC"/>
    <w:rsid w:val="009A1497"/>
    <w:rsid w:val="009A1FC5"/>
    <w:rsid w:val="009A48D4"/>
    <w:rsid w:val="009B0417"/>
    <w:rsid w:val="009B13A9"/>
    <w:rsid w:val="009B1EE7"/>
    <w:rsid w:val="009B791D"/>
    <w:rsid w:val="009C61D0"/>
    <w:rsid w:val="009D1D8F"/>
    <w:rsid w:val="009D3469"/>
    <w:rsid w:val="009E22F8"/>
    <w:rsid w:val="009E5F68"/>
    <w:rsid w:val="009F4F63"/>
    <w:rsid w:val="009F54DB"/>
    <w:rsid w:val="009F56E4"/>
    <w:rsid w:val="009F6FF1"/>
    <w:rsid w:val="009F7C55"/>
    <w:rsid w:val="00A00516"/>
    <w:rsid w:val="00A00ACA"/>
    <w:rsid w:val="00A01675"/>
    <w:rsid w:val="00A03390"/>
    <w:rsid w:val="00A04D59"/>
    <w:rsid w:val="00A0506B"/>
    <w:rsid w:val="00A07C8E"/>
    <w:rsid w:val="00A07CA5"/>
    <w:rsid w:val="00A11214"/>
    <w:rsid w:val="00A11571"/>
    <w:rsid w:val="00A12715"/>
    <w:rsid w:val="00A20A9D"/>
    <w:rsid w:val="00A227D2"/>
    <w:rsid w:val="00A24659"/>
    <w:rsid w:val="00A345FB"/>
    <w:rsid w:val="00A36ED7"/>
    <w:rsid w:val="00A4264B"/>
    <w:rsid w:val="00A46B16"/>
    <w:rsid w:val="00A51C7D"/>
    <w:rsid w:val="00A51EF3"/>
    <w:rsid w:val="00A559B6"/>
    <w:rsid w:val="00A57611"/>
    <w:rsid w:val="00A664DC"/>
    <w:rsid w:val="00A7036A"/>
    <w:rsid w:val="00A75EF1"/>
    <w:rsid w:val="00A77ECF"/>
    <w:rsid w:val="00A81BEF"/>
    <w:rsid w:val="00A83E5C"/>
    <w:rsid w:val="00A92FA5"/>
    <w:rsid w:val="00A94D8F"/>
    <w:rsid w:val="00A97C11"/>
    <w:rsid w:val="00AA008D"/>
    <w:rsid w:val="00AA41DA"/>
    <w:rsid w:val="00AA663F"/>
    <w:rsid w:val="00AB481D"/>
    <w:rsid w:val="00AB6183"/>
    <w:rsid w:val="00AB64E7"/>
    <w:rsid w:val="00AB6D4D"/>
    <w:rsid w:val="00AC078C"/>
    <w:rsid w:val="00AC3482"/>
    <w:rsid w:val="00AC367A"/>
    <w:rsid w:val="00AC3E06"/>
    <w:rsid w:val="00AD0714"/>
    <w:rsid w:val="00AD0CB0"/>
    <w:rsid w:val="00AD22ED"/>
    <w:rsid w:val="00AD4313"/>
    <w:rsid w:val="00AD4A44"/>
    <w:rsid w:val="00AE3686"/>
    <w:rsid w:val="00AE3ED7"/>
    <w:rsid w:val="00AE42A3"/>
    <w:rsid w:val="00AF25A9"/>
    <w:rsid w:val="00AF356A"/>
    <w:rsid w:val="00AF61A8"/>
    <w:rsid w:val="00B04319"/>
    <w:rsid w:val="00B049E2"/>
    <w:rsid w:val="00B0686C"/>
    <w:rsid w:val="00B128FE"/>
    <w:rsid w:val="00B14CAB"/>
    <w:rsid w:val="00B32DE0"/>
    <w:rsid w:val="00B3384B"/>
    <w:rsid w:val="00B345C4"/>
    <w:rsid w:val="00B345F1"/>
    <w:rsid w:val="00B3474C"/>
    <w:rsid w:val="00B35AF6"/>
    <w:rsid w:val="00B41CA7"/>
    <w:rsid w:val="00B423FA"/>
    <w:rsid w:val="00B42620"/>
    <w:rsid w:val="00B42F46"/>
    <w:rsid w:val="00B47747"/>
    <w:rsid w:val="00B527FD"/>
    <w:rsid w:val="00B56E45"/>
    <w:rsid w:val="00B61826"/>
    <w:rsid w:val="00B70D62"/>
    <w:rsid w:val="00B73BCD"/>
    <w:rsid w:val="00B758FC"/>
    <w:rsid w:val="00B818C4"/>
    <w:rsid w:val="00B85F93"/>
    <w:rsid w:val="00B876FE"/>
    <w:rsid w:val="00BA20E1"/>
    <w:rsid w:val="00BA2AD7"/>
    <w:rsid w:val="00BA40A2"/>
    <w:rsid w:val="00BA47E2"/>
    <w:rsid w:val="00BA7030"/>
    <w:rsid w:val="00BA70AA"/>
    <w:rsid w:val="00BB46A8"/>
    <w:rsid w:val="00BB771C"/>
    <w:rsid w:val="00BC5490"/>
    <w:rsid w:val="00BC5AFF"/>
    <w:rsid w:val="00BD2116"/>
    <w:rsid w:val="00BD545D"/>
    <w:rsid w:val="00BE00D2"/>
    <w:rsid w:val="00BE053A"/>
    <w:rsid w:val="00BE3679"/>
    <w:rsid w:val="00BE4345"/>
    <w:rsid w:val="00BE67F6"/>
    <w:rsid w:val="00BE6EA9"/>
    <w:rsid w:val="00BE7B47"/>
    <w:rsid w:val="00C02972"/>
    <w:rsid w:val="00C04E79"/>
    <w:rsid w:val="00C07753"/>
    <w:rsid w:val="00C11C72"/>
    <w:rsid w:val="00C121AF"/>
    <w:rsid w:val="00C158AF"/>
    <w:rsid w:val="00C207C4"/>
    <w:rsid w:val="00C21FC8"/>
    <w:rsid w:val="00C357FF"/>
    <w:rsid w:val="00C36CE0"/>
    <w:rsid w:val="00C4063A"/>
    <w:rsid w:val="00C407AC"/>
    <w:rsid w:val="00C40D55"/>
    <w:rsid w:val="00C44F75"/>
    <w:rsid w:val="00C45025"/>
    <w:rsid w:val="00C45F5A"/>
    <w:rsid w:val="00C46483"/>
    <w:rsid w:val="00C467CB"/>
    <w:rsid w:val="00C47021"/>
    <w:rsid w:val="00C47A68"/>
    <w:rsid w:val="00C50C42"/>
    <w:rsid w:val="00C5442A"/>
    <w:rsid w:val="00C6186E"/>
    <w:rsid w:val="00C61F70"/>
    <w:rsid w:val="00C62592"/>
    <w:rsid w:val="00C64003"/>
    <w:rsid w:val="00C666D3"/>
    <w:rsid w:val="00C71C91"/>
    <w:rsid w:val="00C72620"/>
    <w:rsid w:val="00C76BF8"/>
    <w:rsid w:val="00C76F89"/>
    <w:rsid w:val="00C82919"/>
    <w:rsid w:val="00C833C3"/>
    <w:rsid w:val="00C86BFA"/>
    <w:rsid w:val="00C86C3C"/>
    <w:rsid w:val="00C9168B"/>
    <w:rsid w:val="00C92E69"/>
    <w:rsid w:val="00C93E0E"/>
    <w:rsid w:val="00C95CC4"/>
    <w:rsid w:val="00C96C97"/>
    <w:rsid w:val="00CB5182"/>
    <w:rsid w:val="00CD0A64"/>
    <w:rsid w:val="00CD46CA"/>
    <w:rsid w:val="00CD7B23"/>
    <w:rsid w:val="00CE156F"/>
    <w:rsid w:val="00CE47DF"/>
    <w:rsid w:val="00CE5551"/>
    <w:rsid w:val="00CF01F8"/>
    <w:rsid w:val="00CF07BA"/>
    <w:rsid w:val="00CF09AE"/>
    <w:rsid w:val="00CF1691"/>
    <w:rsid w:val="00CF19B4"/>
    <w:rsid w:val="00D00001"/>
    <w:rsid w:val="00D028F3"/>
    <w:rsid w:val="00D12C3D"/>
    <w:rsid w:val="00D14CDA"/>
    <w:rsid w:val="00D16452"/>
    <w:rsid w:val="00D1716E"/>
    <w:rsid w:val="00D20B4D"/>
    <w:rsid w:val="00D21AC9"/>
    <w:rsid w:val="00D226A0"/>
    <w:rsid w:val="00D305B4"/>
    <w:rsid w:val="00D307B1"/>
    <w:rsid w:val="00D31130"/>
    <w:rsid w:val="00D318C5"/>
    <w:rsid w:val="00D36E59"/>
    <w:rsid w:val="00D40526"/>
    <w:rsid w:val="00D44E9B"/>
    <w:rsid w:val="00D45920"/>
    <w:rsid w:val="00D55715"/>
    <w:rsid w:val="00D6308E"/>
    <w:rsid w:val="00D66FFF"/>
    <w:rsid w:val="00D67BCF"/>
    <w:rsid w:val="00D706B0"/>
    <w:rsid w:val="00D70859"/>
    <w:rsid w:val="00D70D04"/>
    <w:rsid w:val="00D71C71"/>
    <w:rsid w:val="00D739C4"/>
    <w:rsid w:val="00D73B8D"/>
    <w:rsid w:val="00D73CC4"/>
    <w:rsid w:val="00D743AF"/>
    <w:rsid w:val="00D7602E"/>
    <w:rsid w:val="00D76D43"/>
    <w:rsid w:val="00D77FDD"/>
    <w:rsid w:val="00D80156"/>
    <w:rsid w:val="00D825C6"/>
    <w:rsid w:val="00D849F8"/>
    <w:rsid w:val="00D8540F"/>
    <w:rsid w:val="00D8669E"/>
    <w:rsid w:val="00D92FC1"/>
    <w:rsid w:val="00D94697"/>
    <w:rsid w:val="00D965B0"/>
    <w:rsid w:val="00DA0CCF"/>
    <w:rsid w:val="00DA2517"/>
    <w:rsid w:val="00DB1F96"/>
    <w:rsid w:val="00DB70EC"/>
    <w:rsid w:val="00DC19CB"/>
    <w:rsid w:val="00DC5868"/>
    <w:rsid w:val="00DC5DCC"/>
    <w:rsid w:val="00DD0E95"/>
    <w:rsid w:val="00DD13C8"/>
    <w:rsid w:val="00DD2D1B"/>
    <w:rsid w:val="00DD615E"/>
    <w:rsid w:val="00DD632F"/>
    <w:rsid w:val="00DD74E1"/>
    <w:rsid w:val="00DE1BC5"/>
    <w:rsid w:val="00DE4F0F"/>
    <w:rsid w:val="00DE5346"/>
    <w:rsid w:val="00DF11B2"/>
    <w:rsid w:val="00DF3A6D"/>
    <w:rsid w:val="00DF4D9D"/>
    <w:rsid w:val="00DF7479"/>
    <w:rsid w:val="00DF7826"/>
    <w:rsid w:val="00E01605"/>
    <w:rsid w:val="00E01C29"/>
    <w:rsid w:val="00E04CBB"/>
    <w:rsid w:val="00E061FF"/>
    <w:rsid w:val="00E132E6"/>
    <w:rsid w:val="00E14D6C"/>
    <w:rsid w:val="00E1511A"/>
    <w:rsid w:val="00E1517D"/>
    <w:rsid w:val="00E202C7"/>
    <w:rsid w:val="00E219B2"/>
    <w:rsid w:val="00E23A18"/>
    <w:rsid w:val="00E26086"/>
    <w:rsid w:val="00E263EB"/>
    <w:rsid w:val="00E26D42"/>
    <w:rsid w:val="00E30C2E"/>
    <w:rsid w:val="00E30DA5"/>
    <w:rsid w:val="00E32863"/>
    <w:rsid w:val="00E3490C"/>
    <w:rsid w:val="00E40419"/>
    <w:rsid w:val="00E47CBF"/>
    <w:rsid w:val="00E47D7D"/>
    <w:rsid w:val="00E50858"/>
    <w:rsid w:val="00E52134"/>
    <w:rsid w:val="00E60D0D"/>
    <w:rsid w:val="00E60E58"/>
    <w:rsid w:val="00E6273C"/>
    <w:rsid w:val="00E65729"/>
    <w:rsid w:val="00E65D37"/>
    <w:rsid w:val="00E669B1"/>
    <w:rsid w:val="00E71A2E"/>
    <w:rsid w:val="00E75A38"/>
    <w:rsid w:val="00E76273"/>
    <w:rsid w:val="00E7759C"/>
    <w:rsid w:val="00E7774E"/>
    <w:rsid w:val="00E77A66"/>
    <w:rsid w:val="00E77A88"/>
    <w:rsid w:val="00E80FD7"/>
    <w:rsid w:val="00E835C1"/>
    <w:rsid w:val="00E85275"/>
    <w:rsid w:val="00E94EB3"/>
    <w:rsid w:val="00E964FA"/>
    <w:rsid w:val="00E97F28"/>
    <w:rsid w:val="00EA04BF"/>
    <w:rsid w:val="00EA1059"/>
    <w:rsid w:val="00EA1B6E"/>
    <w:rsid w:val="00EA3370"/>
    <w:rsid w:val="00EA3554"/>
    <w:rsid w:val="00EA3D58"/>
    <w:rsid w:val="00EA4D19"/>
    <w:rsid w:val="00EA5F6F"/>
    <w:rsid w:val="00EA7F46"/>
    <w:rsid w:val="00EB02F5"/>
    <w:rsid w:val="00EB380E"/>
    <w:rsid w:val="00EB4046"/>
    <w:rsid w:val="00EC1319"/>
    <w:rsid w:val="00ED3076"/>
    <w:rsid w:val="00EE0725"/>
    <w:rsid w:val="00EE3A08"/>
    <w:rsid w:val="00EE5760"/>
    <w:rsid w:val="00EE5E68"/>
    <w:rsid w:val="00EE602C"/>
    <w:rsid w:val="00EE62E4"/>
    <w:rsid w:val="00EF023B"/>
    <w:rsid w:val="00EF0E52"/>
    <w:rsid w:val="00EF1BE4"/>
    <w:rsid w:val="00EF3FAB"/>
    <w:rsid w:val="00EF5F19"/>
    <w:rsid w:val="00EF7728"/>
    <w:rsid w:val="00EF7821"/>
    <w:rsid w:val="00F000AE"/>
    <w:rsid w:val="00F0191C"/>
    <w:rsid w:val="00F02282"/>
    <w:rsid w:val="00F02425"/>
    <w:rsid w:val="00F03CA9"/>
    <w:rsid w:val="00F162AD"/>
    <w:rsid w:val="00F163BC"/>
    <w:rsid w:val="00F16532"/>
    <w:rsid w:val="00F17F1C"/>
    <w:rsid w:val="00F2673F"/>
    <w:rsid w:val="00F32F14"/>
    <w:rsid w:val="00F35F82"/>
    <w:rsid w:val="00F40224"/>
    <w:rsid w:val="00F46223"/>
    <w:rsid w:val="00F4689C"/>
    <w:rsid w:val="00F473B5"/>
    <w:rsid w:val="00F53F83"/>
    <w:rsid w:val="00F543A4"/>
    <w:rsid w:val="00F579D1"/>
    <w:rsid w:val="00F57E43"/>
    <w:rsid w:val="00F613A8"/>
    <w:rsid w:val="00F63BCD"/>
    <w:rsid w:val="00F73005"/>
    <w:rsid w:val="00F7305B"/>
    <w:rsid w:val="00F747E1"/>
    <w:rsid w:val="00F81949"/>
    <w:rsid w:val="00F82A9F"/>
    <w:rsid w:val="00F83B11"/>
    <w:rsid w:val="00F931E6"/>
    <w:rsid w:val="00F94346"/>
    <w:rsid w:val="00F960A1"/>
    <w:rsid w:val="00F9611A"/>
    <w:rsid w:val="00F96358"/>
    <w:rsid w:val="00FA00A3"/>
    <w:rsid w:val="00FA2D6D"/>
    <w:rsid w:val="00FA3324"/>
    <w:rsid w:val="00FA5EA7"/>
    <w:rsid w:val="00FB2295"/>
    <w:rsid w:val="00FB42BA"/>
    <w:rsid w:val="00FB589C"/>
    <w:rsid w:val="00FB63A3"/>
    <w:rsid w:val="00FC020C"/>
    <w:rsid w:val="00FC3BA4"/>
    <w:rsid w:val="00FC43D2"/>
    <w:rsid w:val="00FC79CC"/>
    <w:rsid w:val="00FC7A73"/>
    <w:rsid w:val="00FC7F8B"/>
    <w:rsid w:val="00FD3B63"/>
    <w:rsid w:val="00FE2362"/>
    <w:rsid w:val="00FE291F"/>
    <w:rsid w:val="00FE7DF1"/>
    <w:rsid w:val="00FF1B42"/>
    <w:rsid w:val="00FF60FE"/>
    <w:rsid w:val="00FF6EAA"/>
    <w:rsid w:val="011865A4"/>
    <w:rsid w:val="015E4572"/>
    <w:rsid w:val="016D2D5B"/>
    <w:rsid w:val="017D4F5C"/>
    <w:rsid w:val="018E2A45"/>
    <w:rsid w:val="01BB3589"/>
    <w:rsid w:val="01DA56FF"/>
    <w:rsid w:val="01FF3BC3"/>
    <w:rsid w:val="0227299C"/>
    <w:rsid w:val="02464224"/>
    <w:rsid w:val="02587777"/>
    <w:rsid w:val="026531FA"/>
    <w:rsid w:val="0298774D"/>
    <w:rsid w:val="02B50726"/>
    <w:rsid w:val="02B640B5"/>
    <w:rsid w:val="02C2405D"/>
    <w:rsid w:val="02C5783A"/>
    <w:rsid w:val="02D44B88"/>
    <w:rsid w:val="031713E0"/>
    <w:rsid w:val="032E2B81"/>
    <w:rsid w:val="037A6946"/>
    <w:rsid w:val="038073BC"/>
    <w:rsid w:val="03AE752A"/>
    <w:rsid w:val="03D32EE8"/>
    <w:rsid w:val="03E5503B"/>
    <w:rsid w:val="03E76489"/>
    <w:rsid w:val="03F32878"/>
    <w:rsid w:val="03F51075"/>
    <w:rsid w:val="03FA44FB"/>
    <w:rsid w:val="03FD6D27"/>
    <w:rsid w:val="04212517"/>
    <w:rsid w:val="04277401"/>
    <w:rsid w:val="042D24F6"/>
    <w:rsid w:val="043F2FC4"/>
    <w:rsid w:val="04567B72"/>
    <w:rsid w:val="04A62A1C"/>
    <w:rsid w:val="04E94B2C"/>
    <w:rsid w:val="053A520C"/>
    <w:rsid w:val="054F5C6B"/>
    <w:rsid w:val="056531B8"/>
    <w:rsid w:val="05806550"/>
    <w:rsid w:val="05904D6D"/>
    <w:rsid w:val="059A1A77"/>
    <w:rsid w:val="05B72758"/>
    <w:rsid w:val="05CA7A7C"/>
    <w:rsid w:val="05D010FC"/>
    <w:rsid w:val="05F43268"/>
    <w:rsid w:val="060E6ACB"/>
    <w:rsid w:val="064A57C3"/>
    <w:rsid w:val="066869D6"/>
    <w:rsid w:val="06686BF5"/>
    <w:rsid w:val="06823015"/>
    <w:rsid w:val="06907561"/>
    <w:rsid w:val="069D7E4F"/>
    <w:rsid w:val="06ED4932"/>
    <w:rsid w:val="06F24A71"/>
    <w:rsid w:val="06FD1917"/>
    <w:rsid w:val="07006F4F"/>
    <w:rsid w:val="071735CB"/>
    <w:rsid w:val="071D689A"/>
    <w:rsid w:val="0729064F"/>
    <w:rsid w:val="073562D9"/>
    <w:rsid w:val="074D44A4"/>
    <w:rsid w:val="074D4CA1"/>
    <w:rsid w:val="07807554"/>
    <w:rsid w:val="07A96D55"/>
    <w:rsid w:val="07E21FBD"/>
    <w:rsid w:val="07E51AAD"/>
    <w:rsid w:val="080D690E"/>
    <w:rsid w:val="08447C83"/>
    <w:rsid w:val="08640C24"/>
    <w:rsid w:val="086C7163"/>
    <w:rsid w:val="087D1CE6"/>
    <w:rsid w:val="08AB250E"/>
    <w:rsid w:val="08C64C26"/>
    <w:rsid w:val="08CE0793"/>
    <w:rsid w:val="08DA1D18"/>
    <w:rsid w:val="08DE558A"/>
    <w:rsid w:val="08FF094D"/>
    <w:rsid w:val="09137F54"/>
    <w:rsid w:val="09174190"/>
    <w:rsid w:val="096B1B3E"/>
    <w:rsid w:val="09762D7C"/>
    <w:rsid w:val="09903C9B"/>
    <w:rsid w:val="09A43413"/>
    <w:rsid w:val="09A643CA"/>
    <w:rsid w:val="0A0312C0"/>
    <w:rsid w:val="0A216426"/>
    <w:rsid w:val="0A294FB2"/>
    <w:rsid w:val="0A424215"/>
    <w:rsid w:val="0A466107"/>
    <w:rsid w:val="0A48700F"/>
    <w:rsid w:val="0A540D8C"/>
    <w:rsid w:val="0A567485"/>
    <w:rsid w:val="0A586566"/>
    <w:rsid w:val="0A7569B0"/>
    <w:rsid w:val="0AB55DA1"/>
    <w:rsid w:val="0AC51919"/>
    <w:rsid w:val="0AF3628F"/>
    <w:rsid w:val="0B0A4727"/>
    <w:rsid w:val="0B372620"/>
    <w:rsid w:val="0B3E4533"/>
    <w:rsid w:val="0B4B2D10"/>
    <w:rsid w:val="0B5375B9"/>
    <w:rsid w:val="0B995089"/>
    <w:rsid w:val="0BCE2B3D"/>
    <w:rsid w:val="0BFE6C9A"/>
    <w:rsid w:val="0C063863"/>
    <w:rsid w:val="0C1A00DD"/>
    <w:rsid w:val="0C211466"/>
    <w:rsid w:val="0C450D6C"/>
    <w:rsid w:val="0C5976C7"/>
    <w:rsid w:val="0C6C3599"/>
    <w:rsid w:val="0C6C62F9"/>
    <w:rsid w:val="0CB718B5"/>
    <w:rsid w:val="0D0316C4"/>
    <w:rsid w:val="0D215336"/>
    <w:rsid w:val="0D35689F"/>
    <w:rsid w:val="0D557999"/>
    <w:rsid w:val="0D790EFC"/>
    <w:rsid w:val="0D7A2E7E"/>
    <w:rsid w:val="0DC675D6"/>
    <w:rsid w:val="0DD26630"/>
    <w:rsid w:val="0DDA3736"/>
    <w:rsid w:val="0DE620DB"/>
    <w:rsid w:val="0DFF319D"/>
    <w:rsid w:val="0E2D0993"/>
    <w:rsid w:val="0E2F49DE"/>
    <w:rsid w:val="0E323572"/>
    <w:rsid w:val="0E416080"/>
    <w:rsid w:val="0E5938D0"/>
    <w:rsid w:val="0E967D56"/>
    <w:rsid w:val="0EBD454D"/>
    <w:rsid w:val="0EC848FA"/>
    <w:rsid w:val="0ED239BD"/>
    <w:rsid w:val="0ED566C3"/>
    <w:rsid w:val="0EDB59B8"/>
    <w:rsid w:val="0EDF7256"/>
    <w:rsid w:val="0F003628"/>
    <w:rsid w:val="0F347BC0"/>
    <w:rsid w:val="0F9A4F2B"/>
    <w:rsid w:val="0FC8009F"/>
    <w:rsid w:val="0FF459F3"/>
    <w:rsid w:val="101D4977"/>
    <w:rsid w:val="104C49B0"/>
    <w:rsid w:val="1050024D"/>
    <w:rsid w:val="10793EC0"/>
    <w:rsid w:val="108D6846"/>
    <w:rsid w:val="10981D16"/>
    <w:rsid w:val="10A01A9E"/>
    <w:rsid w:val="10B14C22"/>
    <w:rsid w:val="10B50053"/>
    <w:rsid w:val="10B80835"/>
    <w:rsid w:val="10EF0BED"/>
    <w:rsid w:val="10FC5772"/>
    <w:rsid w:val="111B6540"/>
    <w:rsid w:val="112B3518"/>
    <w:rsid w:val="11812847"/>
    <w:rsid w:val="118C11EC"/>
    <w:rsid w:val="118C5418"/>
    <w:rsid w:val="11BE2E6A"/>
    <w:rsid w:val="11C4173F"/>
    <w:rsid w:val="11C912BB"/>
    <w:rsid w:val="11CD68D0"/>
    <w:rsid w:val="11D15AD5"/>
    <w:rsid w:val="11DA4C45"/>
    <w:rsid w:val="11F7357F"/>
    <w:rsid w:val="1255782F"/>
    <w:rsid w:val="127410DF"/>
    <w:rsid w:val="128E0A51"/>
    <w:rsid w:val="128E26F8"/>
    <w:rsid w:val="12C15BBC"/>
    <w:rsid w:val="12F33D9C"/>
    <w:rsid w:val="131F4AA4"/>
    <w:rsid w:val="13557155"/>
    <w:rsid w:val="13623FB2"/>
    <w:rsid w:val="13677FBE"/>
    <w:rsid w:val="13706552"/>
    <w:rsid w:val="137379E5"/>
    <w:rsid w:val="137E6912"/>
    <w:rsid w:val="138008DC"/>
    <w:rsid w:val="13971974"/>
    <w:rsid w:val="13D37641"/>
    <w:rsid w:val="13E57ACD"/>
    <w:rsid w:val="13FF2163"/>
    <w:rsid w:val="14076FA7"/>
    <w:rsid w:val="14096B23"/>
    <w:rsid w:val="14226259"/>
    <w:rsid w:val="14250B6B"/>
    <w:rsid w:val="1425391A"/>
    <w:rsid w:val="145F4D99"/>
    <w:rsid w:val="149E7323"/>
    <w:rsid w:val="14B37C51"/>
    <w:rsid w:val="14C33176"/>
    <w:rsid w:val="14C8253B"/>
    <w:rsid w:val="14F275B8"/>
    <w:rsid w:val="154D66D9"/>
    <w:rsid w:val="157678E3"/>
    <w:rsid w:val="157E709D"/>
    <w:rsid w:val="15A32ED3"/>
    <w:rsid w:val="15BB3E4D"/>
    <w:rsid w:val="15F15F84"/>
    <w:rsid w:val="160457F4"/>
    <w:rsid w:val="16285F75"/>
    <w:rsid w:val="162E0AC3"/>
    <w:rsid w:val="16406583"/>
    <w:rsid w:val="16446468"/>
    <w:rsid w:val="167364D6"/>
    <w:rsid w:val="167C39AF"/>
    <w:rsid w:val="16A06BC0"/>
    <w:rsid w:val="16D358FE"/>
    <w:rsid w:val="16E1737D"/>
    <w:rsid w:val="170B2BB3"/>
    <w:rsid w:val="171C4DC0"/>
    <w:rsid w:val="17262A17"/>
    <w:rsid w:val="172A3039"/>
    <w:rsid w:val="173C0933"/>
    <w:rsid w:val="175C22CA"/>
    <w:rsid w:val="17681DB3"/>
    <w:rsid w:val="176D257A"/>
    <w:rsid w:val="176E373B"/>
    <w:rsid w:val="17793FC0"/>
    <w:rsid w:val="177B5EAF"/>
    <w:rsid w:val="1789530B"/>
    <w:rsid w:val="17B6768F"/>
    <w:rsid w:val="17B86896"/>
    <w:rsid w:val="182A0E16"/>
    <w:rsid w:val="18754787"/>
    <w:rsid w:val="18950986"/>
    <w:rsid w:val="18952734"/>
    <w:rsid w:val="18A37240"/>
    <w:rsid w:val="18B21538"/>
    <w:rsid w:val="18CC2B9A"/>
    <w:rsid w:val="18CD6489"/>
    <w:rsid w:val="18CF3F6C"/>
    <w:rsid w:val="19296DE1"/>
    <w:rsid w:val="19487371"/>
    <w:rsid w:val="19570331"/>
    <w:rsid w:val="195720DF"/>
    <w:rsid w:val="196A6FEC"/>
    <w:rsid w:val="197902A7"/>
    <w:rsid w:val="199E3297"/>
    <w:rsid w:val="19AB3A08"/>
    <w:rsid w:val="19AC7E28"/>
    <w:rsid w:val="19BD070A"/>
    <w:rsid w:val="19FF204F"/>
    <w:rsid w:val="1A1D365C"/>
    <w:rsid w:val="1A3021D6"/>
    <w:rsid w:val="1A303911"/>
    <w:rsid w:val="1A442663"/>
    <w:rsid w:val="1A5A1870"/>
    <w:rsid w:val="1A8707A2"/>
    <w:rsid w:val="1AA5515F"/>
    <w:rsid w:val="1AB44CB1"/>
    <w:rsid w:val="1AD32060"/>
    <w:rsid w:val="1B065B6B"/>
    <w:rsid w:val="1B0B3181"/>
    <w:rsid w:val="1B536678"/>
    <w:rsid w:val="1B773DB4"/>
    <w:rsid w:val="1B7754FA"/>
    <w:rsid w:val="1B8F3BEC"/>
    <w:rsid w:val="1B9969DF"/>
    <w:rsid w:val="1BAD1A9B"/>
    <w:rsid w:val="1BBE1FA1"/>
    <w:rsid w:val="1BD01CD5"/>
    <w:rsid w:val="1BD86A48"/>
    <w:rsid w:val="1BF305C5"/>
    <w:rsid w:val="1C200EAE"/>
    <w:rsid w:val="1C324319"/>
    <w:rsid w:val="1C3708E0"/>
    <w:rsid w:val="1D0C5576"/>
    <w:rsid w:val="1D134B7B"/>
    <w:rsid w:val="1D1502E7"/>
    <w:rsid w:val="1D197FAA"/>
    <w:rsid w:val="1D311589"/>
    <w:rsid w:val="1D3D5EE0"/>
    <w:rsid w:val="1D83241E"/>
    <w:rsid w:val="1DAD780A"/>
    <w:rsid w:val="1DEF7239"/>
    <w:rsid w:val="1DF443A0"/>
    <w:rsid w:val="1E110617"/>
    <w:rsid w:val="1E1E5F22"/>
    <w:rsid w:val="1E3921A5"/>
    <w:rsid w:val="1E3C6438"/>
    <w:rsid w:val="1E8860EC"/>
    <w:rsid w:val="1E892D3B"/>
    <w:rsid w:val="1E9E0F00"/>
    <w:rsid w:val="1EA062D6"/>
    <w:rsid w:val="1EBA3933"/>
    <w:rsid w:val="1EC32FCF"/>
    <w:rsid w:val="1ECF7228"/>
    <w:rsid w:val="1EFB52BB"/>
    <w:rsid w:val="1EFE2DBE"/>
    <w:rsid w:val="1F486752"/>
    <w:rsid w:val="1F577E11"/>
    <w:rsid w:val="1F656DA7"/>
    <w:rsid w:val="1F9B466D"/>
    <w:rsid w:val="1FC003D1"/>
    <w:rsid w:val="1FC07AC6"/>
    <w:rsid w:val="1FC551FE"/>
    <w:rsid w:val="1FCF6E73"/>
    <w:rsid w:val="1FE32671"/>
    <w:rsid w:val="1FE810E9"/>
    <w:rsid w:val="1FF16DE9"/>
    <w:rsid w:val="200E3A7E"/>
    <w:rsid w:val="20694393"/>
    <w:rsid w:val="206A094A"/>
    <w:rsid w:val="208C7C90"/>
    <w:rsid w:val="20DF3407"/>
    <w:rsid w:val="20FF5536"/>
    <w:rsid w:val="21095493"/>
    <w:rsid w:val="210D17E5"/>
    <w:rsid w:val="21121738"/>
    <w:rsid w:val="212F641C"/>
    <w:rsid w:val="213571AA"/>
    <w:rsid w:val="21496E4F"/>
    <w:rsid w:val="217C6913"/>
    <w:rsid w:val="218B45E3"/>
    <w:rsid w:val="21B20FBC"/>
    <w:rsid w:val="21E878C2"/>
    <w:rsid w:val="22266AF2"/>
    <w:rsid w:val="22357ABE"/>
    <w:rsid w:val="223E517A"/>
    <w:rsid w:val="22436453"/>
    <w:rsid w:val="226715E5"/>
    <w:rsid w:val="229936CE"/>
    <w:rsid w:val="22B04A83"/>
    <w:rsid w:val="22BA2936"/>
    <w:rsid w:val="23005595"/>
    <w:rsid w:val="23091DFE"/>
    <w:rsid w:val="23267C2C"/>
    <w:rsid w:val="236D6218"/>
    <w:rsid w:val="237357DC"/>
    <w:rsid w:val="2383244E"/>
    <w:rsid w:val="23A5103A"/>
    <w:rsid w:val="23C65A24"/>
    <w:rsid w:val="24646E5F"/>
    <w:rsid w:val="246851A0"/>
    <w:rsid w:val="24690A71"/>
    <w:rsid w:val="24704055"/>
    <w:rsid w:val="248531CC"/>
    <w:rsid w:val="248C3824"/>
    <w:rsid w:val="249A7745"/>
    <w:rsid w:val="24A25738"/>
    <w:rsid w:val="24CA3748"/>
    <w:rsid w:val="24EF141E"/>
    <w:rsid w:val="24FA2625"/>
    <w:rsid w:val="24FD5A7C"/>
    <w:rsid w:val="250E2B8B"/>
    <w:rsid w:val="251B3144"/>
    <w:rsid w:val="25251249"/>
    <w:rsid w:val="252F1CD4"/>
    <w:rsid w:val="253E01BB"/>
    <w:rsid w:val="254900F3"/>
    <w:rsid w:val="257302A1"/>
    <w:rsid w:val="257A162F"/>
    <w:rsid w:val="257F1DD0"/>
    <w:rsid w:val="258B6932"/>
    <w:rsid w:val="25A55F80"/>
    <w:rsid w:val="25D5255E"/>
    <w:rsid w:val="25F47FA8"/>
    <w:rsid w:val="25FB7AB8"/>
    <w:rsid w:val="25FC0296"/>
    <w:rsid w:val="26130CE1"/>
    <w:rsid w:val="26243349"/>
    <w:rsid w:val="26264AE4"/>
    <w:rsid w:val="263C416D"/>
    <w:rsid w:val="26442651"/>
    <w:rsid w:val="26C012C4"/>
    <w:rsid w:val="26C8461C"/>
    <w:rsid w:val="26CC1106"/>
    <w:rsid w:val="26CC79C4"/>
    <w:rsid w:val="27275F7C"/>
    <w:rsid w:val="27303806"/>
    <w:rsid w:val="27383550"/>
    <w:rsid w:val="2740315F"/>
    <w:rsid w:val="2741230C"/>
    <w:rsid w:val="275A1718"/>
    <w:rsid w:val="27A4002A"/>
    <w:rsid w:val="27A97FAA"/>
    <w:rsid w:val="27AC35F6"/>
    <w:rsid w:val="27BB7CDD"/>
    <w:rsid w:val="282B6C11"/>
    <w:rsid w:val="283C7070"/>
    <w:rsid w:val="28553C8E"/>
    <w:rsid w:val="28686379"/>
    <w:rsid w:val="288051AE"/>
    <w:rsid w:val="288307FB"/>
    <w:rsid w:val="2896196F"/>
    <w:rsid w:val="28A117D6"/>
    <w:rsid w:val="28A41ADE"/>
    <w:rsid w:val="28B57ABC"/>
    <w:rsid w:val="28B603C6"/>
    <w:rsid w:val="28C72DDD"/>
    <w:rsid w:val="28C91BFF"/>
    <w:rsid w:val="28CE363E"/>
    <w:rsid w:val="28D31337"/>
    <w:rsid w:val="28DF3F58"/>
    <w:rsid w:val="28FA4916"/>
    <w:rsid w:val="290F208E"/>
    <w:rsid w:val="2910178B"/>
    <w:rsid w:val="294268ED"/>
    <w:rsid w:val="295E17D5"/>
    <w:rsid w:val="298F1060"/>
    <w:rsid w:val="29A34776"/>
    <w:rsid w:val="29A529F3"/>
    <w:rsid w:val="29BF56FD"/>
    <w:rsid w:val="29C015DB"/>
    <w:rsid w:val="29F332BC"/>
    <w:rsid w:val="2A0B44D0"/>
    <w:rsid w:val="2A0E1951"/>
    <w:rsid w:val="2A306760"/>
    <w:rsid w:val="2A5266D7"/>
    <w:rsid w:val="2A527064"/>
    <w:rsid w:val="2A8E2F7B"/>
    <w:rsid w:val="2A905451"/>
    <w:rsid w:val="2A934AE6"/>
    <w:rsid w:val="2A9F71BF"/>
    <w:rsid w:val="2AA04C98"/>
    <w:rsid w:val="2AB643C4"/>
    <w:rsid w:val="2AD03ECE"/>
    <w:rsid w:val="2AD259CE"/>
    <w:rsid w:val="2B133171"/>
    <w:rsid w:val="2B597F39"/>
    <w:rsid w:val="2BA14770"/>
    <w:rsid w:val="2BE932ED"/>
    <w:rsid w:val="2C1A0E3F"/>
    <w:rsid w:val="2C3047F6"/>
    <w:rsid w:val="2C381DB1"/>
    <w:rsid w:val="2C457EF6"/>
    <w:rsid w:val="2C501141"/>
    <w:rsid w:val="2C6A684E"/>
    <w:rsid w:val="2C711907"/>
    <w:rsid w:val="2C802549"/>
    <w:rsid w:val="2C8D7CED"/>
    <w:rsid w:val="2CBC71CE"/>
    <w:rsid w:val="2CBC7947"/>
    <w:rsid w:val="2D196175"/>
    <w:rsid w:val="2D576BA6"/>
    <w:rsid w:val="2D592552"/>
    <w:rsid w:val="2D677A73"/>
    <w:rsid w:val="2D730862"/>
    <w:rsid w:val="2DA0009A"/>
    <w:rsid w:val="2DA3030A"/>
    <w:rsid w:val="2E1C7591"/>
    <w:rsid w:val="2E350548"/>
    <w:rsid w:val="2E627104"/>
    <w:rsid w:val="2E6966E5"/>
    <w:rsid w:val="2EA5029A"/>
    <w:rsid w:val="2EA96AE1"/>
    <w:rsid w:val="2EBD60B6"/>
    <w:rsid w:val="2ED41CCC"/>
    <w:rsid w:val="2EF550EC"/>
    <w:rsid w:val="2F325C88"/>
    <w:rsid w:val="2F3850AE"/>
    <w:rsid w:val="2F835584"/>
    <w:rsid w:val="2F971030"/>
    <w:rsid w:val="2FC507D9"/>
    <w:rsid w:val="30045885"/>
    <w:rsid w:val="307A6A38"/>
    <w:rsid w:val="307B121D"/>
    <w:rsid w:val="30BB3295"/>
    <w:rsid w:val="30D37F5D"/>
    <w:rsid w:val="30E87E4A"/>
    <w:rsid w:val="31396368"/>
    <w:rsid w:val="31462D0D"/>
    <w:rsid w:val="3166515D"/>
    <w:rsid w:val="31703EEE"/>
    <w:rsid w:val="31717D8A"/>
    <w:rsid w:val="31880C30"/>
    <w:rsid w:val="31C81974"/>
    <w:rsid w:val="31D43055"/>
    <w:rsid w:val="31E22A36"/>
    <w:rsid w:val="320343BC"/>
    <w:rsid w:val="3203475A"/>
    <w:rsid w:val="32046BBF"/>
    <w:rsid w:val="320F4EAD"/>
    <w:rsid w:val="32215B4A"/>
    <w:rsid w:val="32323A4D"/>
    <w:rsid w:val="323759CE"/>
    <w:rsid w:val="325F0DF7"/>
    <w:rsid w:val="3264169D"/>
    <w:rsid w:val="327D62BB"/>
    <w:rsid w:val="327F2033"/>
    <w:rsid w:val="32800679"/>
    <w:rsid w:val="328D0AC2"/>
    <w:rsid w:val="32911D66"/>
    <w:rsid w:val="32A45821"/>
    <w:rsid w:val="32A777DC"/>
    <w:rsid w:val="32C1739D"/>
    <w:rsid w:val="32C42FB4"/>
    <w:rsid w:val="32CE6B16"/>
    <w:rsid w:val="32FE55A7"/>
    <w:rsid w:val="331A1D5C"/>
    <w:rsid w:val="33705E1F"/>
    <w:rsid w:val="33753436"/>
    <w:rsid w:val="33772E96"/>
    <w:rsid w:val="338471AB"/>
    <w:rsid w:val="33880EEF"/>
    <w:rsid w:val="33B470BA"/>
    <w:rsid w:val="33B52C20"/>
    <w:rsid w:val="341A4C21"/>
    <w:rsid w:val="34645F9B"/>
    <w:rsid w:val="3492076E"/>
    <w:rsid w:val="34C86684"/>
    <w:rsid w:val="34DB0F65"/>
    <w:rsid w:val="34E6283D"/>
    <w:rsid w:val="35064C8D"/>
    <w:rsid w:val="350D21DB"/>
    <w:rsid w:val="35101FD2"/>
    <w:rsid w:val="355015E8"/>
    <w:rsid w:val="35505F08"/>
    <w:rsid w:val="357C22BA"/>
    <w:rsid w:val="357C4B76"/>
    <w:rsid w:val="35A324DC"/>
    <w:rsid w:val="35A42634"/>
    <w:rsid w:val="35C30488"/>
    <w:rsid w:val="35D452FA"/>
    <w:rsid w:val="35DD4A4C"/>
    <w:rsid w:val="35E202DB"/>
    <w:rsid w:val="361E7DB5"/>
    <w:rsid w:val="363F0056"/>
    <w:rsid w:val="365376F1"/>
    <w:rsid w:val="366A124C"/>
    <w:rsid w:val="366B0188"/>
    <w:rsid w:val="368C16AA"/>
    <w:rsid w:val="3690716D"/>
    <w:rsid w:val="36BF327A"/>
    <w:rsid w:val="36CF7301"/>
    <w:rsid w:val="373D469D"/>
    <w:rsid w:val="375508DB"/>
    <w:rsid w:val="375A4E1C"/>
    <w:rsid w:val="3781684D"/>
    <w:rsid w:val="37914BC2"/>
    <w:rsid w:val="37AD5E7C"/>
    <w:rsid w:val="37D22BEC"/>
    <w:rsid w:val="37F20E26"/>
    <w:rsid w:val="38194D73"/>
    <w:rsid w:val="381B3A34"/>
    <w:rsid w:val="382D3AB0"/>
    <w:rsid w:val="383438BF"/>
    <w:rsid w:val="383F0F55"/>
    <w:rsid w:val="384973F4"/>
    <w:rsid w:val="386D27BD"/>
    <w:rsid w:val="387C4AC7"/>
    <w:rsid w:val="38C369F1"/>
    <w:rsid w:val="38C8225A"/>
    <w:rsid w:val="38E5105E"/>
    <w:rsid w:val="390866F2"/>
    <w:rsid w:val="391B58DE"/>
    <w:rsid w:val="391E49D6"/>
    <w:rsid w:val="392343BE"/>
    <w:rsid w:val="393726B5"/>
    <w:rsid w:val="393C11B7"/>
    <w:rsid w:val="394B509F"/>
    <w:rsid w:val="394E2BF6"/>
    <w:rsid w:val="39621D38"/>
    <w:rsid w:val="39663F4D"/>
    <w:rsid w:val="39691347"/>
    <w:rsid w:val="399B2B26"/>
    <w:rsid w:val="39A14F85"/>
    <w:rsid w:val="39BA08EC"/>
    <w:rsid w:val="39DB7619"/>
    <w:rsid w:val="39F32DDC"/>
    <w:rsid w:val="3A0175C9"/>
    <w:rsid w:val="3A055438"/>
    <w:rsid w:val="3A0B7D70"/>
    <w:rsid w:val="3A1F7EB9"/>
    <w:rsid w:val="3A232BF1"/>
    <w:rsid w:val="3A2A2B18"/>
    <w:rsid w:val="3A472903"/>
    <w:rsid w:val="3A491E52"/>
    <w:rsid w:val="3A6C5593"/>
    <w:rsid w:val="3A7D6499"/>
    <w:rsid w:val="3A8A7DD9"/>
    <w:rsid w:val="3AB9343E"/>
    <w:rsid w:val="3AC422B6"/>
    <w:rsid w:val="3AD82C28"/>
    <w:rsid w:val="3AD93E04"/>
    <w:rsid w:val="3ADC3D9A"/>
    <w:rsid w:val="3B2D2C73"/>
    <w:rsid w:val="3B754182"/>
    <w:rsid w:val="3BBA6224"/>
    <w:rsid w:val="3BE13D5E"/>
    <w:rsid w:val="3C08758F"/>
    <w:rsid w:val="3C291261"/>
    <w:rsid w:val="3C48005A"/>
    <w:rsid w:val="3C5C6A5C"/>
    <w:rsid w:val="3C601127"/>
    <w:rsid w:val="3C691344"/>
    <w:rsid w:val="3C6D5BB8"/>
    <w:rsid w:val="3C7921E9"/>
    <w:rsid w:val="3CC16572"/>
    <w:rsid w:val="3CC8312E"/>
    <w:rsid w:val="3CF67259"/>
    <w:rsid w:val="3D0146AB"/>
    <w:rsid w:val="3D031A94"/>
    <w:rsid w:val="3D0C6BB9"/>
    <w:rsid w:val="3D233F03"/>
    <w:rsid w:val="3D314871"/>
    <w:rsid w:val="3D5E726D"/>
    <w:rsid w:val="3D60032A"/>
    <w:rsid w:val="3D9C6243"/>
    <w:rsid w:val="3DA60DBB"/>
    <w:rsid w:val="3DA67D06"/>
    <w:rsid w:val="3DB070CE"/>
    <w:rsid w:val="3DB8289D"/>
    <w:rsid w:val="3DDA0A65"/>
    <w:rsid w:val="3DEA7F36"/>
    <w:rsid w:val="3E0103E7"/>
    <w:rsid w:val="3E04219D"/>
    <w:rsid w:val="3E112948"/>
    <w:rsid w:val="3E1751CE"/>
    <w:rsid w:val="3E1F12B0"/>
    <w:rsid w:val="3E2219F5"/>
    <w:rsid w:val="3E2E2B5F"/>
    <w:rsid w:val="3E304CDE"/>
    <w:rsid w:val="3E68434F"/>
    <w:rsid w:val="3E785CB5"/>
    <w:rsid w:val="3E7B53CD"/>
    <w:rsid w:val="3EA23693"/>
    <w:rsid w:val="3EB47508"/>
    <w:rsid w:val="3EC14F5E"/>
    <w:rsid w:val="3EDA5C3F"/>
    <w:rsid w:val="3EE17CB8"/>
    <w:rsid w:val="3EF51FB7"/>
    <w:rsid w:val="3F1306FF"/>
    <w:rsid w:val="3F185650"/>
    <w:rsid w:val="3F3D74FE"/>
    <w:rsid w:val="3F5C6563"/>
    <w:rsid w:val="3F6658BE"/>
    <w:rsid w:val="3F6E5909"/>
    <w:rsid w:val="3F732F1F"/>
    <w:rsid w:val="3F8B4DCB"/>
    <w:rsid w:val="3F8F585D"/>
    <w:rsid w:val="3F943D1B"/>
    <w:rsid w:val="3FA02DBC"/>
    <w:rsid w:val="3FA53551"/>
    <w:rsid w:val="3FB377C0"/>
    <w:rsid w:val="3FE924AB"/>
    <w:rsid w:val="3FF57B93"/>
    <w:rsid w:val="400A234C"/>
    <w:rsid w:val="400D2DE3"/>
    <w:rsid w:val="4016635C"/>
    <w:rsid w:val="40203834"/>
    <w:rsid w:val="40307E9A"/>
    <w:rsid w:val="403D1DDC"/>
    <w:rsid w:val="407231D7"/>
    <w:rsid w:val="4093731B"/>
    <w:rsid w:val="40BC6B48"/>
    <w:rsid w:val="40D23719"/>
    <w:rsid w:val="40E30222"/>
    <w:rsid w:val="40E83FE1"/>
    <w:rsid w:val="40FA31CC"/>
    <w:rsid w:val="410C4458"/>
    <w:rsid w:val="410D4CAE"/>
    <w:rsid w:val="413D55B0"/>
    <w:rsid w:val="41434CD3"/>
    <w:rsid w:val="416D0BAF"/>
    <w:rsid w:val="41807B75"/>
    <w:rsid w:val="41822A2D"/>
    <w:rsid w:val="41960681"/>
    <w:rsid w:val="419F13B9"/>
    <w:rsid w:val="41B0357E"/>
    <w:rsid w:val="41B45A71"/>
    <w:rsid w:val="41C6542E"/>
    <w:rsid w:val="41DC3051"/>
    <w:rsid w:val="41F1543D"/>
    <w:rsid w:val="428B2CBA"/>
    <w:rsid w:val="428E0A7D"/>
    <w:rsid w:val="42A67168"/>
    <w:rsid w:val="431C7B37"/>
    <w:rsid w:val="431D7DF7"/>
    <w:rsid w:val="432A79A3"/>
    <w:rsid w:val="43305B7C"/>
    <w:rsid w:val="43417218"/>
    <w:rsid w:val="43526EC5"/>
    <w:rsid w:val="435B4E76"/>
    <w:rsid w:val="43702C5B"/>
    <w:rsid w:val="43A6084D"/>
    <w:rsid w:val="43AB6ABC"/>
    <w:rsid w:val="43B27D8E"/>
    <w:rsid w:val="43CC5F8B"/>
    <w:rsid w:val="43F36892"/>
    <w:rsid w:val="43F860E9"/>
    <w:rsid w:val="44143569"/>
    <w:rsid w:val="442567B2"/>
    <w:rsid w:val="442878AA"/>
    <w:rsid w:val="44817CB0"/>
    <w:rsid w:val="448E6DB8"/>
    <w:rsid w:val="44DF2E05"/>
    <w:rsid w:val="44EE26CA"/>
    <w:rsid w:val="44FB0820"/>
    <w:rsid w:val="44FF65D0"/>
    <w:rsid w:val="452B117E"/>
    <w:rsid w:val="454D07BA"/>
    <w:rsid w:val="45680CEB"/>
    <w:rsid w:val="457823F7"/>
    <w:rsid w:val="45976B09"/>
    <w:rsid w:val="459A61E7"/>
    <w:rsid w:val="45CA13BF"/>
    <w:rsid w:val="464F2553"/>
    <w:rsid w:val="46594243"/>
    <w:rsid w:val="465D66D7"/>
    <w:rsid w:val="46A43729"/>
    <w:rsid w:val="46CA191C"/>
    <w:rsid w:val="46CE51A3"/>
    <w:rsid w:val="47351061"/>
    <w:rsid w:val="47511E6C"/>
    <w:rsid w:val="47625724"/>
    <w:rsid w:val="476B6BD2"/>
    <w:rsid w:val="478B5D38"/>
    <w:rsid w:val="479E48B1"/>
    <w:rsid w:val="47A65E5C"/>
    <w:rsid w:val="47A74968"/>
    <w:rsid w:val="47B86FB2"/>
    <w:rsid w:val="47C512BC"/>
    <w:rsid w:val="47D44777"/>
    <w:rsid w:val="480506E4"/>
    <w:rsid w:val="48075044"/>
    <w:rsid w:val="481201FA"/>
    <w:rsid w:val="482371C6"/>
    <w:rsid w:val="483A4048"/>
    <w:rsid w:val="48487B87"/>
    <w:rsid w:val="484B06FC"/>
    <w:rsid w:val="48524340"/>
    <w:rsid w:val="48710218"/>
    <w:rsid w:val="48721043"/>
    <w:rsid w:val="48B335CE"/>
    <w:rsid w:val="48D569F9"/>
    <w:rsid w:val="49197167"/>
    <w:rsid w:val="491D12AA"/>
    <w:rsid w:val="49282FCC"/>
    <w:rsid w:val="49297731"/>
    <w:rsid w:val="49380A58"/>
    <w:rsid w:val="49423962"/>
    <w:rsid w:val="49951CE4"/>
    <w:rsid w:val="49A07EED"/>
    <w:rsid w:val="49A255F3"/>
    <w:rsid w:val="49AD4EFF"/>
    <w:rsid w:val="49AF0FF8"/>
    <w:rsid w:val="49BD2E50"/>
    <w:rsid w:val="49CA5C34"/>
    <w:rsid w:val="4A0307A1"/>
    <w:rsid w:val="4A391C17"/>
    <w:rsid w:val="4A3A576B"/>
    <w:rsid w:val="4A91694F"/>
    <w:rsid w:val="4A9257A1"/>
    <w:rsid w:val="4AA65B36"/>
    <w:rsid w:val="4AA93C99"/>
    <w:rsid w:val="4AB76303"/>
    <w:rsid w:val="4AE06F51"/>
    <w:rsid w:val="4AF63FE5"/>
    <w:rsid w:val="4B111174"/>
    <w:rsid w:val="4B180E1F"/>
    <w:rsid w:val="4B313AC2"/>
    <w:rsid w:val="4B313C8F"/>
    <w:rsid w:val="4B4B2FA2"/>
    <w:rsid w:val="4B7B407F"/>
    <w:rsid w:val="4B7D2A7E"/>
    <w:rsid w:val="4BB70638"/>
    <w:rsid w:val="4BB943B0"/>
    <w:rsid w:val="4BCF4CF7"/>
    <w:rsid w:val="4BE3142D"/>
    <w:rsid w:val="4BF313AD"/>
    <w:rsid w:val="4C596707"/>
    <w:rsid w:val="4C5A4769"/>
    <w:rsid w:val="4C6B5F7E"/>
    <w:rsid w:val="4C78555F"/>
    <w:rsid w:val="4C8D2994"/>
    <w:rsid w:val="4CA6423D"/>
    <w:rsid w:val="4CAE4E71"/>
    <w:rsid w:val="4CAF22A0"/>
    <w:rsid w:val="4CC528E0"/>
    <w:rsid w:val="4CF37A6E"/>
    <w:rsid w:val="4CFB1AA9"/>
    <w:rsid w:val="4D061187"/>
    <w:rsid w:val="4D2362C4"/>
    <w:rsid w:val="4D496A60"/>
    <w:rsid w:val="4D7E1318"/>
    <w:rsid w:val="4D9D13AC"/>
    <w:rsid w:val="4DBE5CAD"/>
    <w:rsid w:val="4DCE1C69"/>
    <w:rsid w:val="4DDA6DAB"/>
    <w:rsid w:val="4DFC7F38"/>
    <w:rsid w:val="4E005311"/>
    <w:rsid w:val="4E125FF9"/>
    <w:rsid w:val="4E2022AF"/>
    <w:rsid w:val="4E4279C8"/>
    <w:rsid w:val="4E766588"/>
    <w:rsid w:val="4E953FA2"/>
    <w:rsid w:val="4E9D78C9"/>
    <w:rsid w:val="4E9E788D"/>
    <w:rsid w:val="4EB64BD7"/>
    <w:rsid w:val="4EB66833"/>
    <w:rsid w:val="4EBA567C"/>
    <w:rsid w:val="4EC372F3"/>
    <w:rsid w:val="4F0771E0"/>
    <w:rsid w:val="4F0C734F"/>
    <w:rsid w:val="4F182285"/>
    <w:rsid w:val="4F343D4D"/>
    <w:rsid w:val="4F372EF6"/>
    <w:rsid w:val="4F71350D"/>
    <w:rsid w:val="4FAA7826"/>
    <w:rsid w:val="4FC41575"/>
    <w:rsid w:val="4FCC257F"/>
    <w:rsid w:val="4FD277EE"/>
    <w:rsid w:val="50167546"/>
    <w:rsid w:val="503362B4"/>
    <w:rsid w:val="50341134"/>
    <w:rsid w:val="50597F0F"/>
    <w:rsid w:val="50997485"/>
    <w:rsid w:val="50CA0A51"/>
    <w:rsid w:val="50D8127C"/>
    <w:rsid w:val="50DE6FA3"/>
    <w:rsid w:val="50E365B7"/>
    <w:rsid w:val="50E44D44"/>
    <w:rsid w:val="50F034FD"/>
    <w:rsid w:val="50F97139"/>
    <w:rsid w:val="51166987"/>
    <w:rsid w:val="512C2F2E"/>
    <w:rsid w:val="5184720E"/>
    <w:rsid w:val="51CE443E"/>
    <w:rsid w:val="522930DC"/>
    <w:rsid w:val="522F4945"/>
    <w:rsid w:val="5245699D"/>
    <w:rsid w:val="525249CF"/>
    <w:rsid w:val="525E180D"/>
    <w:rsid w:val="52734B8D"/>
    <w:rsid w:val="527C1FF7"/>
    <w:rsid w:val="52A7134F"/>
    <w:rsid w:val="52AF6ACA"/>
    <w:rsid w:val="52C42AF5"/>
    <w:rsid w:val="52D74CB9"/>
    <w:rsid w:val="52F35702"/>
    <w:rsid w:val="52FD1516"/>
    <w:rsid w:val="53285FDB"/>
    <w:rsid w:val="53315E9D"/>
    <w:rsid w:val="5334431C"/>
    <w:rsid w:val="53364538"/>
    <w:rsid w:val="53373BA6"/>
    <w:rsid w:val="533F1BB2"/>
    <w:rsid w:val="534F1156"/>
    <w:rsid w:val="53634C56"/>
    <w:rsid w:val="536F4BB4"/>
    <w:rsid w:val="538D538A"/>
    <w:rsid w:val="53953E9A"/>
    <w:rsid w:val="539F032F"/>
    <w:rsid w:val="53D72ED1"/>
    <w:rsid w:val="541933F3"/>
    <w:rsid w:val="541A79B6"/>
    <w:rsid w:val="541C5D98"/>
    <w:rsid w:val="543C5B7E"/>
    <w:rsid w:val="54404F95"/>
    <w:rsid w:val="54482775"/>
    <w:rsid w:val="545A7756"/>
    <w:rsid w:val="546926EB"/>
    <w:rsid w:val="548D63DA"/>
    <w:rsid w:val="54D81AA5"/>
    <w:rsid w:val="54FA4DAE"/>
    <w:rsid w:val="54FC2E74"/>
    <w:rsid w:val="55251628"/>
    <w:rsid w:val="552E728A"/>
    <w:rsid w:val="554247F4"/>
    <w:rsid w:val="556619E9"/>
    <w:rsid w:val="55750581"/>
    <w:rsid w:val="55C53951"/>
    <w:rsid w:val="55F37A70"/>
    <w:rsid w:val="564A1454"/>
    <w:rsid w:val="566551B1"/>
    <w:rsid w:val="569552AE"/>
    <w:rsid w:val="56996C69"/>
    <w:rsid w:val="569E03DD"/>
    <w:rsid w:val="56A25910"/>
    <w:rsid w:val="56D54347"/>
    <w:rsid w:val="56E115C3"/>
    <w:rsid w:val="56F4057A"/>
    <w:rsid w:val="5736038E"/>
    <w:rsid w:val="57454D4A"/>
    <w:rsid w:val="574B60D8"/>
    <w:rsid w:val="578F79EE"/>
    <w:rsid w:val="57A64695"/>
    <w:rsid w:val="57A731FB"/>
    <w:rsid w:val="57C85EC1"/>
    <w:rsid w:val="57C943F0"/>
    <w:rsid w:val="57CF51E1"/>
    <w:rsid w:val="57E80FEC"/>
    <w:rsid w:val="57F760AF"/>
    <w:rsid w:val="58095C74"/>
    <w:rsid w:val="58171E14"/>
    <w:rsid w:val="58184AB9"/>
    <w:rsid w:val="58305506"/>
    <w:rsid w:val="586C6306"/>
    <w:rsid w:val="589942FF"/>
    <w:rsid w:val="58BE1257"/>
    <w:rsid w:val="58C15EA3"/>
    <w:rsid w:val="58C623F4"/>
    <w:rsid w:val="58E32A6C"/>
    <w:rsid w:val="59007E68"/>
    <w:rsid w:val="59466FF0"/>
    <w:rsid w:val="59554156"/>
    <w:rsid w:val="59847060"/>
    <w:rsid w:val="59C22414"/>
    <w:rsid w:val="59FE1397"/>
    <w:rsid w:val="5A162382"/>
    <w:rsid w:val="5A4C2893"/>
    <w:rsid w:val="5A5D6854"/>
    <w:rsid w:val="5A690A56"/>
    <w:rsid w:val="5A773F56"/>
    <w:rsid w:val="5A895D8A"/>
    <w:rsid w:val="5AA30202"/>
    <w:rsid w:val="5AA7739B"/>
    <w:rsid w:val="5AC24903"/>
    <w:rsid w:val="5ADC3952"/>
    <w:rsid w:val="5AF80325"/>
    <w:rsid w:val="5AFA22EF"/>
    <w:rsid w:val="5B1222A2"/>
    <w:rsid w:val="5B2566EB"/>
    <w:rsid w:val="5B2D6AF3"/>
    <w:rsid w:val="5B323837"/>
    <w:rsid w:val="5B434D37"/>
    <w:rsid w:val="5B4F0260"/>
    <w:rsid w:val="5B99464A"/>
    <w:rsid w:val="5BBA1592"/>
    <w:rsid w:val="5BBE156E"/>
    <w:rsid w:val="5BC83538"/>
    <w:rsid w:val="5BE70AC5"/>
    <w:rsid w:val="5BEC5B75"/>
    <w:rsid w:val="5BED7A53"/>
    <w:rsid w:val="5BEF091F"/>
    <w:rsid w:val="5C0F0B93"/>
    <w:rsid w:val="5C7165E1"/>
    <w:rsid w:val="5C8433E2"/>
    <w:rsid w:val="5C8C71A2"/>
    <w:rsid w:val="5CC91F79"/>
    <w:rsid w:val="5CDC7EFE"/>
    <w:rsid w:val="5CE6531F"/>
    <w:rsid w:val="5CFA4828"/>
    <w:rsid w:val="5D961054"/>
    <w:rsid w:val="5D96721D"/>
    <w:rsid w:val="5DAB7081"/>
    <w:rsid w:val="5DB466C0"/>
    <w:rsid w:val="5DB62BEA"/>
    <w:rsid w:val="5DBE4ED2"/>
    <w:rsid w:val="5DCE024E"/>
    <w:rsid w:val="5DD605FF"/>
    <w:rsid w:val="5DDD2180"/>
    <w:rsid w:val="5DE71D52"/>
    <w:rsid w:val="5DFA76CB"/>
    <w:rsid w:val="5DFB0858"/>
    <w:rsid w:val="5E227684"/>
    <w:rsid w:val="5E353DB6"/>
    <w:rsid w:val="5E3E24F3"/>
    <w:rsid w:val="5E5403C9"/>
    <w:rsid w:val="5E5B30A5"/>
    <w:rsid w:val="5E8B0989"/>
    <w:rsid w:val="5E99092A"/>
    <w:rsid w:val="5EC57149"/>
    <w:rsid w:val="5EE27322"/>
    <w:rsid w:val="5EEC10EE"/>
    <w:rsid w:val="5F074FDA"/>
    <w:rsid w:val="5F2D4BE2"/>
    <w:rsid w:val="5F3202A9"/>
    <w:rsid w:val="5F681F1D"/>
    <w:rsid w:val="5FA17B0B"/>
    <w:rsid w:val="5FB171AF"/>
    <w:rsid w:val="5FB77972"/>
    <w:rsid w:val="5FC1162D"/>
    <w:rsid w:val="5FCD7FD2"/>
    <w:rsid w:val="5FD107C0"/>
    <w:rsid w:val="5FDC2140"/>
    <w:rsid w:val="5FF41558"/>
    <w:rsid w:val="5FF512DA"/>
    <w:rsid w:val="60002561"/>
    <w:rsid w:val="60092EC5"/>
    <w:rsid w:val="600D6135"/>
    <w:rsid w:val="601C4FBB"/>
    <w:rsid w:val="603E4E92"/>
    <w:rsid w:val="604828E9"/>
    <w:rsid w:val="608E00BE"/>
    <w:rsid w:val="60AF2018"/>
    <w:rsid w:val="60C07B37"/>
    <w:rsid w:val="60CC7C75"/>
    <w:rsid w:val="60DA145C"/>
    <w:rsid w:val="60F81756"/>
    <w:rsid w:val="611D5F18"/>
    <w:rsid w:val="61262D1D"/>
    <w:rsid w:val="61355094"/>
    <w:rsid w:val="61412A26"/>
    <w:rsid w:val="615C33BC"/>
    <w:rsid w:val="61887B84"/>
    <w:rsid w:val="6192502F"/>
    <w:rsid w:val="61D90EB0"/>
    <w:rsid w:val="61DE2022"/>
    <w:rsid w:val="6211064A"/>
    <w:rsid w:val="622D3B93"/>
    <w:rsid w:val="62312A9A"/>
    <w:rsid w:val="62571DD5"/>
    <w:rsid w:val="62745919"/>
    <w:rsid w:val="627D5CDF"/>
    <w:rsid w:val="62882281"/>
    <w:rsid w:val="628A2684"/>
    <w:rsid w:val="629061C2"/>
    <w:rsid w:val="62CE02E9"/>
    <w:rsid w:val="62E21FE6"/>
    <w:rsid w:val="62E93375"/>
    <w:rsid w:val="62EF63E6"/>
    <w:rsid w:val="633B1BF7"/>
    <w:rsid w:val="633D5887"/>
    <w:rsid w:val="634D73B8"/>
    <w:rsid w:val="635F53E5"/>
    <w:rsid w:val="63660A46"/>
    <w:rsid w:val="639130C5"/>
    <w:rsid w:val="63B45B93"/>
    <w:rsid w:val="63B5579F"/>
    <w:rsid w:val="63D556A7"/>
    <w:rsid w:val="63DC4C88"/>
    <w:rsid w:val="63E05ED2"/>
    <w:rsid w:val="63E85BB7"/>
    <w:rsid w:val="64055F8C"/>
    <w:rsid w:val="640C3BFD"/>
    <w:rsid w:val="64482DD2"/>
    <w:rsid w:val="64517412"/>
    <w:rsid w:val="64707239"/>
    <w:rsid w:val="6489237D"/>
    <w:rsid w:val="64AA280D"/>
    <w:rsid w:val="64AF7285"/>
    <w:rsid w:val="64B259E8"/>
    <w:rsid w:val="64CB331D"/>
    <w:rsid w:val="64E23358"/>
    <w:rsid w:val="64F12533"/>
    <w:rsid w:val="6532174F"/>
    <w:rsid w:val="6548623C"/>
    <w:rsid w:val="655D3BA6"/>
    <w:rsid w:val="65666CFE"/>
    <w:rsid w:val="658729D1"/>
    <w:rsid w:val="658F011F"/>
    <w:rsid w:val="65DE1645"/>
    <w:rsid w:val="65DE2EE3"/>
    <w:rsid w:val="66160DDB"/>
    <w:rsid w:val="6622578F"/>
    <w:rsid w:val="66256A09"/>
    <w:rsid w:val="66391F1D"/>
    <w:rsid w:val="665751A3"/>
    <w:rsid w:val="66630D48"/>
    <w:rsid w:val="66E55400"/>
    <w:rsid w:val="66F2475B"/>
    <w:rsid w:val="670718A6"/>
    <w:rsid w:val="671158DA"/>
    <w:rsid w:val="67194A9A"/>
    <w:rsid w:val="671D1AA0"/>
    <w:rsid w:val="672273D3"/>
    <w:rsid w:val="672E506D"/>
    <w:rsid w:val="67353D46"/>
    <w:rsid w:val="678E728A"/>
    <w:rsid w:val="679230DC"/>
    <w:rsid w:val="67A26F35"/>
    <w:rsid w:val="67B023C7"/>
    <w:rsid w:val="67F36AA6"/>
    <w:rsid w:val="67F91949"/>
    <w:rsid w:val="67FB6CA3"/>
    <w:rsid w:val="67FB7C60"/>
    <w:rsid w:val="68000819"/>
    <w:rsid w:val="686D3E0B"/>
    <w:rsid w:val="687731C1"/>
    <w:rsid w:val="68BB130F"/>
    <w:rsid w:val="68C857DA"/>
    <w:rsid w:val="68F51067"/>
    <w:rsid w:val="69252C2D"/>
    <w:rsid w:val="692C5D69"/>
    <w:rsid w:val="6933091D"/>
    <w:rsid w:val="69A255F9"/>
    <w:rsid w:val="69CF5776"/>
    <w:rsid w:val="69E83D91"/>
    <w:rsid w:val="69FC1894"/>
    <w:rsid w:val="69FE0812"/>
    <w:rsid w:val="6A047E6A"/>
    <w:rsid w:val="6A200A15"/>
    <w:rsid w:val="6A2A3A3D"/>
    <w:rsid w:val="6A2B5A61"/>
    <w:rsid w:val="6A6E37B1"/>
    <w:rsid w:val="6A800E76"/>
    <w:rsid w:val="6AB9362D"/>
    <w:rsid w:val="6ADD14DF"/>
    <w:rsid w:val="6AFD6D86"/>
    <w:rsid w:val="6B286208"/>
    <w:rsid w:val="6B33284D"/>
    <w:rsid w:val="6B841E8D"/>
    <w:rsid w:val="6BA50055"/>
    <w:rsid w:val="6BD373AD"/>
    <w:rsid w:val="6BE20037"/>
    <w:rsid w:val="6BE9737A"/>
    <w:rsid w:val="6BF863D7"/>
    <w:rsid w:val="6C1825D5"/>
    <w:rsid w:val="6C423AF6"/>
    <w:rsid w:val="6C5775A1"/>
    <w:rsid w:val="6C726189"/>
    <w:rsid w:val="6C7D1EA3"/>
    <w:rsid w:val="6C9A123C"/>
    <w:rsid w:val="6C9E46F2"/>
    <w:rsid w:val="6CBE13CE"/>
    <w:rsid w:val="6D064B23"/>
    <w:rsid w:val="6D104FF0"/>
    <w:rsid w:val="6D2B48F0"/>
    <w:rsid w:val="6D2E5262"/>
    <w:rsid w:val="6D782E38"/>
    <w:rsid w:val="6DBF077F"/>
    <w:rsid w:val="6DC312DB"/>
    <w:rsid w:val="6DC42C23"/>
    <w:rsid w:val="6E090942"/>
    <w:rsid w:val="6E227659"/>
    <w:rsid w:val="6E315278"/>
    <w:rsid w:val="6E4F3FA8"/>
    <w:rsid w:val="6E5D69C5"/>
    <w:rsid w:val="6EA619DB"/>
    <w:rsid w:val="6EB1360D"/>
    <w:rsid w:val="6ED547AD"/>
    <w:rsid w:val="6EEA46FD"/>
    <w:rsid w:val="6F194782"/>
    <w:rsid w:val="6F197B27"/>
    <w:rsid w:val="6F282B2F"/>
    <w:rsid w:val="6F67284A"/>
    <w:rsid w:val="6F763AAD"/>
    <w:rsid w:val="6F8A5598"/>
    <w:rsid w:val="6F975F07"/>
    <w:rsid w:val="6FDA1CCC"/>
    <w:rsid w:val="6FEA110A"/>
    <w:rsid w:val="6FED5B27"/>
    <w:rsid w:val="701D18D3"/>
    <w:rsid w:val="70227EC6"/>
    <w:rsid w:val="70270E2B"/>
    <w:rsid w:val="702F4391"/>
    <w:rsid w:val="7062714A"/>
    <w:rsid w:val="70A121F1"/>
    <w:rsid w:val="70AD73F2"/>
    <w:rsid w:val="70F771AB"/>
    <w:rsid w:val="711C2058"/>
    <w:rsid w:val="711F5929"/>
    <w:rsid w:val="71326055"/>
    <w:rsid w:val="71367258"/>
    <w:rsid w:val="71744751"/>
    <w:rsid w:val="71807876"/>
    <w:rsid w:val="71840874"/>
    <w:rsid w:val="71867FE1"/>
    <w:rsid w:val="71897008"/>
    <w:rsid w:val="719B73D9"/>
    <w:rsid w:val="71C10866"/>
    <w:rsid w:val="71FB629D"/>
    <w:rsid w:val="720E45A6"/>
    <w:rsid w:val="723D4B43"/>
    <w:rsid w:val="72473C14"/>
    <w:rsid w:val="724E4528"/>
    <w:rsid w:val="726B070E"/>
    <w:rsid w:val="726B5B54"/>
    <w:rsid w:val="72807126"/>
    <w:rsid w:val="72AC7F1B"/>
    <w:rsid w:val="72CD025F"/>
    <w:rsid w:val="72E77F23"/>
    <w:rsid w:val="731358A4"/>
    <w:rsid w:val="734972AD"/>
    <w:rsid w:val="735E7467"/>
    <w:rsid w:val="73632232"/>
    <w:rsid w:val="73726199"/>
    <w:rsid w:val="738A5E33"/>
    <w:rsid w:val="738C31E3"/>
    <w:rsid w:val="73AF381F"/>
    <w:rsid w:val="73DE54F2"/>
    <w:rsid w:val="73E831D5"/>
    <w:rsid w:val="73FE47A6"/>
    <w:rsid w:val="740351D7"/>
    <w:rsid w:val="74040C06"/>
    <w:rsid w:val="74046346"/>
    <w:rsid w:val="7443040B"/>
    <w:rsid w:val="7443320F"/>
    <w:rsid w:val="745A4C9C"/>
    <w:rsid w:val="745B4B48"/>
    <w:rsid w:val="748A1881"/>
    <w:rsid w:val="74B15375"/>
    <w:rsid w:val="74C32FC7"/>
    <w:rsid w:val="74CB28DA"/>
    <w:rsid w:val="74F70269"/>
    <w:rsid w:val="7511101A"/>
    <w:rsid w:val="75220020"/>
    <w:rsid w:val="754548E7"/>
    <w:rsid w:val="757649DB"/>
    <w:rsid w:val="75B26CAA"/>
    <w:rsid w:val="75B320F2"/>
    <w:rsid w:val="75C4172D"/>
    <w:rsid w:val="75D022F6"/>
    <w:rsid w:val="75DE7C53"/>
    <w:rsid w:val="75FC2F67"/>
    <w:rsid w:val="76053BCA"/>
    <w:rsid w:val="7617511F"/>
    <w:rsid w:val="762439B5"/>
    <w:rsid w:val="76281940"/>
    <w:rsid w:val="762823CA"/>
    <w:rsid w:val="7636061C"/>
    <w:rsid w:val="76370FB6"/>
    <w:rsid w:val="765B457B"/>
    <w:rsid w:val="766C0F95"/>
    <w:rsid w:val="76912D50"/>
    <w:rsid w:val="76A445BA"/>
    <w:rsid w:val="76A7208A"/>
    <w:rsid w:val="76FC5FED"/>
    <w:rsid w:val="770519A8"/>
    <w:rsid w:val="771147F0"/>
    <w:rsid w:val="7721047C"/>
    <w:rsid w:val="776F2007"/>
    <w:rsid w:val="77C048CC"/>
    <w:rsid w:val="77CD0F1C"/>
    <w:rsid w:val="77D47CF8"/>
    <w:rsid w:val="77E15F71"/>
    <w:rsid w:val="77EB3191"/>
    <w:rsid w:val="77F04406"/>
    <w:rsid w:val="77F42148"/>
    <w:rsid w:val="77F55EC0"/>
    <w:rsid w:val="78142B9B"/>
    <w:rsid w:val="783E60B0"/>
    <w:rsid w:val="78743F14"/>
    <w:rsid w:val="787E7C64"/>
    <w:rsid w:val="788A03B6"/>
    <w:rsid w:val="78B239B5"/>
    <w:rsid w:val="78CD25D6"/>
    <w:rsid w:val="78DB4F1F"/>
    <w:rsid w:val="79202452"/>
    <w:rsid w:val="792D0D1D"/>
    <w:rsid w:val="79466237"/>
    <w:rsid w:val="7951511F"/>
    <w:rsid w:val="796B6DDB"/>
    <w:rsid w:val="796C3F60"/>
    <w:rsid w:val="797116FA"/>
    <w:rsid w:val="798132EA"/>
    <w:rsid w:val="79D51B05"/>
    <w:rsid w:val="7A15284A"/>
    <w:rsid w:val="7A7B4132"/>
    <w:rsid w:val="7AA53173"/>
    <w:rsid w:val="7ABA1743"/>
    <w:rsid w:val="7ABA3BCE"/>
    <w:rsid w:val="7AEC35AA"/>
    <w:rsid w:val="7B024B7C"/>
    <w:rsid w:val="7B0F7299"/>
    <w:rsid w:val="7B3A2568"/>
    <w:rsid w:val="7B783E16"/>
    <w:rsid w:val="7B9D48A5"/>
    <w:rsid w:val="7BA140DD"/>
    <w:rsid w:val="7BA5663A"/>
    <w:rsid w:val="7BAD7354"/>
    <w:rsid w:val="7BB21CB6"/>
    <w:rsid w:val="7BBF41D0"/>
    <w:rsid w:val="7BC938EC"/>
    <w:rsid w:val="7BD15627"/>
    <w:rsid w:val="7BDF0DD0"/>
    <w:rsid w:val="7BDF310F"/>
    <w:rsid w:val="7BFF180C"/>
    <w:rsid w:val="7C140D40"/>
    <w:rsid w:val="7C3866E3"/>
    <w:rsid w:val="7C41588D"/>
    <w:rsid w:val="7C417926"/>
    <w:rsid w:val="7C7F1C27"/>
    <w:rsid w:val="7CC1007A"/>
    <w:rsid w:val="7CE54755"/>
    <w:rsid w:val="7D1826DB"/>
    <w:rsid w:val="7D214ADD"/>
    <w:rsid w:val="7D292894"/>
    <w:rsid w:val="7D2C5B4E"/>
    <w:rsid w:val="7D2F491B"/>
    <w:rsid w:val="7D3C10C6"/>
    <w:rsid w:val="7D5B4A17"/>
    <w:rsid w:val="7D80447E"/>
    <w:rsid w:val="7DA02B57"/>
    <w:rsid w:val="7DB427B3"/>
    <w:rsid w:val="7DF264DA"/>
    <w:rsid w:val="7E152447"/>
    <w:rsid w:val="7E176B90"/>
    <w:rsid w:val="7E2B6A30"/>
    <w:rsid w:val="7E2F17DD"/>
    <w:rsid w:val="7E5C2E16"/>
    <w:rsid w:val="7E7C266C"/>
    <w:rsid w:val="7E871658"/>
    <w:rsid w:val="7E967D09"/>
    <w:rsid w:val="7EC319FB"/>
    <w:rsid w:val="7EC90283"/>
    <w:rsid w:val="7F0215EE"/>
    <w:rsid w:val="7F263702"/>
    <w:rsid w:val="7F7A3E47"/>
    <w:rsid w:val="7F7E416E"/>
    <w:rsid w:val="7F971818"/>
    <w:rsid w:val="7FED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Cs w:val="44"/>
    </w:rPr>
  </w:style>
  <w:style w:type="paragraph" w:styleId="4">
    <w:name w:val="heading 2"/>
    <w:basedOn w:val="1"/>
    <w:next w:val="1"/>
    <w:link w:val="32"/>
    <w:qFormat/>
    <w:uiPriority w:val="0"/>
    <w:pPr>
      <w:keepNext/>
      <w:keepLines/>
      <w:adjustRightInd w:val="0"/>
      <w:snapToGrid w:val="0"/>
      <w:spacing w:before="240" w:after="120"/>
      <w:outlineLvl w:val="1"/>
    </w:pPr>
    <w:rPr>
      <w:rFonts w:ascii="黑体" w:hAnsi="宋体" w:eastAsia="黑体" w:cs="Courier New"/>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6">
    <w:name w:val="annotation text"/>
    <w:basedOn w:val="1"/>
    <w:unhideWhenUsed/>
    <w:qFormat/>
    <w:uiPriority w:val="99"/>
    <w:pPr>
      <w:jc w:val="left"/>
    </w:pPr>
    <w:rPr>
      <w:rFonts w:eastAsia="宋体"/>
    </w:rPr>
  </w:style>
  <w:style w:type="paragraph" w:styleId="7">
    <w:name w:val="Body Text"/>
    <w:basedOn w:val="1"/>
    <w:link w:val="29"/>
    <w:qFormat/>
    <w:uiPriority w:val="0"/>
    <w:pPr>
      <w:spacing w:after="120"/>
    </w:pPr>
    <w:rPr>
      <w:szCs w:val="24"/>
    </w:rPr>
  </w:style>
  <w:style w:type="paragraph" w:styleId="8">
    <w:name w:val="toc 3"/>
    <w:basedOn w:val="1"/>
    <w:next w:val="1"/>
    <w:unhideWhenUsed/>
    <w:qFormat/>
    <w:uiPriority w:val="39"/>
    <w:pPr>
      <w:ind w:left="840" w:leftChars="400"/>
    </w:p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4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333333"/>
      <w:u w:val="none"/>
    </w:rPr>
  </w:style>
  <w:style w:type="character" w:styleId="21">
    <w:name w:val="Emphasis"/>
    <w:basedOn w:val="18"/>
    <w:qFormat/>
    <w:uiPriority w:val="20"/>
    <w:rPr>
      <w:i/>
      <w:iCs/>
    </w:rPr>
  </w:style>
  <w:style w:type="character" w:styleId="22">
    <w:name w:val="Hyperlink"/>
    <w:basedOn w:val="18"/>
    <w:unhideWhenUsed/>
    <w:qFormat/>
    <w:uiPriority w:val="99"/>
    <w:rPr>
      <w:color w:val="333333"/>
      <w:u w:val="none"/>
    </w:rPr>
  </w:style>
  <w:style w:type="character" w:styleId="23">
    <w:name w:val="annotation reference"/>
    <w:basedOn w:val="18"/>
    <w:unhideWhenUsed/>
    <w:qFormat/>
    <w:uiPriority w:val="99"/>
    <w:rPr>
      <w:sz w:val="21"/>
      <w:szCs w:val="21"/>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customStyle="1" w:styleId="26">
    <w:name w:val="样式  Char + 首行缩进:  2 字符"/>
    <w:basedOn w:val="27"/>
    <w:qFormat/>
    <w:uiPriority w:val="0"/>
    <w:pPr>
      <w:tabs>
        <w:tab w:val="left" w:pos="4665"/>
        <w:tab w:val="left" w:pos="8970"/>
      </w:tabs>
      <w:spacing w:line="360" w:lineRule="auto"/>
      <w:ind w:firstLine="420"/>
    </w:pPr>
    <w:rPr>
      <w:rFonts w:ascii="宋体" w:hAnsi="宋体" w:eastAsia="宋体" w:cs="宋体"/>
      <w:sz w:val="28"/>
      <w:szCs w:val="28"/>
    </w:rPr>
  </w:style>
  <w:style w:type="paragraph" w:customStyle="1" w:styleId="27">
    <w:name w:val="Char"/>
    <w:basedOn w:val="1"/>
    <w:qFormat/>
    <w:uiPriority w:val="0"/>
    <w:pPr>
      <w:spacing w:line="360" w:lineRule="auto"/>
    </w:pPr>
    <w:rPr>
      <w:rFonts w:ascii="宋体" w:hAnsi="宋体"/>
      <w:b/>
      <w:bCs/>
      <w:sz w:val="28"/>
      <w:szCs w:val="28"/>
    </w:rPr>
  </w:style>
  <w:style w:type="character" w:customStyle="1" w:styleId="28">
    <w:name w:val="日期 字符"/>
    <w:basedOn w:val="18"/>
    <w:link w:val="9"/>
    <w:semiHidden/>
    <w:qFormat/>
    <w:uiPriority w:val="99"/>
  </w:style>
  <w:style w:type="character" w:customStyle="1" w:styleId="29">
    <w:name w:val="正文文本 字符"/>
    <w:basedOn w:val="18"/>
    <w:link w:val="7"/>
    <w:qFormat/>
    <w:uiPriority w:val="0"/>
    <w:rPr>
      <w:szCs w:val="24"/>
    </w:rPr>
  </w:style>
  <w:style w:type="character" w:customStyle="1" w:styleId="30">
    <w:name w:val="NormalCharacter"/>
    <w:link w:val="31"/>
    <w:qFormat/>
    <w:locked/>
    <w:uiPriority w:val="0"/>
    <w:rPr>
      <w:rFonts w:ascii="宋体" w:hAnsi="宋体" w:cs="Times New Roman"/>
      <w:szCs w:val="21"/>
    </w:rPr>
  </w:style>
  <w:style w:type="paragraph" w:customStyle="1" w:styleId="31">
    <w:name w:val="UserStyle_0"/>
    <w:basedOn w:val="1"/>
    <w:link w:val="30"/>
    <w:qFormat/>
    <w:uiPriority w:val="0"/>
    <w:pPr>
      <w:widowControl/>
      <w:spacing w:after="160" w:line="240" w:lineRule="exact"/>
    </w:pPr>
    <w:rPr>
      <w:rFonts w:ascii="宋体" w:hAnsi="宋体" w:cs="Times New Roman"/>
      <w:szCs w:val="21"/>
    </w:rPr>
  </w:style>
  <w:style w:type="character" w:customStyle="1" w:styleId="32">
    <w:name w:val="标题 2 字符"/>
    <w:basedOn w:val="18"/>
    <w:link w:val="4"/>
    <w:qFormat/>
    <w:uiPriority w:val="0"/>
    <w:rPr>
      <w:rFonts w:ascii="黑体" w:hAnsi="宋体" w:eastAsia="黑体" w:cs="Courier New"/>
      <w:bCs/>
      <w:sz w:val="32"/>
      <w:szCs w:val="32"/>
    </w:rPr>
  </w:style>
  <w:style w:type="character" w:customStyle="1" w:styleId="33">
    <w:name w:val="fontstyle01"/>
    <w:basedOn w:val="18"/>
    <w:qFormat/>
    <w:uiPriority w:val="0"/>
    <w:rPr>
      <w:rFonts w:hint="default" w:ascii="E-BZ" w:hAnsi="E-BZ"/>
      <w:color w:val="000000"/>
      <w:sz w:val="30"/>
      <w:szCs w:val="30"/>
    </w:rPr>
  </w:style>
  <w:style w:type="character" w:customStyle="1" w:styleId="34">
    <w:name w:val="fontstyle21"/>
    <w:basedOn w:val="18"/>
    <w:qFormat/>
    <w:uiPriority w:val="0"/>
    <w:rPr>
      <w:rFonts w:hint="default" w:ascii="FZFSK--GBK1-0" w:hAnsi="FZFSK--GBK1-0"/>
      <w:color w:val="000000"/>
      <w:sz w:val="30"/>
      <w:szCs w:val="30"/>
    </w:rPr>
  </w:style>
  <w:style w:type="character" w:customStyle="1" w:styleId="35">
    <w:name w:val="fontstyle31"/>
    <w:basedOn w:val="18"/>
    <w:qFormat/>
    <w:uiPriority w:val="0"/>
    <w:rPr>
      <w:rFonts w:hint="default" w:ascii="E-BX" w:hAnsi="E-BX"/>
      <w:color w:val="000000"/>
      <w:sz w:val="30"/>
      <w:szCs w:val="30"/>
    </w:rPr>
  </w:style>
  <w:style w:type="character" w:customStyle="1" w:styleId="36">
    <w:name w:val="标题 3 字符"/>
    <w:basedOn w:val="18"/>
    <w:link w:val="5"/>
    <w:qFormat/>
    <w:uiPriority w:val="9"/>
    <w:rPr>
      <w:b/>
      <w:bCs/>
      <w:sz w:val="32"/>
      <w:szCs w:val="32"/>
    </w:rPr>
  </w:style>
  <w:style w:type="character" w:customStyle="1" w:styleId="37">
    <w:name w:val="bjh-p"/>
    <w:basedOn w:val="18"/>
    <w:qFormat/>
    <w:uiPriority w:val="0"/>
  </w:style>
  <w:style w:type="character" w:customStyle="1" w:styleId="38">
    <w:name w:val="bjh-strong"/>
    <w:basedOn w:val="18"/>
    <w:qFormat/>
    <w:uiPriority w:val="0"/>
  </w:style>
  <w:style w:type="paragraph" w:customStyle="1" w:styleId="39">
    <w:name w:val="Body Text First Indent 21"/>
    <w:basedOn w:val="40"/>
    <w:qFormat/>
    <w:uiPriority w:val="0"/>
    <w:pPr>
      <w:ind w:firstLine="420"/>
    </w:pPr>
    <w:rPr>
      <w:rFonts w:ascii="Times New Roman" w:hAnsi="Times New Roman" w:eastAsia="宋体" w:cs="Times New Roman"/>
      <w:szCs w:val="24"/>
    </w:rPr>
  </w:style>
  <w:style w:type="paragraph" w:customStyle="1" w:styleId="40">
    <w:name w:val="Body Text Indent1"/>
    <w:basedOn w:val="1"/>
    <w:qFormat/>
    <w:uiPriority w:val="0"/>
    <w:pPr>
      <w:spacing w:line="500" w:lineRule="exact"/>
      <w:ind w:firstLine="880" w:firstLineChars="200"/>
    </w:pPr>
  </w:style>
  <w:style w:type="character" w:customStyle="1" w:styleId="41">
    <w:name w:val="批注框文本 字符"/>
    <w:basedOn w:val="18"/>
    <w:link w:val="10"/>
    <w:semiHidden/>
    <w:qFormat/>
    <w:uiPriority w:val="99"/>
    <w:rPr>
      <w:sz w:val="18"/>
      <w:szCs w:val="18"/>
    </w:rPr>
  </w:style>
  <w:style w:type="paragraph" w:styleId="42">
    <w:name w:val="List Paragraph"/>
    <w:basedOn w:val="1"/>
    <w:qFormat/>
    <w:uiPriority w:val="34"/>
    <w:pPr>
      <w:ind w:firstLine="420" w:firstLineChars="200"/>
    </w:pPr>
  </w:style>
  <w:style w:type="character" w:customStyle="1" w:styleId="43">
    <w:name w:val="dot"/>
    <w:basedOn w:val="18"/>
    <w:qFormat/>
    <w:uiPriority w:val="0"/>
  </w:style>
  <w:style w:type="character" w:customStyle="1" w:styleId="44">
    <w:name w:val="layui-layer-tabnow"/>
    <w:basedOn w:val="18"/>
    <w:qFormat/>
    <w:uiPriority w:val="0"/>
    <w:rPr>
      <w:bdr w:val="single" w:color="CCCCCC" w:sz="6" w:space="0"/>
      <w:shd w:val="clear" w:color="auto" w:fill="FFFFFF"/>
    </w:rPr>
  </w:style>
  <w:style w:type="character" w:customStyle="1" w:styleId="45">
    <w:name w:val="first-child"/>
    <w:basedOn w:val="18"/>
    <w:qFormat/>
    <w:uiPriority w:val="0"/>
  </w:style>
  <w:style w:type="character" w:customStyle="1" w:styleId="46">
    <w:name w:val="time"/>
    <w:basedOn w:val="18"/>
    <w:qFormat/>
    <w:uiPriority w:val="0"/>
    <w:rPr>
      <w:color w:val="999999"/>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BFD6B-ED5A-4478-A359-4047D4737A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9030</Words>
  <Characters>9484</Characters>
  <Lines>333</Lines>
  <Paragraphs>94</Paragraphs>
  <TotalTime>3</TotalTime>
  <ScaleCrop>false</ScaleCrop>
  <LinksUpToDate>false</LinksUpToDate>
  <CharactersWithSpaces>9620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2021-09-23T16:16:00Z</dcterms:created>
  <dc:creator>Administrator</dc:creator>
  <cp:lastModifiedBy>Admin</cp:lastModifiedBy>
  <cp:lastPrinted>2022-04-02T16:09:00Z</cp:lastPrinted>
  <dcterms:modified xsi:type="dcterms:W3CDTF">2026-05-11T12:16:50Z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06ED8CAC6DD64F13B9EFC04D5DC55C52_13</vt:lpwstr>
  </property>
  <property fmtid="{D5CDD505-2E9C-101B-9397-08002B2CF9AE}" pid="4" name="KSOTemplateDocerSaveRecord">
    <vt:lpwstr>eyJoZGlkIjoiNzg3MDYzYmM5Zjc1MjJhOGMzMDY0M2Y1N2E0N2JmZjAiLCJ1c2VySWQiOiI0Mjg4MjI4OTgifQ==</vt:lpwstr>
  </property>
</Properties>
</file>