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6563E">
      <w:pPr>
        <w:spacing w:line="600" w:lineRule="exact"/>
        <w:rPr>
          <w:rFonts w:hint="eastAsia" w:ascii="仿宋_GB2312" w:hAnsi="仿宋" w:eastAsia="仿宋_GB2312"/>
          <w:sz w:val="32"/>
          <w:szCs w:val="30"/>
        </w:rPr>
      </w:pPr>
    </w:p>
    <w:p w14:paraId="4A52A093">
      <w:pPr>
        <w:spacing w:line="600" w:lineRule="exact"/>
        <w:rPr>
          <w:rFonts w:hint="eastAsia" w:ascii="仿宋_GB2312" w:hAnsi="仿宋" w:eastAsia="仿宋_GB2312"/>
          <w:sz w:val="32"/>
          <w:szCs w:val="30"/>
        </w:rPr>
      </w:pPr>
    </w:p>
    <w:p w14:paraId="07150E9E">
      <w:pPr>
        <w:spacing w:line="600" w:lineRule="exact"/>
        <w:rPr>
          <w:rFonts w:hint="eastAsia" w:ascii="仿宋_GB2312" w:hAnsi="仿宋" w:eastAsia="仿宋_GB2312"/>
          <w:sz w:val="32"/>
          <w:szCs w:val="30"/>
        </w:rPr>
      </w:pPr>
    </w:p>
    <w:p w14:paraId="72F3138C">
      <w:pPr>
        <w:spacing w:line="600" w:lineRule="exact"/>
        <w:rPr>
          <w:rFonts w:hint="eastAsia" w:ascii="仿宋_GB2312" w:hAnsi="仿宋" w:eastAsia="仿宋_GB2312"/>
          <w:sz w:val="32"/>
          <w:szCs w:val="30"/>
        </w:rPr>
      </w:pPr>
    </w:p>
    <w:p w14:paraId="53BE7579">
      <w:pPr>
        <w:spacing w:line="600" w:lineRule="exact"/>
        <w:rPr>
          <w:rFonts w:hint="eastAsia" w:ascii="仿宋_GB2312" w:hAnsi="仿宋" w:eastAsia="仿宋_GB2312"/>
          <w:sz w:val="32"/>
          <w:szCs w:val="30"/>
        </w:rPr>
      </w:pPr>
    </w:p>
    <w:p w14:paraId="79E81002">
      <w:pPr>
        <w:spacing w:line="600" w:lineRule="exact"/>
        <w:rPr>
          <w:rFonts w:hint="eastAsia" w:ascii="仿宋_GB2312" w:hAnsi="仿宋" w:eastAsia="仿宋_GB2312"/>
          <w:sz w:val="32"/>
          <w:szCs w:val="30"/>
        </w:rPr>
      </w:pPr>
    </w:p>
    <w:p w14:paraId="282FF358">
      <w:pPr>
        <w:spacing w:line="600" w:lineRule="exact"/>
        <w:rPr>
          <w:rFonts w:hint="eastAsia" w:ascii="仿宋_GB2312" w:hAnsi="仿宋" w:eastAsia="仿宋_GB2312"/>
          <w:sz w:val="32"/>
          <w:szCs w:val="30"/>
        </w:rPr>
      </w:pPr>
    </w:p>
    <w:p w14:paraId="0B269806">
      <w:pPr>
        <w:spacing w:line="560" w:lineRule="exact"/>
        <w:jc w:val="center"/>
        <w:rPr>
          <w:rFonts w:hint="eastAsia" w:ascii="仿宋_GB2312" w:hAnsi="仿宋" w:eastAsia="仿宋_GB2312"/>
          <w:sz w:val="32"/>
          <w:szCs w:val="30"/>
        </w:rPr>
      </w:pPr>
      <w:r>
        <w:rPr>
          <w:rFonts w:hint="default" w:ascii="Times New Roman" w:hAnsi="Times New Roman" w:eastAsia="仿宋_GB2312" w:cs="Times New Roman"/>
          <w:b w:val="0"/>
          <w:bCs w:val="0"/>
          <w:sz w:val="32"/>
          <w:szCs w:val="32"/>
        </w:rPr>
        <w:t>濉</w:t>
      </w:r>
      <w:r>
        <w:rPr>
          <w:rFonts w:hint="eastAsia" w:ascii="Times New Roman" w:hAnsi="Times New Roman" w:eastAsia="仿宋_GB2312" w:cs="Times New Roman"/>
          <w:b w:val="0"/>
          <w:bCs w:val="0"/>
          <w:sz w:val="32"/>
          <w:szCs w:val="32"/>
          <w:lang w:val="en-US" w:eastAsia="zh-CN"/>
        </w:rPr>
        <w:t>发</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19</w:t>
      </w:r>
      <w:r>
        <w:rPr>
          <w:rFonts w:hint="default" w:ascii="Times New Roman" w:hAnsi="Times New Roman" w:eastAsia="仿宋_GB2312" w:cs="Times New Roman"/>
          <w:b w:val="0"/>
          <w:bCs w:val="0"/>
          <w:sz w:val="32"/>
          <w:szCs w:val="32"/>
        </w:rPr>
        <w:t>号</w:t>
      </w:r>
      <w:r>
        <w:rPr>
          <w:rFonts w:hint="eastAsia" w:ascii="仿宋_GB2312" w:hAnsi="仿宋" w:eastAsia="仿宋_GB2312"/>
          <w:sz w:val="32"/>
          <w:szCs w:val="30"/>
        </w:rPr>
        <mc:AlternateContent>
          <mc:Choice Requires="wps">
            <w:drawing>
              <wp:anchor distT="0" distB="0" distL="114300" distR="114300" simplePos="0" relativeHeight="251660288" behindDoc="0" locked="0" layoutInCell="1" allowOverlap="1">
                <wp:simplePos x="0" y="0"/>
                <wp:positionH relativeFrom="column">
                  <wp:posOffset>2548890</wp:posOffset>
                </wp:positionH>
                <wp:positionV relativeFrom="paragraph">
                  <wp:posOffset>344805</wp:posOffset>
                </wp:positionV>
                <wp:extent cx="525780" cy="394335"/>
                <wp:effectExtent l="4445" t="4445" r="22225" b="20320"/>
                <wp:wrapNone/>
                <wp:docPr id="1" name="文本框 1"/>
                <wp:cNvGraphicFramePr/>
                <a:graphic xmlns:a="http://schemas.openxmlformats.org/drawingml/2006/main">
                  <a:graphicData uri="http://schemas.microsoft.com/office/word/2010/wordprocessingShape">
                    <wps:wsp>
                      <wps:cNvSpPr txBox="1"/>
                      <wps:spPr>
                        <a:xfrm>
                          <a:off x="0" y="0"/>
                          <a:ext cx="525780" cy="39433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7314042">
                            <w:pPr>
                              <w:spacing w:line="600" w:lineRule="exact"/>
                              <w:jc w:val="center"/>
                              <w:rPr>
                                <w:rFonts w:hint="eastAsia"/>
                                <w:color w:val="FF0000"/>
                                <w:sz w:val="52"/>
                                <w:szCs w:val="52"/>
                              </w:rPr>
                            </w:pPr>
                          </w:p>
                        </w:txbxContent>
                      </wps:txbx>
                      <wps:bodyPr lIns="0" tIns="0" rIns="0" bIns="0" upright="1"/>
                    </wps:wsp>
                  </a:graphicData>
                </a:graphic>
              </wp:anchor>
            </w:drawing>
          </mc:Choice>
          <mc:Fallback>
            <w:pict>
              <v:shape id="_x0000_s1026" o:spid="_x0000_s1026" o:spt="202" type="#_x0000_t202" style="position:absolute;left:0pt;margin-left:200.7pt;margin-top:27.15pt;height:31.05pt;width:41.4pt;z-index:251660288;mso-width-relative:page;mso-height-relative:page;" fillcolor="#FFFFFF" filled="t" stroked="t" coordsize="21600,21600" o:gfxdata="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YsqdgAAAAKAQAADwAAAAAA&#10;AAABACAAAAAiAAAAZHJzL2Rvd25yZXYueG1sUEsBAhQAFAAAAAgAh07iQK+FHt4TAgAAWQQAAA4A&#10;AAAAAAAAAQAgAAAAJwEAAGRycy9lMm9Eb2MueG1sUEsFBgAAAAAGAAYAWQEAAKwFAAAAAA==&#10;">
                <v:fill on="t" focussize="0,0"/>
                <v:stroke color="#FFFFFF" joinstyle="miter"/>
                <v:imagedata o:title=""/>
                <o:lock v:ext="edit" aspectratio="f"/>
                <v:textbox inset="0mm,0mm,0mm,0mm">
                  <w:txbxContent>
                    <w:p w14:paraId="27314042">
                      <w:pPr>
                        <w:spacing w:line="600" w:lineRule="exact"/>
                        <w:jc w:val="center"/>
                        <w:rPr>
                          <w:rFonts w:hint="eastAsia"/>
                          <w:color w:val="FF0000"/>
                          <w:sz w:val="52"/>
                          <w:szCs w:val="52"/>
                        </w:rPr>
                      </w:pPr>
                    </w:p>
                  </w:txbxContent>
                </v:textbox>
              </v:shape>
            </w:pict>
          </mc:Fallback>
        </mc:AlternateContent>
      </w:r>
    </w:p>
    <w:p w14:paraId="1A4676F5">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p>
    <w:p w14:paraId="7F25CB72">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中共濉溪县委</w:t>
      </w:r>
      <w:r>
        <w:rPr>
          <w:rFonts w:hint="default" w:ascii="Times New Roman" w:hAnsi="Times New Roman" w:eastAsia="方正小标宋简体" w:cs="Times New Roman"/>
          <w:b w:val="0"/>
          <w:bCs w:val="0"/>
          <w:w w:val="90"/>
          <w:sz w:val="44"/>
          <w:szCs w:val="44"/>
        </w:rPr>
        <w:t xml:space="preserve">  </w:t>
      </w:r>
      <w:r>
        <w:rPr>
          <w:rFonts w:hint="default" w:ascii="Times New Roman" w:hAnsi="Times New Roman" w:eastAsia="方正小标宋简体" w:cs="Times New Roman"/>
          <w:b w:val="0"/>
          <w:bCs w:val="0"/>
          <w:sz w:val="44"/>
          <w:szCs w:val="44"/>
        </w:rPr>
        <w:t>濉溪县人民政府</w:t>
      </w:r>
    </w:p>
    <w:p w14:paraId="35610383">
      <w:pPr>
        <w:overflowPunct w:val="0"/>
        <w:spacing w:line="576" w:lineRule="exact"/>
        <w:jc w:val="center"/>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pacing w:val="-23"/>
          <w:sz w:val="44"/>
          <w:szCs w:val="44"/>
        </w:rPr>
        <w:t>关于印发《</w:t>
      </w:r>
      <w:r>
        <w:rPr>
          <w:rFonts w:hint="eastAsia" w:ascii="Times New Roman" w:hAnsi="Times New Roman" w:eastAsia="方正小标宋简体" w:cs="Times New Roman"/>
          <w:b w:val="0"/>
          <w:bCs w:val="0"/>
          <w:spacing w:val="-23"/>
          <w:sz w:val="44"/>
          <w:szCs w:val="44"/>
          <w:lang w:eastAsia="zh-CN"/>
        </w:rPr>
        <w:t>濉溪县“十四五”服务业发展规划</w:t>
      </w:r>
      <w:r>
        <w:rPr>
          <w:rFonts w:hint="default" w:ascii="Times New Roman" w:hAnsi="Times New Roman" w:eastAsia="方正小标宋简体" w:cs="Times New Roman"/>
          <w:b w:val="0"/>
          <w:bCs w:val="0"/>
          <w:color w:val="000000"/>
          <w:spacing w:val="-23"/>
          <w:sz w:val="44"/>
          <w:szCs w:val="44"/>
        </w:rPr>
        <w:t>》</w:t>
      </w:r>
      <w:r>
        <w:rPr>
          <w:rFonts w:hint="default" w:ascii="Times New Roman" w:hAnsi="Times New Roman" w:eastAsia="方正小标宋简体" w:cs="Times New Roman"/>
          <w:b w:val="0"/>
          <w:bCs w:val="0"/>
          <w:color w:val="000000"/>
          <w:sz w:val="44"/>
          <w:szCs w:val="44"/>
        </w:rPr>
        <w:t>的通</w:t>
      </w:r>
      <w:r>
        <w:rPr>
          <w:rFonts w:hint="eastAsia" w:ascii="Times New Roman" w:hAnsi="Times New Roman" w:eastAsia="方正小标宋简体" w:cs="Times New Roman"/>
          <w:b w:val="0"/>
          <w:bCs w:val="0"/>
          <w:color w:val="000000"/>
          <w:sz w:val="44"/>
          <w:szCs w:val="44"/>
          <w:lang w:val="en-US" w:eastAsia="zh-CN"/>
        </w:rPr>
        <w:t xml:space="preserve">  </w:t>
      </w:r>
      <w:r>
        <w:rPr>
          <w:rFonts w:hint="default" w:ascii="Times New Roman" w:hAnsi="Times New Roman" w:eastAsia="方正小标宋简体" w:cs="Times New Roman"/>
          <w:b w:val="0"/>
          <w:bCs w:val="0"/>
          <w:color w:val="000000"/>
          <w:sz w:val="44"/>
          <w:szCs w:val="44"/>
        </w:rPr>
        <w:t>知</w:t>
      </w:r>
    </w:p>
    <w:p w14:paraId="328FB6F7">
      <w:pPr>
        <w:keepNext w:val="0"/>
        <w:keepLines w:val="0"/>
        <w:pageBreakBefore w:val="0"/>
        <w:kinsoku/>
        <w:overflowPunct/>
        <w:topLinePunct w:val="0"/>
        <w:autoSpaceDE/>
        <w:autoSpaceDN/>
        <w:bidi w:val="0"/>
        <w:adjustRightInd/>
        <w:spacing w:line="550" w:lineRule="exact"/>
        <w:jc w:val="left"/>
        <w:textAlignment w:val="auto"/>
        <w:rPr>
          <w:rFonts w:hint="default" w:ascii="Times New Roman" w:hAnsi="Times New Roman" w:eastAsia="仿宋_GB2312" w:cs="Times New Roman"/>
          <w:b w:val="0"/>
          <w:bCs w:val="0"/>
          <w:spacing w:val="0"/>
          <w:sz w:val="32"/>
          <w:szCs w:val="32"/>
        </w:rPr>
      </w:pPr>
    </w:p>
    <w:p w14:paraId="32AE8515">
      <w:pPr>
        <w:keepNext w:val="0"/>
        <w:keepLines w:val="0"/>
        <w:pageBreakBefore w:val="0"/>
        <w:widowControl w:val="0"/>
        <w:kinsoku/>
        <w:overflowPunct/>
        <w:topLinePunct w:val="0"/>
        <w:autoSpaceDE/>
        <w:autoSpaceDN/>
        <w:bidi w:val="0"/>
        <w:adjustRightInd/>
        <w:spacing w:line="580" w:lineRule="exact"/>
        <w:ind w:right="0"/>
        <w:jc w:val="left"/>
        <w:textAlignment w:val="auto"/>
        <w:rPr>
          <w:rFonts w:hint="default" w:ascii="Times New Roman" w:hAnsi="Times New Roman" w:eastAsia="楷体_GB2312" w:cs="Times New Roman"/>
          <w:b w:val="0"/>
          <w:bCs w:val="0"/>
          <w:spacing w:val="0"/>
          <w:sz w:val="32"/>
          <w:szCs w:val="32"/>
        </w:rPr>
      </w:pPr>
      <w:r>
        <w:rPr>
          <w:rFonts w:hint="default" w:ascii="Times New Roman" w:hAnsi="Times New Roman" w:eastAsia="楷体_GB2312" w:cs="Times New Roman"/>
          <w:b w:val="0"/>
          <w:bCs w:val="0"/>
          <w:spacing w:val="0"/>
          <w:sz w:val="32"/>
          <w:szCs w:val="32"/>
        </w:rPr>
        <w:t>各镇党委、政府，县直各党组（党委），各部、委、办、局：</w:t>
      </w:r>
    </w:p>
    <w:p w14:paraId="72E46EFC">
      <w:pPr>
        <w:keepNext w:val="0"/>
        <w:keepLines w:val="0"/>
        <w:pageBreakBefore w:val="0"/>
        <w:widowControl w:val="0"/>
        <w:kinsoku/>
        <w:overflowPunct/>
        <w:topLinePunct w:val="0"/>
        <w:autoSpaceDE/>
        <w:autoSpaceDN/>
        <w:bidi w:val="0"/>
        <w:adjustRightInd/>
        <w:spacing w:line="580" w:lineRule="exact"/>
        <w:ind w:right="0" w:firstLine="640" w:firstLineChars="200"/>
        <w:jc w:val="left"/>
        <w:textAlignment w:val="auto"/>
        <w:rPr>
          <w:rFonts w:hint="default" w:ascii="Times New Roman" w:hAnsi="Times New Roman" w:eastAsia="楷体_GB2312" w:cs="Times New Roman"/>
          <w:b w:val="0"/>
          <w:bCs w:val="0"/>
          <w:spacing w:val="0"/>
          <w:sz w:val="32"/>
          <w:szCs w:val="32"/>
        </w:rPr>
      </w:pP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eastAsia="zh-CN"/>
        </w:rPr>
        <w:t>濉溪县“十四五”服务业发展规划</w:t>
      </w:r>
      <w:r>
        <w:rPr>
          <w:rFonts w:hint="default" w:ascii="Times New Roman" w:hAnsi="Times New Roman" w:eastAsia="楷体_GB2312" w:cs="Times New Roman"/>
          <w:b w:val="0"/>
          <w:bCs w:val="0"/>
          <w:spacing w:val="0"/>
          <w:sz w:val="32"/>
          <w:szCs w:val="32"/>
        </w:rPr>
        <w:t>》已经县委、县政府同意，现印发给你们，请结合实际认真贯彻落实。</w:t>
      </w:r>
    </w:p>
    <w:p w14:paraId="20F442A0">
      <w:pPr>
        <w:keepNext w:val="0"/>
        <w:keepLines w:val="0"/>
        <w:pageBreakBefore w:val="0"/>
        <w:widowControl w:val="0"/>
        <w:kinsoku/>
        <w:wordWrap w:val="0"/>
        <w:overflowPunct/>
        <w:topLinePunct w:val="0"/>
        <w:autoSpaceDE/>
        <w:autoSpaceDN/>
        <w:bidi w:val="0"/>
        <w:adjustRightInd/>
        <w:snapToGrid w:val="0"/>
        <w:spacing w:line="580" w:lineRule="exact"/>
        <w:ind w:right="0" w:firstLine="640" w:firstLineChars="200"/>
        <w:jc w:val="right"/>
        <w:textAlignment w:val="auto"/>
        <w:rPr>
          <w:rFonts w:hint="eastAsia" w:ascii="Times New Roman" w:hAnsi="Times New Roman" w:eastAsia="仿宋_GB2312"/>
          <w:b w:val="0"/>
          <w:bCs w:val="0"/>
          <w:color w:val="000000"/>
          <w:spacing w:val="0"/>
          <w:sz w:val="32"/>
          <w:szCs w:val="32"/>
        </w:rPr>
      </w:pPr>
      <w:r>
        <w:rPr>
          <w:rFonts w:hint="default" w:ascii="Times New Roman" w:hAnsi="Times New Roman" w:eastAsia="楷体_GB2312" w:cs="Times New Roman"/>
          <w:b w:val="0"/>
          <w:bCs w:val="0"/>
          <w:spacing w:val="0"/>
          <w:sz w:val="32"/>
          <w:szCs w:val="32"/>
        </w:rPr>
        <w:tab/>
      </w:r>
    </w:p>
    <w:p w14:paraId="4FF84072">
      <w:pPr>
        <w:pStyle w:val="26"/>
        <w:keepNext w:val="0"/>
        <w:keepLines w:val="0"/>
        <w:pageBreakBefore w:val="0"/>
        <w:widowControl w:val="0"/>
        <w:kinsoku/>
        <w:overflowPunct/>
        <w:topLinePunct w:val="0"/>
        <w:autoSpaceDE/>
        <w:autoSpaceDN/>
        <w:bidi w:val="0"/>
        <w:adjustRightInd/>
        <w:spacing w:line="580" w:lineRule="exact"/>
        <w:ind w:left="0" w:leftChars="0" w:right="0" w:firstLine="5200" w:firstLineChars="0"/>
        <w:jc w:val="both"/>
        <w:textAlignment w:val="auto"/>
        <w:rPr>
          <w:rFonts w:ascii="楷体_GB2312" w:hAnsi="Times New Roman" w:eastAsia="楷体_GB2312" w:cs="Times New Roman"/>
          <w:b w:val="0"/>
          <w:bCs w:val="0"/>
          <w:color w:val="000000"/>
          <w:spacing w:val="0"/>
          <w:sz w:val="32"/>
          <w:szCs w:val="22"/>
        </w:rPr>
      </w:pPr>
      <w:r>
        <w:rPr>
          <w:rFonts w:hint="eastAsia" w:ascii="楷体_GB2312" w:hAnsi="Times New Roman" w:eastAsia="楷体_GB2312" w:cs="Times New Roman"/>
          <w:b w:val="0"/>
          <w:bCs w:val="0"/>
          <w:color w:val="000000"/>
          <w:spacing w:val="28"/>
          <w:sz w:val="32"/>
          <w:szCs w:val="22"/>
        </w:rPr>
        <w:t>中共濉溪县</w:t>
      </w:r>
      <w:r>
        <w:rPr>
          <w:rFonts w:hint="eastAsia" w:ascii="楷体_GB2312" w:hAnsi="Times New Roman" w:eastAsia="楷体_GB2312" w:cs="Times New Roman"/>
          <w:b w:val="0"/>
          <w:bCs w:val="0"/>
          <w:color w:val="000000"/>
          <w:spacing w:val="0"/>
          <w:sz w:val="32"/>
          <w:szCs w:val="22"/>
        </w:rPr>
        <w:t>委</w:t>
      </w:r>
    </w:p>
    <w:p w14:paraId="4CE1D790">
      <w:pPr>
        <w:pStyle w:val="26"/>
        <w:keepNext w:val="0"/>
        <w:keepLines w:val="0"/>
        <w:pageBreakBefore w:val="0"/>
        <w:widowControl w:val="0"/>
        <w:kinsoku/>
        <w:overflowPunct/>
        <w:topLinePunct w:val="0"/>
        <w:autoSpaceDE/>
        <w:autoSpaceDN/>
        <w:bidi w:val="0"/>
        <w:adjustRightInd/>
        <w:spacing w:line="580" w:lineRule="exact"/>
        <w:ind w:left="0" w:leftChars="0" w:right="0" w:firstLine="5200" w:firstLineChars="0"/>
        <w:jc w:val="both"/>
        <w:textAlignment w:val="auto"/>
        <w:rPr>
          <w:rFonts w:ascii="楷体_GB2312" w:hAnsi="Times New Roman" w:eastAsia="楷体_GB2312" w:cs="Times New Roman"/>
          <w:b w:val="0"/>
          <w:bCs w:val="0"/>
          <w:color w:val="000000"/>
          <w:spacing w:val="0"/>
          <w:sz w:val="32"/>
          <w:szCs w:val="22"/>
        </w:rPr>
      </w:pPr>
      <w:r>
        <w:rPr>
          <w:rFonts w:hint="eastAsia" w:ascii="楷体_GB2312" w:hAnsi="Times New Roman" w:eastAsia="楷体_GB2312" w:cs="Times New Roman"/>
          <w:b w:val="0"/>
          <w:bCs w:val="0"/>
          <w:color w:val="000000"/>
          <w:spacing w:val="0"/>
          <w:sz w:val="32"/>
          <w:szCs w:val="22"/>
        </w:rPr>
        <w:t>濉溪县人民政府</w:t>
      </w:r>
    </w:p>
    <w:p w14:paraId="797DD8AD">
      <w:pPr>
        <w:pStyle w:val="26"/>
        <w:keepNext w:val="0"/>
        <w:keepLines w:val="0"/>
        <w:pageBreakBefore w:val="0"/>
        <w:widowControl w:val="0"/>
        <w:kinsoku/>
        <w:wordWrap w:val="0"/>
        <w:overflowPunct/>
        <w:topLinePunct w:val="0"/>
        <w:autoSpaceDE/>
        <w:autoSpaceDN/>
        <w:bidi w:val="0"/>
        <w:adjustRightInd/>
        <w:snapToGrid/>
        <w:spacing w:line="580" w:lineRule="exact"/>
        <w:ind w:right="0" w:rightChars="0" w:firstLine="0"/>
        <w:jc w:val="center"/>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ascii="Times New Roman" w:hAnsi="Times New Roman" w:eastAsia="楷体_GB2312" w:cs="Times New Roman"/>
          <w:b w:val="0"/>
          <w:bCs w:val="0"/>
          <w:color w:val="000000"/>
          <w:spacing w:val="0"/>
          <w:sz w:val="32"/>
          <w:szCs w:val="22"/>
          <w:lang w:val="en-US" w:eastAsia="zh-CN"/>
        </w:rPr>
        <w:t xml:space="preserve">                            </w:t>
      </w:r>
      <w:r>
        <w:rPr>
          <w:rFonts w:ascii="Times New Roman" w:hAnsi="Times New Roman" w:eastAsia="楷体_GB2312" w:cs="Times New Roman"/>
          <w:b w:val="0"/>
          <w:bCs w:val="0"/>
          <w:color w:val="000000"/>
          <w:spacing w:val="0"/>
          <w:sz w:val="32"/>
          <w:szCs w:val="22"/>
        </w:rPr>
        <w:t>202</w:t>
      </w:r>
      <w:r>
        <w:rPr>
          <w:rFonts w:hint="eastAsia" w:ascii="Times New Roman" w:hAnsi="Times New Roman" w:eastAsia="楷体_GB2312" w:cs="Times New Roman"/>
          <w:b w:val="0"/>
          <w:bCs w:val="0"/>
          <w:color w:val="000000"/>
          <w:spacing w:val="0"/>
          <w:sz w:val="32"/>
          <w:szCs w:val="22"/>
          <w:lang w:val="en-US" w:eastAsia="zh-CN"/>
        </w:rPr>
        <w:t>2</w:t>
      </w:r>
      <w:r>
        <w:rPr>
          <w:rFonts w:ascii="Times New Roman" w:hAnsi="Times New Roman" w:eastAsia="楷体_GB2312" w:cs="Times New Roman"/>
          <w:b w:val="0"/>
          <w:bCs w:val="0"/>
          <w:color w:val="000000"/>
          <w:spacing w:val="0"/>
          <w:sz w:val="32"/>
          <w:szCs w:val="22"/>
        </w:rPr>
        <w:t>年</w:t>
      </w:r>
      <w:r>
        <w:rPr>
          <w:rFonts w:hint="eastAsia" w:ascii="Times New Roman" w:hAnsi="Times New Roman" w:eastAsia="楷体_GB2312" w:cs="Times New Roman"/>
          <w:b w:val="0"/>
          <w:bCs w:val="0"/>
          <w:color w:val="000000"/>
          <w:spacing w:val="0"/>
          <w:sz w:val="32"/>
          <w:szCs w:val="22"/>
          <w:lang w:val="en-US" w:eastAsia="zh-CN"/>
        </w:rPr>
        <w:t>5</w:t>
      </w:r>
      <w:r>
        <w:rPr>
          <w:rFonts w:ascii="Times New Roman" w:hAnsi="Times New Roman" w:eastAsia="楷体_GB2312" w:cs="Times New Roman"/>
          <w:b w:val="0"/>
          <w:bCs w:val="0"/>
          <w:color w:val="000000"/>
          <w:spacing w:val="0"/>
          <w:sz w:val="32"/>
          <w:szCs w:val="22"/>
        </w:rPr>
        <w:t>月</w:t>
      </w:r>
      <w:r>
        <w:rPr>
          <w:rFonts w:hint="eastAsia" w:ascii="Times New Roman" w:hAnsi="Times New Roman" w:eastAsia="楷体_GB2312" w:cs="Times New Roman"/>
          <w:b w:val="0"/>
          <w:bCs w:val="0"/>
          <w:color w:val="000000"/>
          <w:spacing w:val="0"/>
          <w:sz w:val="32"/>
          <w:szCs w:val="22"/>
          <w:lang w:val="en-US" w:eastAsia="zh-CN"/>
        </w:rPr>
        <w:t>9</w:t>
      </w:r>
      <w:r>
        <w:rPr>
          <w:rFonts w:ascii="Times New Roman" w:hAnsi="Times New Roman" w:eastAsia="楷体_GB2312" w:cs="Times New Roman"/>
          <w:b w:val="0"/>
          <w:bCs w:val="0"/>
          <w:color w:val="000000"/>
          <w:spacing w:val="0"/>
          <w:sz w:val="32"/>
          <w:szCs w:val="22"/>
        </w:rPr>
        <w:t>日</w:t>
      </w:r>
      <w:r>
        <w:rPr>
          <w:rFonts w:hint="eastAsia" w:ascii="Times New Roman" w:hAnsi="Times New Roman" w:eastAsia="楷体_GB2312" w:cs="Times New Roman"/>
          <w:b w:val="0"/>
          <w:bCs w:val="0"/>
          <w:color w:val="000000"/>
          <w:spacing w:val="0"/>
          <w:sz w:val="32"/>
          <w:szCs w:val="22"/>
          <w:lang w:val="en-US" w:eastAsia="zh-CN"/>
        </w:rPr>
        <w:t xml:space="preserve">    </w:t>
      </w:r>
    </w:p>
    <w:p w14:paraId="76E42284">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75856E3">
      <w:pPr>
        <w:pStyle w:val="13"/>
        <w:keepNext w:val="0"/>
        <w:keepLines w:val="0"/>
        <w:pageBreakBefore w:val="0"/>
        <w:widowControl w:val="0"/>
        <w:tabs>
          <w:tab w:val="right" w:leader="dot" w:pos="8296"/>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sectPr>
          <w:footerReference r:id="rId3" w:type="default"/>
          <w:pgSz w:w="11906" w:h="16838"/>
          <w:pgMar w:top="2098" w:right="1474" w:bottom="1984" w:left="1587" w:header="851" w:footer="1219" w:gutter="0"/>
          <w:pgNumType w:fmt="decimal"/>
          <w:cols w:space="0" w:num="1"/>
          <w:rtlGutter w:val="0"/>
          <w:docGrid w:type="lines" w:linePitch="312" w:charSpace="0"/>
        </w:sectPr>
      </w:pPr>
    </w:p>
    <w:p w14:paraId="6B91FB6D">
      <w:pPr>
        <w:pStyle w:val="13"/>
        <w:keepNext w:val="0"/>
        <w:keepLines w:val="0"/>
        <w:pageBreakBefore w:val="0"/>
        <w:widowControl w:val="0"/>
        <w:tabs>
          <w:tab w:val="right" w:leader="dot" w:pos="8296"/>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濉溪县“十四五”服务业发展规划</w:t>
      </w:r>
    </w:p>
    <w:p w14:paraId="441F1F1F">
      <w:pPr>
        <w:rPr>
          <w:rFonts w:hint="default" w:ascii="Times New Roman" w:hAnsi="Times New Roman" w:cs="Times New Roman"/>
          <w:lang w:eastAsia="zh-CN"/>
        </w:rPr>
      </w:pPr>
    </w:p>
    <w:p w14:paraId="4ECFC2F4">
      <w:pPr>
        <w:pStyle w:val="13"/>
        <w:keepNext w:val="0"/>
        <w:keepLines w:val="0"/>
        <w:pageBreakBefore w:val="0"/>
        <w:widowControl w:val="0"/>
        <w:tabs>
          <w:tab w:val="right" w:leader="dot" w:pos="8296"/>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目</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14:textFill>
            <w14:solidFill>
              <w14:schemeClr w14:val="tx1"/>
            </w14:solidFill>
          </w14:textFill>
        </w:rPr>
        <w:t>录</w:t>
      </w:r>
    </w:p>
    <w:p w14:paraId="501FE742">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p>
    <w:p w14:paraId="6CEA3798">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color w:val="000000" w:themeColor="text1"/>
          <w:sz w:val="32"/>
          <w:szCs w:val="32"/>
          <w14:textFill>
            <w14:solidFill>
              <w14:schemeClr w14:val="tx1"/>
            </w14:solidFill>
          </w14:textFill>
        </w:rPr>
        <w:instrText xml:space="preserve"> TOC \o "1-3" \h \z \u </w:instrText>
      </w:r>
      <w:r>
        <w:rPr>
          <w:rFonts w:hint="default" w:ascii="Times New Roman" w:hAnsi="Times New Roman" w:eastAsia="仿宋_GB2312"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sz w:val="32"/>
          <w:szCs w:val="32"/>
        </w:rPr>
        <w:instrText xml:space="preserve"> HYPERLINK \l _Toc26995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bCs w:val="0"/>
          <w:sz w:val="32"/>
          <w:szCs w:val="32"/>
        </w:rPr>
        <w:t>前  言</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_Toc26995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20E560F4">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sz w:val="32"/>
          <w:szCs w:val="32"/>
        </w:rPr>
        <w:instrText xml:space="preserve"> HYPERLINK \l _Toc5538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bCs w:val="0"/>
          <w:sz w:val="32"/>
          <w:szCs w:val="32"/>
        </w:rPr>
        <w:t>第一章  发展基础及环境分析</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_Toc5538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375DA869">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sz w:val="32"/>
          <w:szCs w:val="32"/>
        </w:rPr>
        <w:instrText xml:space="preserve"> HYPERLINK \l _Toc19106 </w:instrText>
      </w:r>
      <w:r>
        <w:rPr>
          <w:rFonts w:hint="default" w:ascii="Times New Roman" w:hAnsi="Times New Roman" w:eastAsia="楷体_GB2312" w:cs="Times New Roman"/>
          <w:b w:val="0"/>
          <w:bCs w:val="0"/>
          <w:sz w:val="32"/>
          <w:szCs w:val="32"/>
        </w:rPr>
        <w:fldChar w:fldCharType="separate"/>
      </w:r>
      <w:r>
        <w:rPr>
          <w:rFonts w:hint="default" w:ascii="Times New Roman" w:hAnsi="Times New Roman" w:eastAsia="楷体_GB2312" w:cs="Times New Roman"/>
          <w:b w:val="0"/>
          <w:bCs w:val="0"/>
          <w:sz w:val="32"/>
          <w:szCs w:val="32"/>
        </w:rPr>
        <w:t>一、取得的成就</w:t>
      </w:r>
      <w:r>
        <w:rPr>
          <w:rFonts w:hint="default" w:ascii="Times New Roman" w:hAnsi="Times New Roman" w:eastAsia="楷体_GB2312" w:cs="Times New Roman"/>
          <w:b w:val="0"/>
          <w:bCs w:val="0"/>
          <w:sz w:val="32"/>
          <w:szCs w:val="32"/>
        </w:rPr>
        <w:tab/>
      </w:r>
      <w:r>
        <w:rPr>
          <w:rFonts w:hint="default" w:ascii="Times New Roman" w:hAnsi="Times New Roman" w:eastAsia="楷体_GB2312" w:cs="Times New Roman"/>
          <w:b w:val="0"/>
          <w:bCs w:val="0"/>
          <w:sz w:val="32"/>
          <w:szCs w:val="32"/>
        </w:rPr>
        <w:fldChar w:fldCharType="begin"/>
      </w:r>
      <w:r>
        <w:rPr>
          <w:rFonts w:hint="default" w:ascii="Times New Roman" w:hAnsi="Times New Roman" w:eastAsia="楷体_GB2312" w:cs="Times New Roman"/>
          <w:b w:val="0"/>
          <w:bCs w:val="0"/>
          <w:sz w:val="32"/>
          <w:szCs w:val="32"/>
        </w:rPr>
        <w:instrText xml:space="preserve"> PAGEREF _Toc19106 \h </w:instrText>
      </w:r>
      <w:r>
        <w:rPr>
          <w:rFonts w:hint="default" w:ascii="Times New Roman" w:hAnsi="Times New Roman" w:eastAsia="楷体_GB2312" w:cs="Times New Roman"/>
          <w:b w:val="0"/>
          <w:bCs w:val="0"/>
          <w:sz w:val="32"/>
          <w:szCs w:val="32"/>
        </w:rPr>
        <w:fldChar w:fldCharType="separate"/>
      </w:r>
      <w:r>
        <w:rPr>
          <w:rFonts w:hint="default" w:ascii="Times New Roman" w:hAnsi="Times New Roman" w:eastAsia="楷体_GB2312" w:cs="Times New Roman"/>
          <w:b w:val="0"/>
          <w:bCs w:val="0"/>
          <w:sz w:val="32"/>
          <w:szCs w:val="32"/>
        </w:rPr>
        <w:t>2</w:t>
      </w:r>
      <w:r>
        <w:rPr>
          <w:rFonts w:hint="default" w:ascii="Times New Roman" w:hAnsi="Times New Roman" w:eastAsia="楷体_GB2312" w:cs="Times New Roman"/>
          <w:b w:val="0"/>
          <w:bCs w:val="0"/>
          <w:sz w:val="32"/>
          <w:szCs w:val="32"/>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D1D0749">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_Toc8041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（一）服务业总体发展态势良好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_Toc8041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5599949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_Toc9326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（二）商贸流通业实现快速发展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_Toc9326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FB35370">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_Toc12100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（三）电子商务业保持高速发展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_Toc12100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570FF8C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_Toc5437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（四）金融服务业功能持续强化</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_Toc5437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0E13CDE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_Toc4948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（五）科技服务业发展势头强劲</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_Toc4948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B43DB5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_Toc32442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（六）文化和旅游业协调发展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_Toc32442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42CB7A8D">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_Toc27256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（七）重点项目建设推进顺利</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_Toc27256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6F47BB17">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_Toc16545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（八）存在的不足</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_Toc16545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61202267">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_Toc18541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二、面临的环境</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_Toc18541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7</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77E196FF">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_Toc20195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（一）人民对美好生活不断增长的需要为服务业发展注入了新动力</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_Toc20195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0657135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_Toc27619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（二）国家战略叠加为服务业发展提供了新契机</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_Toc27619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EC63900">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_Toc9707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（三）立体交通网为服务业发展打造了新通道</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_Toc9707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C75CFB2">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_Toc7725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（四）新型城镇化为服务业发展开辟了新空间</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_Toc7725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8DE00A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_Toc30218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（五）数字化为服务业发展激发了新活力</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_Toc30218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40C184CF">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_Toc20854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第二章  指导思想和发展目标</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_Toc20854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10</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21537AE7">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_Toc26459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一、指导思想</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_Toc26459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10</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401A804F">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_Toc31139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二、发展原则</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_Toc31139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10</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451E0057">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_Toc8597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三、发展定位</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_Toc8597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11</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534D3888">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_Toc15693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四、发展目标</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_Toc15693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13</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32D794B0">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_Toc24490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第三章  主要任务</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_Toc24490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16</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68BF2F19">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_Toc18292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一、推动生产性服务业向专业化和价值链高端延伸</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_Toc18292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16</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0CB577E5">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_Toc21797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（一）做优做强现代物流业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_Toc21797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2ED76E7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_Toc2007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（二）优化提升商贸服务业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_Toc2007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6F22782">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_Toc7070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（三）培育壮大现代金融业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_Toc7070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32EF5938">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_Toc24352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（四）创新发展电子商务业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_Toc24352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E40C7C8">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_Toc20680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二、推动生活性服务业向高品质升级和多样化发展</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_Toc20680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28</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73F459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_Toc23864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（一）提档升级文化旅游业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_Toc23864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06D6FDB3">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_Toc4573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（二）优化发展商贸流通业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_Toc4573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3302264B">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_Toc11142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（三）积极发展健康养老业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_Toc11142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9AF7183">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_Toc10097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（四）规范发展社区服务业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_Toc10097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C46884B">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_Toc18923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（五）促进发展体育服务业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_Toc18923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26B78382">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_Toc3327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三、推动新业态服务业向数字化和线上化发展</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_Toc3327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39</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1EEC9EE6">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_Toc15531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（一）重点发展线上业态</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_Toc15531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640FBF9D">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_Toc6565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（二）创新模式发展线上服务</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_Toc6565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1E66E4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_Toc31404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（三）推动“一网统筹”线上管理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_Toc31404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6247693A">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_Toc31718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第四章  重点工程</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_Toc31718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44</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133A7525">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_Toc9911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一、发展环境优化工程</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_Toc9911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44</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C37A676">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_Toc2166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二、集聚载体提升工程</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_Toc2166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44</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12EBFF8">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_Toc13205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三、市场主体培育工程</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_Toc13205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45</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3720CA67">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_Toc7250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四、品牌品质塑造工程</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_Toc7250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46</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5BCA7190">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_Toc21056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五、人力资源保障工程</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_Toc21056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47</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684EDFEC">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_Toc5301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第五章  服务业空间布局</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_Toc5301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49</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7E204A3F">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_Toc17031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一、总体布局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_Toc17031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49</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ADDEA5B">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_Toc13232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二、生产性服务业布局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_Toc13232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49</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39644928">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_Toc8651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三、生活性服务业布局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_Toc8651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51</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48D82269">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_Toc15972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第六章  保障措施</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_Toc15972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52</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5DC48B7E">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_Toc28875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一、加强组织协调</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_Toc28875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52</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04A7EDF8">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_Toc18995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二、聚焦政策扶持</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_Toc18995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52</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56746D1A">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_Toc4240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三、强化要素保障</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_Toc4240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53</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5D642556">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_Toc6250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1.保障土地供应</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_Toc6250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58F0D09">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_Toc14329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2.落实金融财税政策</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_Toc14329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E251D0B">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_Toc7206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3.强化人才保障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_Toc7206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57E6FD89">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_Toc11902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4.</w:t>
      </w:r>
      <w:r>
        <w:rPr>
          <w:rFonts w:hint="default" w:ascii="Times New Roman" w:hAnsi="Times New Roman" w:eastAsia="仿宋_GB2312" w:cs="Times New Roman"/>
          <w:sz w:val="32"/>
          <w:szCs w:val="32"/>
        </w:rPr>
        <w:t>优化</w:t>
      </w:r>
      <w:r>
        <w:rPr>
          <w:rFonts w:hint="default" w:ascii="Times New Roman" w:hAnsi="Times New Roman" w:eastAsia="仿宋_GB2312" w:cs="Times New Roman"/>
          <w:sz w:val="32"/>
          <w:szCs w:val="32"/>
          <w:highlight w:val="none"/>
        </w:rPr>
        <w:t>数据资源</w:t>
      </w:r>
      <w:r>
        <w:rPr>
          <w:rFonts w:hint="default" w:ascii="Times New Roman" w:hAnsi="Times New Roman" w:eastAsia="仿宋_GB2312" w:cs="Times New Roman"/>
          <w:sz w:val="32"/>
          <w:szCs w:val="32"/>
        </w:rPr>
        <w:t>应用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_Toc11902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4120CFDF">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_Toc25738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四、优化发展环境</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_Toc25738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55</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409F744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_Toc15897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1.推进社会信用体系建设</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_Toc15897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2DAC7195">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_Toc13697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2.深化服务业领域改革创新</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_Toc13697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527CB81B">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_Toc7551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3.改善事中事后监管体制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_Toc7551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8D23C51">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_Toc11158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4.加强市场监督管理和惩罚力度</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_Toc11158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3ECE5CD9">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_Toc23817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五、强化项目支撑</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_Toc23817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57</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581FC4DB">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_Toc27578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val="0"/>
          <w:smallCaps w:val="0"/>
          <w:sz w:val="32"/>
          <w:szCs w:val="32"/>
        </w:rPr>
        <w:t>1.坚持以项目为抓手</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_Toc27578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5A6BD1CC">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_Toc29693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val="0"/>
          <w:smallCaps w:val="0"/>
          <w:sz w:val="32"/>
          <w:szCs w:val="32"/>
        </w:rPr>
        <w:t>2.完善项目推进机制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_Toc29693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A7F81E6">
      <w:pPr>
        <w:pStyle w:val="14"/>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HYPERLINK \l _Toc9696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六、抓好督促落实</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ab/>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begin"/>
      </w:r>
      <w:r>
        <w:rPr>
          <w:rFonts w:hint="default" w:ascii="Times New Roman" w:hAnsi="Times New Roman" w:eastAsia="楷体_GB2312" w:cs="Times New Roman"/>
          <w:b w:val="0"/>
          <w:bCs w:val="0"/>
          <w:color w:val="000000" w:themeColor="text1"/>
          <w:sz w:val="32"/>
          <w:szCs w:val="32"/>
          <w14:textFill>
            <w14:solidFill>
              <w14:schemeClr w14:val="tx1"/>
            </w14:solidFill>
          </w14:textFill>
        </w:rPr>
        <w:instrText xml:space="preserve"> PAGEREF _Toc9696 \h </w:instrTex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separate"/>
      </w:r>
      <w:r>
        <w:rPr>
          <w:rFonts w:hint="default" w:ascii="Times New Roman" w:hAnsi="Times New Roman" w:eastAsia="楷体_GB2312" w:cs="Times New Roman"/>
          <w:b w:val="0"/>
          <w:bCs w:val="0"/>
          <w:color w:val="000000" w:themeColor="text1"/>
          <w:sz w:val="32"/>
          <w:szCs w:val="32"/>
          <w14:textFill>
            <w14:solidFill>
              <w14:schemeClr w14:val="tx1"/>
            </w14:solidFill>
          </w14:textFill>
        </w:rPr>
        <w:t>58</w:t>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r>
        <w:rPr>
          <w:rFonts w:hint="default" w:ascii="Times New Roman" w:hAnsi="Times New Roman" w:eastAsia="楷体_GB2312" w:cs="Times New Roman"/>
          <w:b w:val="0"/>
          <w:bCs w:val="0"/>
          <w:color w:val="000000" w:themeColor="text1"/>
          <w:sz w:val="32"/>
          <w:szCs w:val="32"/>
          <w14:textFill>
            <w14:solidFill>
              <w14:schemeClr w14:val="tx1"/>
            </w14:solidFill>
          </w14:textFill>
        </w:rPr>
        <w:fldChar w:fldCharType="end"/>
      </w:r>
    </w:p>
    <w:p w14:paraId="2CEA299E">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_Toc14623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val="0"/>
          <w:smallCaps w:val="0"/>
          <w:sz w:val="32"/>
          <w:szCs w:val="32"/>
        </w:rPr>
        <w:t>1.加强任务实施管理</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_Toc14623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7D4D345A">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z w:val="32"/>
          <w:szCs w:val="32"/>
        </w:rPr>
        <w:instrText xml:space="preserve"> HYPERLINK \l _Toc10717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val="0"/>
          <w:smallCaps w:val="0"/>
          <w:sz w:val="32"/>
          <w:szCs w:val="32"/>
          <w:lang w:val="en-US" w:eastAsia="zh-CN"/>
        </w:rPr>
        <w:t>2</w:t>
      </w:r>
      <w:r>
        <w:rPr>
          <w:rFonts w:hint="default" w:ascii="Times New Roman" w:hAnsi="Times New Roman" w:eastAsia="仿宋_GB2312" w:cs="Times New Roman"/>
          <w:bCs w:val="0"/>
          <w:smallCaps w:val="0"/>
          <w:sz w:val="32"/>
          <w:szCs w:val="32"/>
        </w:rPr>
        <w:t>.强化规划实施监测评估</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_Toc10717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24135EE3">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p>
    <w:p w14:paraId="30B7BE0E">
      <w:pPr>
        <w:pStyle w:val="13"/>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800" w:leftChars="0" w:hanging="800" w:hangingChars="25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_Toc10405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lang w:val="en-US"/>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HYPERLINK \l _Toc2034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濉溪县“十四五”服务业发展重大项目一览表</w:t>
      </w:r>
      <w:r>
        <w:rPr>
          <w:rFonts w:hint="default" w:ascii="Times New Roman" w:hAnsi="Times New Roman" w:eastAsia="黑体" w:cs="Times New Roman"/>
          <w:color w:val="000000" w:themeColor="text1"/>
          <w:sz w:val="32"/>
          <w:szCs w:val="32"/>
          <w14:textFill>
            <w14:solidFill>
              <w14:schemeClr w14:val="tx1"/>
            </w14:solidFill>
          </w14:textFill>
        </w:rPr>
        <w:tab/>
      </w:r>
      <w:r>
        <w:rPr>
          <w:rFonts w:hint="default" w:ascii="Times New Roman" w:hAnsi="Times New Roman" w:eastAsia="黑体" w:cs="Times New Roman"/>
          <w:color w:val="000000" w:themeColor="text1"/>
          <w:sz w:val="32"/>
          <w:szCs w:val="32"/>
          <w14:textFill>
            <w14:solidFill>
              <w14:schemeClr w14:val="tx1"/>
            </w14:solidFill>
          </w14:textFill>
        </w:rPr>
        <w:fldChar w:fldCharType="begin"/>
      </w:r>
      <w:r>
        <w:rPr>
          <w:rFonts w:hint="default" w:ascii="Times New Roman" w:hAnsi="Times New Roman" w:eastAsia="黑体" w:cs="Times New Roman"/>
          <w:color w:val="000000" w:themeColor="text1"/>
          <w:sz w:val="32"/>
          <w:szCs w:val="32"/>
          <w14:textFill>
            <w14:solidFill>
              <w14:schemeClr w14:val="tx1"/>
            </w14:solidFill>
          </w14:textFill>
        </w:rPr>
        <w:instrText xml:space="preserve"> PAGEREF _Toc2034 \h </w:instrText>
      </w:r>
      <w:r>
        <w:rPr>
          <w:rFonts w:hint="default" w:ascii="Times New Roman" w:hAnsi="Times New Roman" w:eastAsia="黑体" w:cs="Times New Roman"/>
          <w:color w:val="000000" w:themeColor="text1"/>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z w:val="32"/>
          <w:szCs w:val="32"/>
          <w14:textFill>
            <w14:solidFill>
              <w14:schemeClr w14:val="tx1"/>
            </w14:solidFill>
          </w14:textFill>
        </w:rPr>
        <w:t>60</w:t>
      </w:r>
      <w:r>
        <w:rPr>
          <w:rFonts w:hint="default" w:ascii="Times New Roman" w:hAnsi="Times New Roman" w:eastAsia="黑体" w:cs="Times New Roman"/>
          <w:color w:val="000000" w:themeColor="text1"/>
          <w:sz w:val="32"/>
          <w:szCs w:val="32"/>
          <w14:textFill>
            <w14:solidFill>
              <w14:schemeClr w14:val="tx1"/>
            </w14:solidFill>
          </w14:textFill>
        </w:rPr>
        <w:fldChar w:fldCharType="end"/>
      </w:r>
      <w:r>
        <w:rPr>
          <w:rFonts w:hint="default" w:ascii="Times New Roman" w:hAnsi="Times New Roman" w:eastAsia="黑体" w:cs="Times New Roman"/>
          <w:color w:val="000000" w:themeColor="text1"/>
          <w:sz w:val="32"/>
          <w:szCs w:val="32"/>
          <w14:textFill>
            <w14:solidFill>
              <w14:schemeClr w14:val="tx1"/>
            </w14:solidFill>
          </w14:textFill>
        </w:rPr>
        <w:fldChar w:fldCharType="end"/>
      </w:r>
    </w:p>
    <w:p w14:paraId="746C9C96">
      <w:pPr>
        <w:pStyle w:val="14"/>
        <w:widowControl w:val="0"/>
        <w:tabs>
          <w:tab w:val="right" w:leader="dot" w:pos="8845"/>
        </w:tabs>
        <w:spacing w:line="560" w:lineRule="exact"/>
        <w:ind w:left="800" w:leftChars="0" w:hanging="800" w:hangingChars="250"/>
        <w:jc w:val="center"/>
        <w:rPr>
          <w:rFonts w:hint="default" w:ascii="Times New Roman" w:hAnsi="Times New Roman" w:eastAsia="黑体" w:cs="Times New Roman"/>
          <w:color w:val="000000" w:themeColor="text1"/>
          <w:sz w:val="36"/>
          <w:szCs w:val="36"/>
          <w14:textFill>
            <w14:solidFill>
              <w14:schemeClr w14:val="tx1"/>
            </w14:solidFill>
          </w14:textFill>
        </w:rPr>
        <w:sectPr>
          <w:footerReference r:id="rId4" w:type="default"/>
          <w:pgSz w:w="11906" w:h="16838"/>
          <w:pgMar w:top="2098" w:right="1474" w:bottom="1984" w:left="1587" w:header="851" w:footer="1219" w:gutter="0"/>
          <w:pgNumType w:fmt="decimal" w:start="1"/>
          <w:cols w:space="0" w:num="1"/>
          <w:rtlGutter w:val="0"/>
          <w:docGrid w:type="lines" w:linePitch="312" w:charSpace="0"/>
        </w:sectPr>
      </w:pP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p>
    <w:p w14:paraId="10531786">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0" w:name="_Toc10396"/>
      <w:bookmarkStart w:id="1" w:name="_Toc83296367"/>
      <w:bookmarkStart w:id="2" w:name="_Toc26995"/>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前  言</w:t>
      </w:r>
      <w:bookmarkEnd w:id="0"/>
      <w:bookmarkEnd w:id="1"/>
      <w:bookmarkEnd w:id="2"/>
    </w:p>
    <w:p w14:paraId="5845E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218C8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十四五”时期是我国全面建成小康社会、实现第一个百年奋斗目标之后，开启全面建设社会主义现代化国家新征程的第一个五年发展规划期，是推动经济社会高质量转型发展的关键时期和重要发展机遇期。我们要全面贯彻落实党的十九大、十九届历次全会精神和习近平总书记考察安徽重要讲话指示精神，以习近平新时代中国特色社会主义思想为指导，立足新发展阶段</w:t>
      </w:r>
      <w:r>
        <w:rPr>
          <w:rFonts w:hint="default" w:ascii="Times New Roman" w:hAnsi="Times New Roman" w:eastAsia="仿宋_GB2312" w:cs="Times New Roman"/>
          <w:smallCap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smallCaps/>
          <w:color w:val="000000" w:themeColor="text1"/>
          <w:sz w:val="32"/>
          <w:szCs w:val="32"/>
          <w14:textFill>
            <w14:solidFill>
              <w14:schemeClr w14:val="tx1"/>
            </w14:solidFill>
          </w14:textFill>
        </w:rPr>
        <w:t>贯彻新发展理念，在构建新发展格局上开好局、起好步。</w:t>
      </w:r>
    </w:p>
    <w:p w14:paraId="5C32E9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十四五”时期也是濉溪县加快发展、加速崛起、全力冲刺全国综合实力百强县的关键时期和重要黄金机遇期。全县正抢抓国家推动长三角一体化战略机遇，用活皖北承接产业转移集聚区建设政策，全面加快服务业发展，推动产业结构由“二三一”向“三二一”转变。</w:t>
      </w:r>
      <w:r>
        <w:rPr>
          <w:rFonts w:hint="default" w:ascii="Times New Roman" w:hAnsi="Times New Roman" w:eastAsia="仿宋_GB2312" w:cs="Times New Roman"/>
          <w:color w:val="000000" w:themeColor="text1"/>
          <w:sz w:val="32"/>
          <w:szCs w:val="32"/>
          <w14:textFill>
            <w14:solidFill>
              <w14:schemeClr w14:val="tx1"/>
            </w14:solidFill>
          </w14:textFill>
        </w:rPr>
        <w:t>为进一步贯彻落实国家、省、市加快服务业发展的部署要求，全面提升现代服务业规模、层次和竞争力，</w:t>
      </w:r>
      <w:r>
        <w:rPr>
          <w:rFonts w:hint="default" w:ascii="Times New Roman" w:hAnsi="Times New Roman" w:eastAsia="仿宋_GB2312" w:cs="Times New Roman"/>
          <w:smallCaps/>
          <w:color w:val="000000" w:themeColor="text1"/>
          <w:sz w:val="32"/>
          <w:szCs w:val="32"/>
          <w14:textFill>
            <w14:solidFill>
              <w14:schemeClr w14:val="tx1"/>
            </w14:solidFill>
          </w14:textFill>
        </w:rPr>
        <w:t>根据国家、安徽省和濉溪县</w:t>
      </w:r>
      <w:r>
        <w:rPr>
          <w:rFonts w:hint="eastAsia" w:ascii="Times New Roman" w:hAnsi="Times New Roman" w:eastAsia="仿宋_GB2312" w:cs="Times New Roman"/>
          <w:smallCap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mallCaps/>
          <w:color w:val="000000" w:themeColor="text1"/>
          <w:sz w:val="32"/>
          <w:szCs w:val="32"/>
          <w14:textFill>
            <w14:solidFill>
              <w14:schemeClr w14:val="tx1"/>
            </w14:solidFill>
          </w14:textFill>
        </w:rPr>
        <w:t>十四五</w:t>
      </w:r>
      <w:r>
        <w:rPr>
          <w:rFonts w:hint="eastAsia" w:ascii="Times New Roman" w:hAnsi="Times New Roman" w:eastAsia="仿宋_GB2312" w:cs="Times New Roman"/>
          <w:smallCap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mallCaps/>
          <w:color w:val="000000" w:themeColor="text1"/>
          <w:sz w:val="32"/>
          <w:szCs w:val="32"/>
          <w14:textFill>
            <w14:solidFill>
              <w14:schemeClr w14:val="tx1"/>
            </w14:solidFill>
          </w14:textFill>
        </w:rPr>
        <w:t>规划和2035年远景目标纲要”，组织编制《濉溪县“十四五”服务业发展规划》，旨在引领和指导全县“十四五”时期服务业快速健康发展，进而推动全县经济社会高质量发展，为开启社会主义现代化建设新征程开好新局、夯实基础。</w:t>
      </w:r>
    </w:p>
    <w:p w14:paraId="18DB8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本次规划期2021-2025年，重大事项展望到2035年。</w:t>
      </w:r>
    </w:p>
    <w:p w14:paraId="7814EA21">
      <w:pPr>
        <w:pStyle w:val="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center"/>
        <w:textAlignment w:val="auto"/>
        <w:rPr>
          <w:rFonts w:hint="default" w:ascii="Times New Roman" w:hAnsi="Times New Roman" w:eastAsia="方正小标宋简体" w:cs="Times New Roman"/>
          <w:b w:val="0"/>
          <w:bCs w:val="0"/>
          <w:color w:val="000000" w:themeColor="text1"/>
          <w:sz w:val="32"/>
          <w:szCs w:val="32"/>
          <w14:textFill>
            <w14:solidFill>
              <w14:schemeClr w14:val="tx1"/>
            </w14:solidFill>
          </w14:textFill>
        </w:rPr>
      </w:pPr>
      <w:bookmarkStart w:id="3" w:name="_Toc83296368"/>
      <w:bookmarkStart w:id="4" w:name="_Toc30788"/>
    </w:p>
    <w:p w14:paraId="286B8C91">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p>
    <w:p w14:paraId="378F5BD3">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cs="Times New Roman"/>
          <w:color w:val="000000" w:themeColor="text1"/>
          <w:sz w:val="44"/>
          <w:szCs w:val="44"/>
          <w14:textFill>
            <w14:solidFill>
              <w14:schemeClr w14:val="tx1"/>
            </w14:solidFill>
          </w14:textFill>
        </w:rPr>
      </w:pPr>
      <w:bookmarkStart w:id="5" w:name="_Toc5538"/>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第一章  发展基础及环境分析</w:t>
      </w:r>
      <w:bookmarkEnd w:id="3"/>
      <w:bookmarkEnd w:id="4"/>
      <w:bookmarkEnd w:id="5"/>
    </w:p>
    <w:p w14:paraId="09D79259">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30D92078">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十三五”期间，濉溪县面对错综复杂的宏观形势和艰巨繁重的改革发展稳定任务，又遭受新冠肺炎疫情严重冲击，但全县人民紧紧围绕全面建成小康社会目标，认真贯彻落实党的十九大和十九届二中、三中、四中、五中全会精神，坚决贯彻落实习近平总书记考察安徽重要讲话指示精神和省、市委决策部署，统筹推进疫情防控和经济社会发展，深入贯彻落实国家、省、市关于服务业发展的相关政策措施，大力深化改革，推进高质量发展，全县服务业规模不断扩大，质量和能级加速提升，内部结构和空间布局逐步优化，服务业发展呈现良好势头，</w:t>
      </w:r>
      <w:r>
        <w:rPr>
          <w:rFonts w:hint="default" w:ascii="Times New Roman" w:hAnsi="Times New Roman" w:eastAsia="仿宋_GB2312" w:cs="Times New Roman"/>
          <w:color w:val="000000" w:themeColor="text1"/>
          <w:sz w:val="32"/>
          <w:szCs w:val="32"/>
          <w14:textFill>
            <w14:solidFill>
              <w14:schemeClr w14:val="tx1"/>
            </w14:solidFill>
          </w14:textFill>
        </w:rPr>
        <w:t>对全县经济和社会发展起到重要推动作用。</w:t>
      </w:r>
    </w:p>
    <w:p w14:paraId="69B600A4">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6" w:name="_Toc19106"/>
      <w:bookmarkStart w:id="7" w:name="_Toc18960"/>
      <w:bookmarkStart w:id="8" w:name="_Toc83296369"/>
      <w:r>
        <w:rPr>
          <w:rFonts w:hint="default" w:ascii="Times New Roman" w:hAnsi="Times New Roman" w:eastAsia="黑体" w:cs="Times New Roman"/>
          <w:b w:val="0"/>
          <w:bCs w:val="0"/>
          <w:color w:val="000000" w:themeColor="text1"/>
          <w14:textFill>
            <w14:solidFill>
              <w14:schemeClr w14:val="tx1"/>
            </w14:solidFill>
          </w14:textFill>
        </w:rPr>
        <w:t>一、取得的成就</w:t>
      </w:r>
      <w:bookmarkEnd w:id="6"/>
      <w:bookmarkEnd w:id="7"/>
      <w:bookmarkEnd w:id="8"/>
    </w:p>
    <w:p w14:paraId="60EBF7EB">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9" w:name="_Toc8041"/>
      <w:bookmarkStart w:id="10" w:name="_Toc21518"/>
      <w:bookmarkStart w:id="11" w:name="_Toc83296370"/>
      <w:r>
        <w:rPr>
          <w:rFonts w:hint="default" w:ascii="Times New Roman" w:hAnsi="Times New Roman" w:eastAsia="楷体_GB2312" w:cs="Times New Roman"/>
          <w:color w:val="000000" w:themeColor="text1"/>
          <w14:textFill>
            <w14:solidFill>
              <w14:schemeClr w14:val="tx1"/>
            </w14:solidFill>
          </w14:textFill>
        </w:rPr>
        <w:t>（一）服务业总体发展态势良好</w:t>
      </w:r>
      <w:bookmarkEnd w:id="9"/>
      <w:bookmarkEnd w:id="10"/>
      <w:bookmarkEnd w:id="11"/>
    </w:p>
    <w:p w14:paraId="5C7F2DBF">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总量不断提升。服务业增加值由2015年的71.6亿元增加到2020年的194.2亿元，年均增长7.2%，比GDP增速快0.5个百分点。服务业增加值占GDP的比重由2015年的30.7%提升到2020年的39.6%。其中2020年信息与软件技术服务业突破行业空白，交通运输业与营利性服务业营业收入逆势增长，商务服务业由弱变强，全年服务业增加值增长3.9%，其占比较2019年提升0.8个百分点，拉动GDP增长1.8个百分点，服务业对全县经济的拉动作用不断增强。截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2020年底</w:t>
      </w:r>
      <w:r>
        <w:rPr>
          <w:rFonts w:hint="default" w:ascii="Times New Roman" w:hAnsi="Times New Roman" w:eastAsia="仿宋_GB2312" w:cs="Times New Roman"/>
          <w:color w:val="000000" w:themeColor="text1"/>
          <w:sz w:val="32"/>
          <w:szCs w:val="32"/>
          <w14:textFill>
            <w14:solidFill>
              <w14:schemeClr w14:val="tx1"/>
            </w14:solidFill>
          </w14:textFill>
        </w:rPr>
        <w:t>，全县共有25家规上服务业企业。产业结构进一步优化，三次产业比由2015年的17.5:51.8:30.7转化为2020年的11.0:49.5:39.5。濉溪县百善物流园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中瑞新型农产品批发市场等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个园区获批省级服务业集聚区，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濉溪县</w:t>
      </w:r>
      <w:r>
        <w:rPr>
          <w:rFonts w:hint="default" w:ascii="Times New Roman" w:hAnsi="Times New Roman" w:eastAsia="仿宋_GB2312" w:cs="Times New Roman"/>
          <w:color w:val="000000" w:themeColor="text1"/>
          <w:sz w:val="32"/>
          <w:szCs w:val="32"/>
          <w14:textFill>
            <w14:solidFill>
              <w14:schemeClr w14:val="tx1"/>
            </w14:solidFill>
          </w14:textFill>
        </w:rPr>
        <w:t>电子商务产业园获批省级服务业集聚示范区。</w:t>
      </w:r>
    </w:p>
    <w:p w14:paraId="73289067">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2" w:name="_Toc13023"/>
      <w:bookmarkStart w:id="13" w:name="_Toc9326"/>
      <w:bookmarkStart w:id="14" w:name="_Toc83296371"/>
      <w:r>
        <w:rPr>
          <w:rFonts w:hint="default" w:ascii="Times New Roman" w:hAnsi="Times New Roman" w:eastAsia="楷体_GB2312" w:cs="Times New Roman"/>
          <w:color w:val="000000" w:themeColor="text1"/>
          <w14:textFill>
            <w14:solidFill>
              <w14:schemeClr w14:val="tx1"/>
            </w14:solidFill>
          </w14:textFill>
        </w:rPr>
        <w:t>（二）商贸流通业实现快速发展</w:t>
      </w:r>
      <w:bookmarkEnd w:id="12"/>
      <w:bookmarkEnd w:id="13"/>
      <w:bookmarkEnd w:id="14"/>
    </w:p>
    <w:p w14:paraId="27933095">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三五”期间，濉溪县出台了《濉溪县加快发展现代服务业若干政策》《加快发展电子商务产业的实施意见》等一系列促消费、稳增长、调结构、惠民生政策。截止2020年底，濉溪县在统限额以上企业180家，社会消费品零售总额从2016年的86.6亿元提高到2020年的140.8亿元，年均增长11%。濉溪大市场、柳孜文化园等一批大型商业设施建成运营；翔宇物流、东风物流、中瑞农产品冷链物流、顺达物流配送等物流体系快速发展；社区商业快速发展，便利店、维修店、美容美发店、早餐店等各类社区便民服务商业逐步完善</w:t>
      </w:r>
      <w:r>
        <w:rPr>
          <w:rFonts w:hint="default" w:ascii="Times New Roman" w:hAnsi="Times New Roman" w:eastAsia="宋体"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仅2020年全县新增营业面积19.3万平方米，进一步夯实了商贸流通基础。</w:t>
      </w:r>
    </w:p>
    <w:p w14:paraId="4F52A64F">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5" w:name="_Toc83296372"/>
      <w:bookmarkStart w:id="16" w:name="_Toc28478"/>
      <w:bookmarkStart w:id="17" w:name="_Toc12100"/>
      <w:r>
        <w:rPr>
          <w:rFonts w:hint="default" w:ascii="Times New Roman" w:hAnsi="Times New Roman" w:eastAsia="楷体_GB2312" w:cs="Times New Roman"/>
          <w:color w:val="000000" w:themeColor="text1"/>
          <w14:textFill>
            <w14:solidFill>
              <w14:schemeClr w14:val="tx1"/>
            </w14:solidFill>
          </w14:textFill>
        </w:rPr>
        <w:t>（三）电子商务业保持高速发展</w:t>
      </w:r>
      <w:bookmarkEnd w:id="15"/>
      <w:bookmarkEnd w:id="16"/>
      <w:bookmarkEnd w:id="17"/>
    </w:p>
    <w:p w14:paraId="1CED901A">
      <w:pPr>
        <w:autoSpaceDE w:val="0"/>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“十三五”以来，全县电子商务</w:t>
      </w:r>
      <w:r>
        <w:rPr>
          <w:rFonts w:hint="default" w:ascii="Times New Roman" w:hAnsi="Times New Roman" w:eastAsia="仿宋_GB2312" w:cs="Times New Roman"/>
          <w:color w:val="000000" w:themeColor="text1"/>
          <w:kern w:val="0"/>
          <w:sz w:val="32"/>
          <w:szCs w:val="32"/>
          <w14:textFill>
            <w14:solidFill>
              <w14:schemeClr w14:val="tx1"/>
            </w14:solidFill>
          </w14:textFill>
        </w:rPr>
        <w:t>市场规模不断扩大，市场主体成长迅速，各领域电子商务普及应用进一步深化，发展环境不断优化，服务支撑体系逐步完善，一二三产业、线上线下、内外贸深度融合，电子商务成为全县加快结构调整、促进产业转型升级的重要引擎，2016年获批全国电子商务进农村综合示范县。</w:t>
      </w:r>
      <w:r>
        <w:rPr>
          <w:rFonts w:hint="default" w:ascii="Times New Roman" w:hAnsi="Times New Roman" w:eastAsia="仿宋_GB2312" w:cs="Times New Roman"/>
          <w:color w:val="000000" w:themeColor="text1"/>
          <w:sz w:val="32"/>
          <w:szCs w:val="32"/>
          <w14:textFill>
            <w14:solidFill>
              <w14:schemeClr w14:val="tx1"/>
            </w14:solidFill>
          </w14:textFill>
        </w:rPr>
        <w:t>“十三五”</w:t>
      </w:r>
      <w:r>
        <w:rPr>
          <w:rFonts w:hint="default" w:ascii="Times New Roman" w:hAnsi="Times New Roman" w:eastAsia="仿宋_GB2312" w:cs="Times New Roman"/>
          <w:color w:val="000000" w:themeColor="text1"/>
          <w:kern w:val="0"/>
          <w:sz w:val="32"/>
          <w:szCs w:val="32"/>
          <w14:textFill>
            <w14:solidFill>
              <w14:schemeClr w14:val="tx1"/>
            </w14:solidFill>
          </w14:textFill>
        </w:rPr>
        <w:t>期间，全县累计实现电子商务交易额42亿元，年均增长40.4%；网销农村产品14.5亿元，年均增长60%。培育电商主体362家，</w:t>
      </w:r>
      <w:r>
        <w:rPr>
          <w:rFonts w:hint="default" w:ascii="Times New Roman" w:hAnsi="Times New Roman" w:eastAsia="仿宋_GB2312" w:cs="Times New Roman"/>
          <w:color w:val="000000" w:themeColor="text1"/>
          <w:sz w:val="32"/>
          <w:szCs w:val="32"/>
          <w14:textFill>
            <w14:solidFill>
              <w14:schemeClr w14:val="tx1"/>
            </w14:solidFill>
          </w14:textFill>
        </w:rPr>
        <w:t>培育县域电商公共品牌2个，打造全国电商品牌1个；全县京东、淘宝等知名电商平台活跃店铺和微商2.9万个，带动4万人就业</w:t>
      </w:r>
      <w:r>
        <w:rPr>
          <w:rFonts w:hint="default" w:ascii="Times New Roman" w:hAnsi="Times New Roman" w:eastAsia="仿宋_GB2312" w:cs="Times New Roman"/>
          <w:color w:val="000000" w:themeColor="text1"/>
          <w:kern w:val="0"/>
          <w:sz w:val="32"/>
          <w:szCs w:val="32"/>
          <w14:textFill>
            <w14:solidFill>
              <w14:schemeClr w14:val="tx1"/>
            </w14:solidFill>
          </w14:textFill>
        </w:rPr>
        <w:t>，仅</w:t>
      </w:r>
      <w:r>
        <w:rPr>
          <w:rFonts w:hint="default" w:ascii="Times New Roman" w:hAnsi="Times New Roman" w:eastAsia="仿宋_GB2312" w:cs="Times New Roman"/>
          <w:color w:val="000000" w:themeColor="text1"/>
          <w:sz w:val="32"/>
          <w:szCs w:val="32"/>
          <w14:textFill>
            <w14:solidFill>
              <w14:schemeClr w14:val="tx1"/>
            </w14:solidFill>
          </w14:textFill>
        </w:rPr>
        <w:t>2020年</w:t>
      </w:r>
      <w:r>
        <w:rPr>
          <w:rFonts w:hint="default" w:ascii="Times New Roman" w:hAnsi="Times New Roman" w:eastAsia="仿宋_GB2312" w:cs="Times New Roman"/>
          <w:color w:val="000000" w:themeColor="text1"/>
          <w:kern w:val="0"/>
          <w:sz w:val="32"/>
          <w:szCs w:val="32"/>
          <w14:textFill>
            <w14:solidFill>
              <w14:schemeClr w14:val="tx1"/>
            </w14:solidFill>
          </w14:textFill>
        </w:rPr>
        <w:t>就创成4个省级电商示范村，培育3个年网销额超1000万元省级重点企业、3个年网销额超100万元省级农村电商品牌</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22872BCF">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8" w:name="_Toc5437"/>
      <w:bookmarkStart w:id="19" w:name="_Toc539"/>
      <w:bookmarkStart w:id="20" w:name="_Toc83296373"/>
      <w:r>
        <w:rPr>
          <w:rFonts w:hint="default" w:ascii="Times New Roman" w:hAnsi="Times New Roman" w:eastAsia="楷体_GB2312" w:cs="Times New Roman"/>
          <w:color w:val="000000" w:themeColor="text1"/>
          <w14:textFill>
            <w14:solidFill>
              <w14:schemeClr w14:val="tx1"/>
            </w14:solidFill>
          </w14:textFill>
        </w:rPr>
        <w:t>（四）金融服务业功能持续强化</w:t>
      </w:r>
      <w:bookmarkEnd w:id="18"/>
      <w:bookmarkEnd w:id="19"/>
      <w:bookmarkEnd w:id="20"/>
    </w:p>
    <w:p w14:paraId="3E61BA01">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“十三五”以来，</w:t>
      </w:r>
      <w:r>
        <w:rPr>
          <w:rFonts w:hint="default" w:ascii="Times New Roman" w:hAnsi="Times New Roman" w:eastAsia="仿宋_GB2312" w:cs="Times New Roman"/>
          <w:color w:val="000000" w:themeColor="text1"/>
          <w:kern w:val="0"/>
          <w:sz w:val="32"/>
          <w:szCs w:val="32"/>
          <w14:textFill>
            <w14:solidFill>
              <w14:schemeClr w14:val="tx1"/>
            </w14:solidFill>
          </w14:textFill>
        </w:rPr>
        <w:t>全县下发了《关于发挥财政引导作用支持中小企业和“三农”发展的实施意见》《关于进一步促进金融业发展的意见》等一系列文件。同时依托皖北融资中心，加强中小企业融资服务，拓宽融资渠道，提高直接融资比重。到2020年末，全县在“新三板”和区域四板挂牌企业总数已达57家，仅2020年当年就有12家企业挂牌</w:t>
      </w:r>
      <w:r>
        <w:rPr>
          <w:rFonts w:hint="default" w:ascii="Times New Roman" w:hAnsi="Times New Roman" w:eastAsia="宋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全县共有银行业金融机构12家，政策性融资担保公司2家。2020年末全县银行业存款余额540.03亿元，比年初增加44.6亿元，增长9%；全县贷款余额374.08亿元</w:t>
      </w:r>
      <w:r>
        <w:rPr>
          <w:rFonts w:hint="default" w:ascii="Times New Roman" w:hAnsi="Times New Roman" w:eastAsia="宋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增加70.14亿元，增长23.08%；实现税收1.7715亿元。</w:t>
      </w:r>
    </w:p>
    <w:p w14:paraId="641A9A3C">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21" w:name="_Toc83296374"/>
      <w:bookmarkStart w:id="22" w:name="_Toc14916"/>
      <w:bookmarkStart w:id="23" w:name="_Toc4948"/>
      <w:r>
        <w:rPr>
          <w:rFonts w:hint="default" w:ascii="Times New Roman" w:hAnsi="Times New Roman" w:eastAsia="楷体_GB2312" w:cs="Times New Roman"/>
          <w:color w:val="000000" w:themeColor="text1"/>
          <w14:textFill>
            <w14:solidFill>
              <w14:schemeClr w14:val="tx1"/>
            </w14:solidFill>
          </w14:textFill>
        </w:rPr>
        <w:t>（五）科技服务业发展势头强劲</w:t>
      </w:r>
      <w:bookmarkEnd w:id="21"/>
      <w:bookmarkEnd w:id="22"/>
      <w:bookmarkEnd w:id="23"/>
    </w:p>
    <w:p w14:paraId="752DC78F">
      <w:pPr>
        <w:pStyle w:val="7"/>
        <w:spacing w:after="0"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“十三五”期间，</w:t>
      </w:r>
      <w:r>
        <w:rPr>
          <w:rFonts w:hint="default" w:ascii="Times New Roman" w:hAnsi="Times New Roman" w:eastAsia="仿宋_GB2312" w:cs="Times New Roman"/>
          <w:color w:val="000000" w:themeColor="text1"/>
          <w:kern w:val="0"/>
          <w:sz w:val="32"/>
          <w:szCs w:val="32"/>
          <w14:textFill>
            <w14:solidFill>
              <w14:schemeClr w14:val="tx1"/>
            </w14:solidFill>
          </w14:textFill>
        </w:rPr>
        <w:t>创新型园区建设取得较大进展。濉溪经济开发区铝基复合材料特色产业基地获批2018年第一批国家火炬特色基地。濉溪百善现代农业综合开发示范区获批省级农业科技园区；孵化器、众创空间建设取得新突破，濉溪经济开发区创业服务中心入选省科技企业孵化器名单，淮海壹号众创空间跻身省级众创空间，全县创新创业环境进一步优化；研发机构建设取得新成果，2017以来备案市级工程技术研究中心17家。“十三五”期间全县发明专利申请量为2083件，拥有有效发明专利273件，每万人口有效发明专利拥有量2.44件。</w:t>
      </w:r>
    </w:p>
    <w:p w14:paraId="0D9FDFE1">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24" w:name="_Toc83296375"/>
      <w:bookmarkStart w:id="25" w:name="_Toc9592"/>
      <w:bookmarkStart w:id="26" w:name="_Toc32442"/>
      <w:r>
        <w:rPr>
          <w:rFonts w:hint="default" w:ascii="Times New Roman" w:hAnsi="Times New Roman" w:eastAsia="楷体_GB2312" w:cs="Times New Roman"/>
          <w:color w:val="000000" w:themeColor="text1"/>
          <w14:textFill>
            <w14:solidFill>
              <w14:schemeClr w14:val="tx1"/>
            </w14:solidFill>
          </w14:textFill>
        </w:rPr>
        <w:t>（六）文化和旅游业协调发展</w:t>
      </w:r>
      <w:bookmarkEnd w:id="24"/>
      <w:bookmarkEnd w:id="25"/>
      <w:bookmarkEnd w:id="26"/>
    </w:p>
    <w:p w14:paraId="0202C1AB">
      <w:pPr>
        <w:pStyle w:val="7"/>
        <w:spacing w:after="0"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“十三五”期间，坚持</w:t>
      </w:r>
      <w:r>
        <w:rPr>
          <w:rFonts w:hint="default" w:ascii="Times New Roman" w:hAnsi="Times New Roman" w:eastAsia="仿宋_GB2312" w:cs="Times New Roman"/>
          <w:color w:val="000000" w:themeColor="text1"/>
          <w:kern w:val="0"/>
          <w:sz w:val="32"/>
          <w:szCs w:val="32"/>
          <w14:textFill>
            <w14:solidFill>
              <w14:schemeClr w14:val="tx1"/>
            </w14:solidFill>
          </w14:textFill>
        </w:rPr>
        <w:t>强化规划编制，引导旅游消费需求，培育旅游消费热点。编制了《大运河柳孜运河遗址保护管理规划》《古城汉墓保护规划》《濉溪老城石板街历史街区保护与更新项目》等规划方案。成功举办首届柳孜大运河文化艺术节，首届运河流域鼓书曲艺展演等系列文化宣传活动，被授予“安徽省曲艺之乡”。大力整合全县乡村旅游资源，以农业休闲旅游和爱国主义教育为特色，开发建设大运河文化带和红色文化旅游线路项目，争创柳江口4A旅游景区，培育特色旅游品牌。柳孜文化园、隋堤景区先后被评为国家3A级旅游景区。韩村镇淮海村、百善镇柳孜村被评为省级乡村旅游示范村；在安徽乡村旅游“百村”营销行动上，淮海村、柳孜村入选皖美乡村旅游线路；百善镇柳孜村入选第五批“安徽省千年古村落地名文化遗产”名录等。</w:t>
      </w:r>
    </w:p>
    <w:p w14:paraId="465EE9A7">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27" w:name="_Toc27256"/>
      <w:bookmarkStart w:id="28" w:name="_Toc83296376"/>
      <w:bookmarkStart w:id="29" w:name="_Toc14083"/>
      <w:r>
        <w:rPr>
          <w:rFonts w:hint="default" w:ascii="Times New Roman" w:hAnsi="Times New Roman" w:eastAsia="楷体_GB2312" w:cs="Times New Roman"/>
          <w:color w:val="000000" w:themeColor="text1"/>
          <w14:textFill>
            <w14:solidFill>
              <w14:schemeClr w14:val="tx1"/>
            </w14:solidFill>
          </w14:textFill>
        </w:rPr>
        <w:t>（七）重点项目建设推进顺利</w:t>
      </w:r>
      <w:bookmarkEnd w:id="27"/>
      <w:bookmarkEnd w:id="28"/>
      <w:bookmarkEnd w:id="29"/>
    </w:p>
    <w:p w14:paraId="774164F0">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“十三五”时期，加快推进现代物流、金融服务、电子商务、现代商贸、文化旅游</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、房地产等领域重点项目建设。濉溪县电子商务公共服务平台已建成运营；现代商贸中瑞农产品批发市场迁址改造升级工程顺利推进</w:t>
      </w:r>
      <w:r>
        <w:rPr>
          <w:rFonts w:hint="default" w:ascii="Times New Roman" w:hAnsi="Times New Roman" w:eastAsia="仿宋_GB2312" w:cs="Times New Roman"/>
          <w:smallCap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文化</w:t>
      </w:r>
      <w:r>
        <w:rPr>
          <w:rFonts w:hint="default" w:ascii="Times New Roman" w:hAnsi="Times New Roman" w:eastAsia="仿宋_GB2312" w:cs="Times New Roman"/>
          <w:smallCaps/>
          <w:color w:val="000000" w:themeColor="text1"/>
          <w:sz w:val="32"/>
          <w:szCs w:val="32"/>
          <w14:textFill>
            <w14:solidFill>
              <w14:schemeClr w14:val="tx1"/>
            </w14:solidFill>
          </w14:textFill>
        </w:rPr>
        <w:t>旅游中柳孜运河遗址柳江口文化园一期二期已建成开园迎客、濉溪县老城石板街历史街区保护与更新项目文物改造及更新完成90%、临涣古城和临涣文昌宫修建正进行招标、韩村小李庄项目正在建设百荣园，博物馆提升工程正在进行前期工作、口子文化博览园已建成运营；房地产项目中</w:t>
      </w:r>
      <w:r>
        <w:rPr>
          <w:rFonts w:hint="default" w:ascii="Times New Roman" w:hAnsi="Times New Roman" w:eastAsia="仿宋_GB2312" w:cs="Times New Roman"/>
          <w:smallCaps/>
          <w:color w:val="000000" w:themeColor="text1"/>
          <w:sz w:val="32"/>
          <w:szCs w:val="32"/>
          <w:highlight w:val="none"/>
          <w:lang w:eastAsia="zh-CN"/>
          <w14:textFill>
            <w14:solidFill>
              <w14:schemeClr w14:val="tx1"/>
            </w14:solidFill>
          </w14:textFill>
        </w:rPr>
        <w:t>南湖水岸</w:t>
      </w:r>
      <w:r>
        <w:rPr>
          <w:rFonts w:hint="default" w:ascii="Times New Roman" w:hAnsi="Times New Roman" w:eastAsia="仿宋_GB2312" w:cs="Times New Roman"/>
          <w:smallCaps/>
          <w:color w:val="000000" w:themeColor="text1"/>
          <w:sz w:val="32"/>
          <w:szCs w:val="32"/>
          <w14:textFill>
            <w14:solidFill>
              <w14:schemeClr w14:val="tx1"/>
            </w14:solidFill>
          </w14:textFill>
        </w:rPr>
        <w:t>、御溪荣境等项目已竣工；金融服务项目等推进顺利。</w:t>
      </w:r>
    </w:p>
    <w:p w14:paraId="49695FF0">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30" w:name="_Toc7775"/>
      <w:bookmarkStart w:id="31" w:name="_Toc16545"/>
      <w:bookmarkStart w:id="32" w:name="_Toc83296377"/>
      <w:r>
        <w:rPr>
          <w:rFonts w:hint="default" w:ascii="Times New Roman" w:hAnsi="Times New Roman" w:eastAsia="楷体_GB2312" w:cs="Times New Roman"/>
          <w:color w:val="000000" w:themeColor="text1"/>
          <w14:textFill>
            <w14:solidFill>
              <w14:schemeClr w14:val="tx1"/>
            </w14:solidFill>
          </w14:textFill>
        </w:rPr>
        <w:t>（八）存在的不足</w:t>
      </w:r>
      <w:bookmarkEnd w:id="30"/>
      <w:bookmarkEnd w:id="31"/>
      <w:bookmarkEnd w:id="32"/>
    </w:p>
    <w:p w14:paraId="200A0302">
      <w:pPr>
        <w:pStyle w:val="7"/>
        <w:spacing w:after="0"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“十三五”期间，濉溪县服务业虽然取得了较快发展，但</w:t>
      </w:r>
      <w:r>
        <w:rPr>
          <w:rFonts w:hint="default" w:ascii="Times New Roman" w:hAnsi="Times New Roman" w:eastAsia="仿宋_GB2312" w:cs="Times New Roman"/>
          <w:smallCaps/>
          <w:color w:val="000000" w:themeColor="text1"/>
          <w:sz w:val="32"/>
          <w:szCs w:val="32"/>
          <w:lang w:val="en-US" w:eastAsia="zh-CN"/>
          <w14:textFill>
            <w14:solidFill>
              <w14:schemeClr w14:val="tx1"/>
            </w14:solidFill>
          </w14:textFill>
        </w:rPr>
        <w:t>存在</w:t>
      </w:r>
      <w:r>
        <w:rPr>
          <w:rFonts w:hint="default" w:ascii="Times New Roman" w:hAnsi="Times New Roman" w:eastAsia="仿宋_GB2312" w:cs="Times New Roman"/>
          <w:smallCaps/>
          <w:color w:val="000000" w:themeColor="text1"/>
          <w:sz w:val="32"/>
          <w:szCs w:val="32"/>
          <w14:textFill>
            <w14:solidFill>
              <w14:schemeClr w14:val="tx1"/>
            </w14:solidFill>
          </w14:textFill>
        </w:rPr>
        <w:t>在规模体量上和在三次产业占比上仍然偏小等一些问题。2020年全县服务业增加值占GDP比重39.6%，较同期全国（54.5%）、全省（51.3%）、全市（51.1%）的差距比较明显，较全省十强县中排名相临近的巢湖市（54.0%）也明显偏低。服务业同时存在企业数量少、规模小的问题，截至2020年底，全县在统参与GDP核算服务业企业17家（淮北市共88家），其中营业收入超千万的仅3家（淮北市共29家），而且服务业企业主要集中在租赁商务等传统服务业，信息传输软件技术、咨询、科学技术、金融等现代服务业较少，研发、设计、电子商务、文化创意等领域多数依然空白。从分布看，服务业企业主要集中在濉溪镇，其他大部分镇（园区）依然没有符合入统条件的企业。从商贸发展上看，2020年销售额过亿元的商贸企业仅3家，由于长期以来县城与淮北市市区同城发展，致使目前全县尚无大型特色街区商业综合体和五星级酒店。2020年全县限上单位零售额20.5亿元，占社会消费品零售总额比重14.6%，低于全省县（市）平均1.6个百分点，低于全市9.8个百分点。基础设施正加快完善，但</w:t>
      </w:r>
      <w:r>
        <w:rPr>
          <w:rFonts w:hint="default" w:ascii="Times New Roman" w:hAnsi="Times New Roman" w:eastAsia="仿宋_GB2312" w:cs="Times New Roman"/>
          <w:color w:val="000000" w:themeColor="text1"/>
          <w:sz w:val="32"/>
          <w:szCs w:val="32"/>
          <w14:textFill>
            <w14:solidFill>
              <w14:schemeClr w14:val="tx1"/>
            </w14:solidFill>
          </w14:textFill>
        </w:rPr>
        <w:t>商贸物流企业过于分散，</w:t>
      </w:r>
      <w:r>
        <w:rPr>
          <w:rFonts w:hint="default" w:ascii="Times New Roman" w:hAnsi="Times New Roman" w:eastAsia="仿宋_GB2312" w:cs="Times New Roman"/>
          <w:smallCaps/>
          <w:color w:val="000000" w:themeColor="text1"/>
          <w:sz w:val="32"/>
          <w:szCs w:val="32"/>
          <w14:textFill>
            <w14:solidFill>
              <w14:schemeClr w14:val="tx1"/>
            </w14:solidFill>
          </w14:textFill>
        </w:rPr>
        <w:t>综合配套有待完善，</w:t>
      </w:r>
      <w:r>
        <w:rPr>
          <w:rFonts w:hint="default" w:ascii="Times New Roman" w:hAnsi="Times New Roman" w:eastAsia="仿宋_GB2312" w:cs="Times New Roman"/>
          <w:color w:val="000000" w:themeColor="text1"/>
          <w:sz w:val="32"/>
          <w:szCs w:val="32"/>
          <w14:textFill>
            <w14:solidFill>
              <w14:schemeClr w14:val="tx1"/>
            </w14:solidFill>
          </w14:textFill>
        </w:rPr>
        <w:t>运输成本仍然较高。</w:t>
      </w:r>
    </w:p>
    <w:p w14:paraId="6223F3FF">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33" w:name="_Toc5125"/>
      <w:bookmarkStart w:id="34" w:name="_Toc18541"/>
      <w:bookmarkStart w:id="35" w:name="_Toc83296378"/>
      <w:r>
        <w:rPr>
          <w:rFonts w:hint="default" w:ascii="Times New Roman" w:hAnsi="Times New Roman" w:eastAsia="黑体" w:cs="Times New Roman"/>
          <w:b w:val="0"/>
          <w:bCs w:val="0"/>
          <w:color w:val="000000" w:themeColor="text1"/>
          <w14:textFill>
            <w14:solidFill>
              <w14:schemeClr w14:val="tx1"/>
            </w14:solidFill>
          </w14:textFill>
        </w:rPr>
        <w:t>二、面临的环境</w:t>
      </w:r>
      <w:bookmarkEnd w:id="33"/>
      <w:bookmarkEnd w:id="34"/>
      <w:bookmarkEnd w:id="35"/>
    </w:p>
    <w:p w14:paraId="35D5BCDB">
      <w:pPr>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“十四五”时期，全球经济格局深度调整，我国开启</w:t>
      </w:r>
      <w:bookmarkStart w:id="268" w:name="_GoBack"/>
      <w:bookmarkEnd w:id="268"/>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全面建设社会主义现代化国家新征程</w:t>
      </w:r>
      <w:r>
        <w:rPr>
          <w:rFonts w:hint="default" w:ascii="Times New Roman" w:hAnsi="Times New Roman" w:eastAsia="仿宋_GB2312" w:cs="Times New Roman"/>
          <w:color w:val="000000" w:themeColor="text1"/>
          <w:kern w:val="0"/>
          <w:sz w:val="32"/>
          <w:szCs w:val="32"/>
          <w14:textFill>
            <w14:solidFill>
              <w14:schemeClr w14:val="tx1"/>
            </w14:solidFill>
          </w14:textFill>
        </w:rPr>
        <w:t>，服务业发展面临诸多新机遇，同时存在不少新挑战。</w:t>
      </w:r>
    </w:p>
    <w:p w14:paraId="0B024714">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36" w:name="_Toc28880"/>
      <w:bookmarkStart w:id="37" w:name="_Toc83296379"/>
      <w:bookmarkStart w:id="38" w:name="_Toc20195"/>
      <w:r>
        <w:rPr>
          <w:rFonts w:hint="default" w:ascii="Times New Roman" w:hAnsi="Times New Roman" w:eastAsia="楷体_GB2312" w:cs="Times New Roman"/>
          <w:color w:val="000000" w:themeColor="text1"/>
          <w14:textFill>
            <w14:solidFill>
              <w14:schemeClr w14:val="tx1"/>
            </w14:solidFill>
          </w14:textFill>
        </w:rPr>
        <w:t>（一）人民对美好生活不断增长的需要为服务业发展注入了新动力</w:t>
      </w:r>
      <w:bookmarkEnd w:id="36"/>
      <w:bookmarkEnd w:id="37"/>
      <w:bookmarkEnd w:id="38"/>
    </w:p>
    <w:p w14:paraId="67C367D9">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bookmarkStart w:id="39" w:name="_Toc83296229"/>
      <w:r>
        <w:rPr>
          <w:rFonts w:hint="default" w:ascii="Times New Roman" w:hAnsi="Times New Roman" w:eastAsia="仿宋_GB2312" w:cs="Times New Roman"/>
          <w:smallCaps/>
          <w:color w:val="000000" w:themeColor="text1"/>
          <w:sz w:val="32"/>
          <w:szCs w:val="32"/>
          <w14:textFill>
            <w14:solidFill>
              <w14:schemeClr w14:val="tx1"/>
            </w14:solidFill>
          </w14:textFill>
        </w:rPr>
        <w:t>不断满足人民对美好生活的需要和向往，是我们党治国理政的出发点和落脚点。随着我国居民收入水平和消费能力日益提升，绿色环保、讲求质量品质、注重文化内涵的生活消费理念快速发展，消费结构不断升级，同时随着碳达峰碳中和约束不断加紧，加快构建服务业为主体的接续替代产业势在必须，这为濉溪县发展文化旅游、体育、健康养老、居民服务、娱乐和其他服务业等迎来了新需求、注入了新动力。</w:t>
      </w:r>
      <w:bookmarkEnd w:id="39"/>
    </w:p>
    <w:p w14:paraId="0E433910">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40" w:name="_Toc27619"/>
      <w:bookmarkStart w:id="41" w:name="_Toc7784"/>
      <w:bookmarkStart w:id="42" w:name="_Toc83296380"/>
      <w:r>
        <w:rPr>
          <w:rFonts w:hint="default" w:ascii="Times New Roman" w:hAnsi="Times New Roman" w:eastAsia="楷体_GB2312" w:cs="Times New Roman"/>
          <w:color w:val="000000" w:themeColor="text1"/>
          <w14:textFill>
            <w14:solidFill>
              <w14:schemeClr w14:val="tx1"/>
            </w14:solidFill>
          </w14:textFill>
        </w:rPr>
        <w:t>（二）国家战略叠加为服务业发展提供了新契机</w:t>
      </w:r>
      <w:bookmarkEnd w:id="40"/>
      <w:bookmarkEnd w:id="41"/>
      <w:bookmarkEnd w:id="42"/>
    </w:p>
    <w:p w14:paraId="7B63FC40">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国家正在实施“一带一路”、长三角一体化、淮河生态经济带、中原经济区、淮海经济圈等区域发展战略，同时国家加快推进大运河国家文化公园建设，安徽省正在实施皖北振兴发展战略、加快建设皖北承接产业转移集聚区、全力打造皖北“6+2+N”产业承接平台，因此，濉溪县处于国家和省众多重大发展战略的叠加区域，接受各项政策和发展战略辐射，为濉溪县“十四五”时期发挥资源优势、区位优势、城镇化后发优势，培育壮大现代服务业提供了新契机，对濉溪县构建在以国内大循环为主体、国内国际双循环相互促进的新发展格局中展现较大作为具有重要意义。</w:t>
      </w:r>
    </w:p>
    <w:p w14:paraId="3AE05D74">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43" w:name="_Toc4650"/>
      <w:bookmarkStart w:id="44" w:name="_Toc9707"/>
      <w:bookmarkStart w:id="45" w:name="_Toc83296381"/>
      <w:r>
        <w:rPr>
          <w:rFonts w:hint="default" w:ascii="Times New Roman" w:hAnsi="Times New Roman" w:eastAsia="楷体_GB2312" w:cs="Times New Roman"/>
          <w:color w:val="000000" w:themeColor="text1"/>
          <w14:textFill>
            <w14:solidFill>
              <w14:schemeClr w14:val="tx1"/>
            </w14:solidFill>
          </w14:textFill>
        </w:rPr>
        <w:t>（三）立体交通网为服务业发展打造了新通道</w:t>
      </w:r>
      <w:bookmarkEnd w:id="43"/>
      <w:bookmarkEnd w:id="44"/>
      <w:bookmarkEnd w:id="45"/>
    </w:p>
    <w:p w14:paraId="671777C4">
      <w:pPr>
        <w:spacing w:line="560" w:lineRule="exact"/>
        <w:ind w:firstLine="616" w:firstLineChars="200"/>
        <w:rPr>
          <w:rFonts w:ascii="Times New Roman" w:hAnsi="Times New Roman" w:eastAsia="仿宋_GB2312" w:cs="Times New Roman"/>
          <w:smallCaps/>
          <w:color w:val="000000" w:themeColor="text1"/>
          <w:spacing w:val="-6"/>
          <w:sz w:val="32"/>
          <w:szCs w:val="32"/>
          <w14:textFill>
            <w14:solidFill>
              <w14:schemeClr w14:val="tx1"/>
            </w14:solidFill>
          </w14:textFill>
        </w:rPr>
      </w:pPr>
      <w:r>
        <w:rPr>
          <w:rFonts w:hint="default" w:ascii="Times New Roman" w:hAnsi="Times New Roman" w:eastAsia="仿宋_GB2312" w:cs="Times New Roman"/>
          <w:smallCaps/>
          <w:color w:val="000000" w:themeColor="text1"/>
          <w:spacing w:val="-6"/>
          <w:sz w:val="32"/>
          <w:szCs w:val="32"/>
          <w14:textFill>
            <w14:solidFill>
              <w14:schemeClr w14:val="tx1"/>
            </w14:solidFill>
          </w14:textFill>
        </w:rPr>
        <w:t>淮宿蚌城际铁路、淮阜城际铁路、三洋铁路、徐淮阜高速、宿蒙高速、淮永高速等重要区域交通工程项目正加快建设，高铁淮北西站、高铁双堆集站及濉溪通用机场等重大枢纽工程正在建设或加快布局，浍河、沱河等水运航道提升，濉溪将实现等高对接长三角及合肥、徐州都市圈交通网，无缝对接宿州、蚌埠、亳州等周边地区，立体交通网逐渐完善，人流、物流、信息流大通道不断畅通，区位交通优势愈加显现。</w:t>
      </w:r>
    </w:p>
    <w:p w14:paraId="2E837184">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46" w:name="_Toc7725"/>
      <w:bookmarkStart w:id="47" w:name="_Toc83296382"/>
      <w:bookmarkStart w:id="48" w:name="_Toc10229"/>
      <w:r>
        <w:rPr>
          <w:rFonts w:hint="default" w:ascii="Times New Roman" w:hAnsi="Times New Roman" w:eastAsia="楷体_GB2312" w:cs="Times New Roman"/>
          <w:color w:val="000000" w:themeColor="text1"/>
          <w14:textFill>
            <w14:solidFill>
              <w14:schemeClr w14:val="tx1"/>
            </w14:solidFill>
          </w14:textFill>
        </w:rPr>
        <w:t>（四）新型城镇化为服务业发展开辟了新空间</w:t>
      </w:r>
      <w:bookmarkEnd w:id="46"/>
      <w:bookmarkEnd w:id="47"/>
      <w:bookmarkEnd w:id="48"/>
    </w:p>
    <w:p w14:paraId="572AB91A">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服务业发展水平与城镇化程度密切相关，2020年濉溪县常住人口城镇化率为45%，与全省和全市的平均值差距较大。按照《濉溪县城市总体规划（2013-2030》提出城市规划区构筑“一城两区、三轴三心、一湖五廊”的一体化空间发展格局，城市发展 “南进西扩”。随着河西商务区、濉溪经开区和濉芜现代产业园区、南部次中心等片区的建设以及濉溪城际铁路站等一批重大基础设施建设，进一步扩大城市商圈辐射范围，各镇</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聚焦自身特色优势，大力吸纳多方资源，实施多元发展，逐步形成临涣古镇、百善运河</w:t>
      </w:r>
      <w:r>
        <w:rPr>
          <w:rFonts w:hint="default" w:ascii="Times New Roman" w:hAnsi="Times New Roman" w:eastAsia="仿宋_GB2312" w:cs="Times New Roman"/>
          <w:smallCaps/>
          <w:color w:val="000000" w:themeColor="text1"/>
          <w:sz w:val="32"/>
          <w:szCs w:val="32"/>
          <w:highlight w:val="none"/>
          <w:lang w:eastAsia="zh-CN"/>
          <w14:textFill>
            <w14:solidFill>
              <w14:schemeClr w14:val="tx1"/>
            </w14:solidFill>
          </w14:textFill>
        </w:rPr>
        <w:t>文化</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微型产业集聚区、韩村三彩</w:t>
      </w:r>
      <w:r>
        <w:rPr>
          <w:rFonts w:hint="default" w:ascii="Times New Roman" w:hAnsi="Times New Roman" w:eastAsia="仿宋_GB2312" w:cs="Times New Roman"/>
          <w:smallCaps/>
          <w:color w:val="000000" w:themeColor="text1"/>
          <w:sz w:val="32"/>
          <w:szCs w:val="32"/>
          <w:highlight w:val="none"/>
          <w:lang w:eastAsia="zh-CN"/>
          <w14:textFill>
            <w14:solidFill>
              <w14:schemeClr w14:val="tx1"/>
            </w14:solidFill>
          </w14:textFill>
        </w:rPr>
        <w:t>文旅</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微型产业集聚区、四铺菊花微型产业集聚区等特色镇区发展趋势。濉溪县新型城镇化空间很大，城镇化后发机遇和</w:t>
      </w:r>
      <w:r>
        <w:rPr>
          <w:rFonts w:hint="default" w:ascii="Times New Roman" w:hAnsi="Times New Roman" w:eastAsia="仿宋_GB2312" w:cs="Times New Roman"/>
          <w:smallCaps/>
          <w:color w:val="000000" w:themeColor="text1"/>
          <w:sz w:val="32"/>
          <w:szCs w:val="32"/>
          <w:highlight w:val="none"/>
          <w:lang w:eastAsia="zh-CN"/>
          <w14:textFill>
            <w14:solidFill>
              <w14:schemeClr w14:val="tx1"/>
            </w14:solidFill>
          </w14:textFill>
        </w:rPr>
        <w:t>挑战</w:t>
      </w:r>
      <w:r>
        <w:rPr>
          <w:rFonts w:hint="default" w:ascii="Times New Roman" w:hAnsi="Times New Roman" w:eastAsia="仿宋_GB2312" w:cs="Times New Roman"/>
          <w:smallCaps/>
          <w:color w:val="000000" w:themeColor="text1"/>
          <w:sz w:val="32"/>
          <w:szCs w:val="32"/>
          <w:highlight w:val="none"/>
          <w14:textFill>
            <w14:solidFill>
              <w14:schemeClr w14:val="tx1"/>
            </w14:solidFill>
          </w14:textFill>
        </w:rPr>
        <w:t>，为服务业发展开辟了</w:t>
      </w:r>
      <w:r>
        <w:rPr>
          <w:rFonts w:hint="default" w:ascii="Times New Roman" w:hAnsi="Times New Roman" w:eastAsia="仿宋_GB2312" w:cs="Times New Roman"/>
          <w:smallCaps/>
          <w:color w:val="000000" w:themeColor="text1"/>
          <w:sz w:val="32"/>
          <w:szCs w:val="32"/>
          <w14:textFill>
            <w14:solidFill>
              <w14:schemeClr w14:val="tx1"/>
            </w14:solidFill>
          </w14:textFill>
        </w:rPr>
        <w:t>新空间。</w:t>
      </w:r>
    </w:p>
    <w:p w14:paraId="2296DF4D">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49" w:name="_Toc83296383"/>
      <w:bookmarkStart w:id="50" w:name="_Toc30218"/>
      <w:bookmarkStart w:id="51" w:name="_Toc8013"/>
      <w:r>
        <w:rPr>
          <w:rFonts w:hint="default" w:ascii="Times New Roman" w:hAnsi="Times New Roman" w:eastAsia="楷体_GB2312" w:cs="Times New Roman"/>
          <w:color w:val="000000" w:themeColor="text1"/>
          <w14:textFill>
            <w14:solidFill>
              <w14:schemeClr w14:val="tx1"/>
            </w14:solidFill>
          </w14:textFill>
        </w:rPr>
        <w:t>（五）数字化为服务业发展激发了新活力</w:t>
      </w:r>
      <w:bookmarkEnd w:id="49"/>
      <w:bookmarkEnd w:id="50"/>
      <w:bookmarkEnd w:id="51"/>
    </w:p>
    <w:p w14:paraId="1CD0F650">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大力推进数字产业化和产业数字化，让数字为实体经济赋能，使数字经济成为全县经济新的增长点。实施“皖企登云”提质扩面行动，支持建设数字车间、智能工厂、创新应用试验场、场景实验室，实现产业数字化。推进政务数据和经济数据、社会数据资源归集整合、开放共享，加强数字社会、数字政府建设，推动安康码更多场景应用，提升公共服务、社会治理等数字化、智能化水平，为濉溪县服务业发展激发了新活力。</w:t>
      </w:r>
    </w:p>
    <w:p w14:paraId="33A8F705">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濉溪县在“十四五”时期，面对外部环境和自身条件的变化，服务业发展机遇大于挑战，处于“跨越发展、弯道超车”的关键时期,发展潜力巨大。迫切需要抓住机遇，主动迎接挑战，巩固发挥服务经济在国民经济和社会发展中的主体作用，全面提升服务业的整体质量和能级水平。</w:t>
      </w:r>
    </w:p>
    <w:p w14:paraId="0EE4DA4A">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00DADF81">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1D15931A">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6078C930">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66C59052">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4CC7D5CC">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3918DB56">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12144440">
      <w:pPr>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p>
    <w:p w14:paraId="191FC2EF">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52" w:name="_Toc83296384"/>
      <w:bookmarkStart w:id="53" w:name="_Toc11083"/>
      <w:bookmarkStart w:id="54" w:name="_Toc20854"/>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第二章  指导思想和发展目标</w:t>
      </w:r>
      <w:bookmarkEnd w:id="52"/>
      <w:bookmarkEnd w:id="53"/>
      <w:bookmarkEnd w:id="54"/>
    </w:p>
    <w:p w14:paraId="0AD7C9DD">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sz w:val="32"/>
          <w:szCs w:val="32"/>
          <w14:textFill>
            <w14:solidFill>
              <w14:schemeClr w14:val="tx1"/>
            </w14:solidFill>
          </w14:textFill>
        </w:rPr>
      </w:pPr>
      <w:bookmarkStart w:id="55" w:name="_Toc7347"/>
      <w:bookmarkStart w:id="56" w:name="_Toc83296385"/>
    </w:p>
    <w:p w14:paraId="3676D0F3">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57" w:name="_Toc26459"/>
      <w:r>
        <w:rPr>
          <w:rFonts w:hint="default" w:ascii="Times New Roman" w:hAnsi="Times New Roman" w:eastAsia="黑体" w:cs="Times New Roman"/>
          <w:b w:val="0"/>
          <w:bCs w:val="0"/>
          <w:color w:val="000000" w:themeColor="text1"/>
          <w14:textFill>
            <w14:solidFill>
              <w14:schemeClr w14:val="tx1"/>
            </w14:solidFill>
          </w14:textFill>
        </w:rPr>
        <w:t>一、指导思想</w:t>
      </w:r>
      <w:bookmarkEnd w:id="55"/>
      <w:bookmarkEnd w:id="56"/>
      <w:bookmarkEnd w:id="57"/>
    </w:p>
    <w:p w14:paraId="13A2D015">
      <w:pPr>
        <w:widowControl w:val="0"/>
        <w:shd w:val="clear" w:color="auto" w:fill="FFFFFF"/>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以习近平新时代中国特色社会主义思想为指导，全面贯彻落实党的十九大、十九届历次全会精神和习近平总书记考察安徽重要讲话指示精神，立足新发展阶段、贯彻新发展理念、构建新发展格局，营造服务业发展的良好环境，着力发展服务业的新模式、新业态、新技术，坚持扩大规模和提升质量并重，坚持培育发展新兴服务业和改造升级传统服务业并行，推动生产性服务业向专业化和价值链高端延伸，推动生活性服务业向高品质和多样化升级，补齐</w:t>
      </w:r>
      <w:r>
        <w:rPr>
          <w:rFonts w:hint="default" w:ascii="Times New Roman" w:hAnsi="Times New Roman" w:eastAsia="仿宋_GB2312" w:cs="Times New Roman"/>
          <w:color w:val="000000" w:themeColor="text1"/>
          <w:spacing w:val="6"/>
          <w:sz w:val="32"/>
          <w:szCs w:val="32"/>
          <w14:textFill>
            <w14:solidFill>
              <w14:schemeClr w14:val="tx1"/>
            </w14:solidFill>
          </w14:textFill>
        </w:rPr>
        <w:t>服务业发展短板，</w:t>
      </w:r>
      <w:r>
        <w:rPr>
          <w:rFonts w:hint="default" w:ascii="Times New Roman" w:hAnsi="Times New Roman" w:eastAsia="仿宋_GB2312" w:cs="Times New Roman"/>
          <w:smallCaps/>
          <w:color w:val="000000" w:themeColor="text1"/>
          <w:sz w:val="32"/>
          <w:szCs w:val="32"/>
          <w14:textFill>
            <w14:solidFill>
              <w14:schemeClr w14:val="tx1"/>
            </w14:solidFill>
          </w14:textFill>
        </w:rPr>
        <w:t>推进全县经济结构由“二三一”向“三二一”转变，奋力走在皖北振兴前列，冲刺全国百强县方阵，成为带动皖北、辐射鲁苏豫的区域性综合性服务中心。</w:t>
      </w:r>
    </w:p>
    <w:p w14:paraId="46BEFE40">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58" w:name="_Toc1538"/>
      <w:bookmarkStart w:id="59" w:name="_Toc83296386"/>
      <w:bookmarkStart w:id="60" w:name="_Toc31139"/>
      <w:r>
        <w:rPr>
          <w:rFonts w:hint="default" w:ascii="Times New Roman" w:hAnsi="Times New Roman" w:eastAsia="黑体" w:cs="Times New Roman"/>
          <w:b w:val="0"/>
          <w:bCs w:val="0"/>
          <w:color w:val="000000" w:themeColor="text1"/>
          <w14:textFill>
            <w14:solidFill>
              <w14:schemeClr w14:val="tx1"/>
            </w14:solidFill>
          </w14:textFill>
        </w:rPr>
        <w:t>二、发展原则</w:t>
      </w:r>
      <w:bookmarkEnd w:id="58"/>
      <w:bookmarkEnd w:id="59"/>
      <w:bookmarkEnd w:id="60"/>
    </w:p>
    <w:p w14:paraId="11224E58">
      <w:pPr>
        <w:spacing w:line="560" w:lineRule="exact"/>
        <w:ind w:firstLine="643"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楷体_GB2312" w:cs="Times New Roman"/>
          <w:b/>
          <w:smallCaps/>
          <w:color w:val="000000" w:themeColor="text1"/>
          <w:sz w:val="32"/>
          <w:szCs w:val="32"/>
          <w14:textFill>
            <w14:solidFill>
              <w14:schemeClr w14:val="tx1"/>
            </w14:solidFill>
          </w14:textFill>
        </w:rPr>
        <w:t>1.坚持以人为本。</w:t>
      </w:r>
      <w:r>
        <w:rPr>
          <w:rFonts w:hint="default" w:ascii="Times New Roman" w:hAnsi="Times New Roman" w:eastAsia="仿宋_GB2312" w:cs="Times New Roman"/>
          <w:smallCaps/>
          <w:color w:val="000000" w:themeColor="text1"/>
          <w:sz w:val="32"/>
          <w:szCs w:val="32"/>
          <w14:textFill>
            <w14:solidFill>
              <w14:schemeClr w14:val="tx1"/>
            </w14:solidFill>
          </w14:textFill>
        </w:rPr>
        <w:t>以更多更好满足人民多层次多样化服务需求为导向，优先补足基本公共服务短板，着力增强非基本公共服务市场化供给能力，积极推进消费扩容升级，全面增强城乡人文品质、公共服务品质、生态环境品质。</w:t>
      </w:r>
    </w:p>
    <w:p w14:paraId="32CF2915">
      <w:pPr>
        <w:spacing w:line="560" w:lineRule="exact"/>
        <w:ind w:firstLine="643"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楷体_GB2312" w:cs="Times New Roman"/>
          <w:b/>
          <w:smallCaps/>
          <w:color w:val="000000" w:themeColor="text1"/>
          <w:sz w:val="32"/>
          <w:szCs w:val="32"/>
          <w14:textFill>
            <w14:solidFill>
              <w14:schemeClr w14:val="tx1"/>
            </w14:solidFill>
          </w14:textFill>
        </w:rPr>
        <w:t>2.坚持改革创新。</w:t>
      </w:r>
      <w:r>
        <w:rPr>
          <w:rFonts w:hint="default" w:ascii="Times New Roman" w:hAnsi="Times New Roman" w:eastAsia="仿宋_GB2312" w:cs="Times New Roman"/>
          <w:smallCaps/>
          <w:color w:val="000000" w:themeColor="text1"/>
          <w:sz w:val="32"/>
          <w:szCs w:val="32"/>
          <w14:textFill>
            <w14:solidFill>
              <w14:schemeClr w14:val="tx1"/>
            </w14:solidFill>
          </w14:textFill>
        </w:rPr>
        <w:t>推动服务业重点领域改革，分类放宽服务业准入限制，扩大服务业对外开放，创新服务业监督管理，着力破除制约服务业发展的体制机制障碍，最大限度激发市场活力。</w:t>
      </w:r>
    </w:p>
    <w:p w14:paraId="46C1C627">
      <w:pPr>
        <w:spacing w:line="560" w:lineRule="exact"/>
        <w:ind w:firstLine="643"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楷体_GB2312" w:cs="Times New Roman"/>
          <w:b/>
          <w:smallCaps/>
          <w:color w:val="000000" w:themeColor="text1"/>
          <w:sz w:val="32"/>
          <w:szCs w:val="32"/>
          <w14:textFill>
            <w14:solidFill>
              <w14:schemeClr w14:val="tx1"/>
            </w14:solidFill>
          </w14:textFill>
        </w:rPr>
        <w:t>3.坚持协调发展。</w:t>
      </w:r>
      <w:r>
        <w:rPr>
          <w:rFonts w:hint="default" w:ascii="Times New Roman" w:hAnsi="Times New Roman" w:eastAsia="仿宋_GB2312" w:cs="Times New Roman"/>
          <w:smallCaps/>
          <w:color w:val="000000" w:themeColor="text1"/>
          <w:sz w:val="32"/>
          <w:szCs w:val="32"/>
          <w14:textFill>
            <w14:solidFill>
              <w14:schemeClr w14:val="tx1"/>
            </w14:solidFill>
          </w14:textFill>
        </w:rPr>
        <w:t>坚持发展新兴服务业和强化传统服务业相结合协调发展，抓住服务经济转型创新发展的新机遇，运用5G、人工智能、大数据、云计算等新一代信息技术，积极培育服务业新业态、新模式，大力发展新兴服务业；同时运用现代服务技术和经营方式改造提升传统服务业，促进传统服务业转型升级。</w:t>
      </w:r>
    </w:p>
    <w:p w14:paraId="08B2DC08">
      <w:pPr>
        <w:spacing w:line="560" w:lineRule="exact"/>
        <w:ind w:firstLine="643"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楷体_GB2312" w:cs="Times New Roman"/>
          <w:b/>
          <w:smallCaps/>
          <w:color w:val="000000" w:themeColor="text1"/>
          <w:sz w:val="32"/>
          <w:szCs w:val="32"/>
          <w14:textFill>
            <w14:solidFill>
              <w14:schemeClr w14:val="tx1"/>
            </w14:solidFill>
          </w14:textFill>
        </w:rPr>
        <w:t>4.坚持系统集成。</w:t>
      </w:r>
      <w:r>
        <w:rPr>
          <w:rFonts w:hint="default" w:ascii="Times New Roman" w:hAnsi="Times New Roman" w:eastAsia="仿宋_GB2312" w:cs="Times New Roman"/>
          <w:smallCaps/>
          <w:color w:val="000000" w:themeColor="text1"/>
          <w:sz w:val="32"/>
          <w:szCs w:val="32"/>
          <w14:textFill>
            <w14:solidFill>
              <w14:schemeClr w14:val="tx1"/>
            </w14:solidFill>
          </w14:textFill>
        </w:rPr>
        <w:t>全局性谋划服务业发展，深化现代服务业同先进制造业、现代农业等深度融合，突出服务业对全县产业链供应链的基础配套和提升带动作用，实现跨行业资源要素的优化配置、系统集成和高效发展。坚持数字赋能，立足数字技术推进服务业态模式创新，拓展服务业数字化场景应用，突破服务业数字化发展重点行业、创新平台、关键领域，构建新时代服务业数字创新发展新体系。推进服务业标准化和品牌化建设。</w:t>
      </w:r>
    </w:p>
    <w:p w14:paraId="77ECC58C">
      <w:pPr>
        <w:spacing w:line="560" w:lineRule="exact"/>
        <w:ind w:firstLine="643"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楷体_GB2312" w:cs="Times New Roman"/>
          <w:b/>
          <w:smallCaps/>
          <w:color w:val="000000" w:themeColor="text1"/>
          <w:sz w:val="32"/>
          <w:szCs w:val="32"/>
          <w14:textFill>
            <w14:solidFill>
              <w14:schemeClr w14:val="tx1"/>
            </w14:solidFill>
          </w14:textFill>
        </w:rPr>
        <w:t>5.坚持市场主导。</w:t>
      </w:r>
      <w:r>
        <w:rPr>
          <w:rFonts w:hint="default" w:ascii="Times New Roman" w:hAnsi="Times New Roman" w:eastAsia="仿宋_GB2312" w:cs="Times New Roman"/>
          <w:smallCaps/>
          <w:color w:val="000000" w:themeColor="text1"/>
          <w:sz w:val="32"/>
          <w:szCs w:val="32"/>
          <w14:textFill>
            <w14:solidFill>
              <w14:schemeClr w14:val="tx1"/>
            </w14:solidFill>
          </w14:textFill>
        </w:rPr>
        <w:t>坚持市场机制主导与政府政策引导相结合，发挥市场配置资源决定性作用，同时注重发挥政府在规划、产业政策等方面的引导作用，实现区域联动，促进服务业拓宽领域、增强功能、优化结构。充分发挥服务业企业的主体作用，注重发挥龙头企业带动作用。</w:t>
      </w:r>
    </w:p>
    <w:p w14:paraId="5ABD4CE6">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61" w:name="_Toc83296387"/>
      <w:bookmarkStart w:id="62" w:name="_Toc22645"/>
      <w:bookmarkStart w:id="63" w:name="_Toc8597"/>
      <w:r>
        <w:rPr>
          <w:rFonts w:hint="default" w:ascii="Times New Roman" w:hAnsi="Times New Roman" w:eastAsia="黑体" w:cs="Times New Roman"/>
          <w:b w:val="0"/>
          <w:bCs w:val="0"/>
          <w:color w:val="000000" w:themeColor="text1"/>
          <w14:textFill>
            <w14:solidFill>
              <w14:schemeClr w14:val="tx1"/>
            </w14:solidFill>
          </w14:textFill>
        </w:rPr>
        <w:t>三、发展定位</w:t>
      </w:r>
      <w:bookmarkEnd w:id="61"/>
      <w:bookmarkEnd w:id="62"/>
      <w:bookmarkEnd w:id="63"/>
    </w:p>
    <w:p w14:paraId="67868000">
      <w:pPr>
        <w:widowControl w:val="0"/>
        <w:shd w:val="clear" w:color="auto" w:fill="FFFFFF"/>
        <w:spacing w:line="560" w:lineRule="exact"/>
        <w:ind w:firstLine="640" w:firstLineChars="200"/>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立足“十三五”期间服务业发展基础，紧紧围绕《濉溪县国民经济和社会发展第十四个五年规划和2035年远景目标纲要》目标要求，全力推动服务业发展，在构建新的发展格局中展现较大作为，在调整优化全县经济结构中发挥生力军作用。</w:t>
      </w:r>
    </w:p>
    <w:p w14:paraId="7D1B1F1B">
      <w:pPr>
        <w:widowControl w:val="0"/>
        <w:shd w:val="clear" w:color="auto" w:fill="FFFFFF"/>
        <w:spacing w:line="56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1.建设带动皖北发展的区域综合性服务中心。</w:t>
      </w:r>
      <w:r>
        <w:rPr>
          <w:rFonts w:hint="default" w:ascii="Times New Roman" w:hAnsi="Times New Roman" w:eastAsia="仿宋_GB2312" w:cs="Times New Roman"/>
          <w:color w:val="000000" w:themeColor="text1"/>
          <w:sz w:val="32"/>
          <w:szCs w:val="32"/>
          <w14:textFill>
            <w14:solidFill>
              <w14:schemeClr w14:val="tx1"/>
            </w14:solidFill>
          </w14:textFill>
        </w:rPr>
        <w:t>濉溪县是中原经济区、淮海经济区和徐州经济圈重要县域，区位优势明显，覆盖人数众多，但是全县服务业短板明显。生产性服务业主要集中于传统性的</w:t>
      </w:r>
      <w:r>
        <w:rPr>
          <w:rFonts w:hint="default" w:ascii="Times New Roman" w:hAnsi="Times New Roman" w:eastAsia="仿宋_GB2312" w:cs="Times New Roman"/>
          <w:smallCaps/>
          <w:color w:val="000000" w:themeColor="text1"/>
          <w:sz w:val="32"/>
          <w:szCs w:val="32"/>
          <w14:textFill>
            <w14:solidFill>
              <w14:schemeClr w14:val="tx1"/>
            </w14:solidFill>
          </w14:textFill>
        </w:rPr>
        <w:t>租赁商务服务业，而信息传输软件技术、咨询、科学技术、金融等现代服务业较少，研发、设计、电子商务、文化创意等领域多数依然空白</w:t>
      </w:r>
      <w:r>
        <w:rPr>
          <w:rFonts w:hint="default" w:ascii="Times New Roman" w:hAnsi="Times New Roman" w:eastAsia="仿宋_GB2312" w:cs="Times New Roman"/>
          <w:color w:val="000000" w:themeColor="text1"/>
          <w:sz w:val="32"/>
          <w:szCs w:val="32"/>
          <w14:textFill>
            <w14:solidFill>
              <w14:schemeClr w14:val="tx1"/>
            </w14:solidFill>
          </w14:textFill>
        </w:rPr>
        <w:t>。生活服务业缺少综合体、大型酒店等支撑。“十四五”时期，着力瞄准主导产业发展生产性服务业，促进现代服务业与先进制造业、现代农业等融合发展；积极推进相濉一体化，加大濉溪老城改造力度，发展生活性服务业，形成一批产业集聚、特色鲜明、功能完善的现代服务业发展集聚区，打造成带动皖北发展的区域性综合性服务中心。</w:t>
      </w:r>
    </w:p>
    <w:p w14:paraId="413CF2C5">
      <w:pPr>
        <w:widowControl w:val="0"/>
        <w:shd w:val="clear" w:color="auto" w:fill="FFFFFF"/>
        <w:spacing w:line="56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2.打造长三角绿色农产品供应平台。</w:t>
      </w:r>
      <w:r>
        <w:rPr>
          <w:rFonts w:hint="default" w:ascii="Times New Roman" w:hAnsi="Times New Roman" w:eastAsia="仿宋_GB2312" w:cs="Times New Roman"/>
          <w:color w:val="000000" w:themeColor="text1"/>
          <w:sz w:val="32"/>
          <w:szCs w:val="32"/>
          <w14:textFill>
            <w14:solidFill>
              <w14:schemeClr w14:val="tx1"/>
            </w14:solidFill>
          </w14:textFill>
        </w:rPr>
        <w:t>深入落实《长江三角洲区域一体化发展规划纲要》和《安徽省实施长江三角洲区域一体化发展规划纲要行动计划》，依托濉溪县蔬菜、富硒黑花生、阳光玫瑰葡萄、红心火龙果、高品质桃种等绿色农产品优势资源、产业优势和便捷的交通体系，及冷链仓储、冷链物流和直销配送等物流体系，对接沪苏浙电商企业、连锁超市等，高起点建设长三角绿色农产品生产、加工、供应基地，着力打造长三角绿色农产品物流供应平台，共建长三角三小时鲜活农产品物流圈。</w:t>
      </w:r>
    </w:p>
    <w:p w14:paraId="7CC4A96A">
      <w:pPr>
        <w:widowControl w:val="0"/>
        <w:shd w:val="clear" w:color="auto" w:fill="FFFFFF"/>
        <w:spacing w:line="560" w:lineRule="exact"/>
        <w:ind w:firstLine="643" w:firstLineChars="200"/>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3.建成皖北乃至中原经济区和淮海经济区具有较高知名度的休闲旅游目的地。</w:t>
      </w:r>
      <w:r>
        <w:rPr>
          <w:rFonts w:hint="default" w:ascii="Times New Roman" w:hAnsi="Times New Roman" w:eastAsia="仿宋_GB2312" w:cs="Times New Roman"/>
          <w:color w:val="000000" w:themeColor="text1"/>
          <w:sz w:val="32"/>
          <w:szCs w:val="32"/>
          <w14:textFill>
            <w14:solidFill>
              <w14:schemeClr w14:val="tx1"/>
            </w14:solidFill>
          </w14:textFill>
        </w:rPr>
        <w:t>深挖资源优势，</w:t>
      </w:r>
      <w:r>
        <w:rPr>
          <w:rFonts w:hint="default" w:ascii="Times New Roman" w:hAnsi="Times New Roman" w:eastAsia="仿宋_GB2312" w:cs="Times New Roman"/>
          <w:smallCaps/>
          <w:color w:val="000000" w:themeColor="text1"/>
          <w:sz w:val="32"/>
          <w:szCs w:val="32"/>
          <w14:textFill>
            <w14:solidFill>
              <w14:schemeClr w14:val="tx1"/>
            </w14:solidFill>
          </w14:textFill>
        </w:rPr>
        <w:t>做靓濉溪旅游品牌，大力发展红色旅游、乡村旅游、文化旅游、休闲度假、工业旅游等特色旅游，打造多条贯通全域主题旅游线路，着力打造“运河文化、古镇文化、红色文化、酿酒文化”，</w:t>
      </w:r>
      <w:r>
        <w:rPr>
          <w:rFonts w:hint="default" w:ascii="Times New Roman" w:hAnsi="Times New Roman" w:eastAsia="仿宋_GB2312" w:cs="Times New Roman"/>
          <w:color w:val="000000" w:themeColor="text1"/>
          <w:sz w:val="32"/>
          <w:szCs w:val="32"/>
          <w14:textFill>
            <w14:solidFill>
              <w14:schemeClr w14:val="tx1"/>
            </w14:solidFill>
          </w14:textFill>
        </w:rPr>
        <w:t>大力发展特色餐饮和旅游，加快老城改造、新城完善、新区建设</w:t>
      </w:r>
      <w:r>
        <w:rPr>
          <w:rFonts w:hint="default" w:ascii="Times New Roman" w:hAnsi="Times New Roman" w:eastAsia="仿宋_GB2312" w:cs="Times New Roman"/>
          <w:smallCap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绘就</w:t>
      </w:r>
      <w:r>
        <w:rPr>
          <w:rFonts w:hint="default" w:ascii="Times New Roman" w:hAnsi="Times New Roman" w:eastAsia="仿宋_GB2312" w:cs="Times New Roman"/>
          <w:smallCaps/>
          <w:color w:val="000000" w:themeColor="text1"/>
          <w:sz w:val="32"/>
          <w:szCs w:val="32"/>
          <w14:textFill>
            <w14:solidFill>
              <w14:schemeClr w14:val="tx1"/>
            </w14:solidFill>
          </w14:textFill>
        </w:rPr>
        <w:t>濉溪</w:t>
      </w:r>
      <w:r>
        <w:rPr>
          <w:rFonts w:hint="default" w:ascii="Times New Roman" w:hAnsi="Times New Roman" w:eastAsia="仿宋_GB2312" w:cs="Times New Roman"/>
          <w:color w:val="000000" w:themeColor="text1"/>
          <w:sz w:val="32"/>
          <w:szCs w:val="32"/>
          <w14:textFill>
            <w14:solidFill>
              <w14:schemeClr w14:val="tx1"/>
            </w14:solidFill>
          </w14:textFill>
        </w:rPr>
        <w:t>全域旅游发展美丽新画卷。</w:t>
      </w:r>
    </w:p>
    <w:p w14:paraId="580B0CF9">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64" w:name="_Toc83296388"/>
      <w:bookmarkStart w:id="65" w:name="_Toc15693"/>
      <w:bookmarkStart w:id="66" w:name="_Toc8488"/>
      <w:r>
        <w:rPr>
          <w:rFonts w:hint="default" w:ascii="Times New Roman" w:hAnsi="Times New Roman" w:eastAsia="黑体" w:cs="Times New Roman"/>
          <w:b w:val="0"/>
          <w:bCs w:val="0"/>
          <w:color w:val="000000" w:themeColor="text1"/>
          <w14:textFill>
            <w14:solidFill>
              <w14:schemeClr w14:val="tx1"/>
            </w14:solidFill>
          </w14:textFill>
        </w:rPr>
        <w:t>四、发展目标</w:t>
      </w:r>
      <w:bookmarkEnd w:id="64"/>
      <w:bookmarkEnd w:id="65"/>
      <w:bookmarkEnd w:id="66"/>
    </w:p>
    <w:p w14:paraId="70154676">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bookmarkStart w:id="67" w:name="_Toc71708619"/>
      <w:bookmarkStart w:id="68" w:name="_Toc21162"/>
      <w:r>
        <w:rPr>
          <w:rFonts w:hint="default" w:ascii="Times New Roman" w:hAnsi="Times New Roman" w:eastAsia="仿宋_GB2312" w:cs="Times New Roman"/>
          <w:color w:val="000000" w:themeColor="text1"/>
          <w:sz w:val="32"/>
          <w:szCs w:val="32"/>
          <w14:textFill>
            <w14:solidFill>
              <w14:schemeClr w14:val="tx1"/>
            </w14:solidFill>
          </w14:textFill>
        </w:rPr>
        <w:t>围绕濉溪县“十四五”规划纲要确定的总体发展目标，瞄准补齐服务业发展短板，到“十四五”末，濉溪县形成一批优势服务产业，传统服务业加快转型，新兴服务业加快培育，现代服务业与现代农业、先进制造业深度融合，产业结构明显优化，空间布局显著优化，市场主体竞争力明显增强，产业结构趋向合理化和高级化，服务业整体水准进一步提高，总量规模显著增大，实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产业结构</w:t>
      </w:r>
      <w:r>
        <w:rPr>
          <w:rFonts w:hint="default" w:ascii="Times New Roman" w:hAnsi="Times New Roman" w:eastAsia="仿宋_GB2312" w:cs="Times New Roman"/>
          <w:color w:val="000000" w:themeColor="text1"/>
          <w:sz w:val="32"/>
          <w:szCs w:val="32"/>
          <w14:textFill>
            <w14:solidFill>
              <w14:schemeClr w14:val="tx1"/>
            </w14:solidFill>
          </w14:textFill>
        </w:rPr>
        <w:t>由“二三一”向“三二一”的转变，逐步建立起能满足社会需求升级要求、体现资源型城市特征的特色明显、结构合理、功能完善的现代服务业体系，服务长三角一体化能力显著增强，成为全县新的经济增长点，濉溪县成为带动皖北发展的区域性综合性服务中心。</w:t>
      </w:r>
      <w:bookmarkEnd w:id="67"/>
      <w:bookmarkEnd w:id="68"/>
    </w:p>
    <w:p w14:paraId="5DAD50E5">
      <w:pPr>
        <w:keepNext w:val="0"/>
        <w:keepLines w:val="0"/>
        <w:pageBreakBefore w:val="0"/>
        <w:widowControl w:val="0"/>
        <w:kinsoku/>
        <w:wordWrap/>
        <w:overflowPunct/>
        <w:topLinePunct w:val="0"/>
        <w:autoSpaceDN/>
        <w:bidi w:val="0"/>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9" w:name="_Toc60995777"/>
      <w:r>
        <w:rPr>
          <w:rFonts w:hint="default" w:ascii="Times New Roman" w:hAnsi="Times New Roman" w:eastAsia="楷体_GB2312" w:cs="Times New Roman"/>
          <w:b/>
          <w:color w:val="000000" w:themeColor="text1"/>
          <w:sz w:val="32"/>
          <w:szCs w:val="32"/>
          <w14:textFill>
            <w14:solidFill>
              <w14:schemeClr w14:val="tx1"/>
            </w14:solidFill>
          </w14:textFill>
        </w:rPr>
        <w:t>服务业发展贡献</w:t>
      </w:r>
      <w:bookmarkEnd w:id="69"/>
      <w:r>
        <w:rPr>
          <w:rFonts w:hint="default" w:ascii="Times New Roman" w:hAnsi="Times New Roman" w:eastAsia="楷体_GB2312" w:cs="Times New Roman"/>
          <w:b/>
          <w:color w:val="000000" w:themeColor="text1"/>
          <w:sz w:val="32"/>
          <w:szCs w:val="32"/>
          <w14:textFill>
            <w14:solidFill>
              <w14:schemeClr w14:val="tx1"/>
            </w14:solidFill>
          </w14:textFill>
        </w:rPr>
        <w:t>不断增强。</w:t>
      </w:r>
      <w:r>
        <w:rPr>
          <w:rFonts w:hint="default" w:ascii="Times New Roman" w:hAnsi="Times New Roman" w:eastAsia="仿宋_GB2312" w:cs="Times New Roman"/>
          <w:color w:val="000000" w:themeColor="text1"/>
          <w:sz w:val="32"/>
          <w:szCs w:val="32"/>
          <w14:textFill>
            <w14:solidFill>
              <w14:schemeClr w14:val="tx1"/>
            </w14:solidFill>
          </w14:textFill>
        </w:rPr>
        <w:t>服务业对经济发展、民生改善、社会进步的贡献进一步增强。到2025年，第三产服务业增加值超过400亿元，占比稳步提高到5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左右</w:t>
      </w:r>
      <w:r>
        <w:rPr>
          <w:rFonts w:hint="default" w:ascii="Times New Roman" w:hAnsi="Times New Roman" w:eastAsia="仿宋_GB2312" w:cs="Times New Roman"/>
          <w:color w:val="000000" w:themeColor="text1"/>
          <w:sz w:val="32"/>
          <w:szCs w:val="32"/>
          <w14:textFill>
            <w14:solidFill>
              <w14:schemeClr w14:val="tx1"/>
            </w14:solidFill>
          </w14:textFill>
        </w:rPr>
        <w:t>，就业人口占全社会就业人口比重提高到5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%以上。</w:t>
      </w:r>
    </w:p>
    <w:p w14:paraId="344CAF42">
      <w:pPr>
        <w:keepNext w:val="0"/>
        <w:keepLines w:val="0"/>
        <w:pageBreakBefore w:val="0"/>
        <w:widowControl w:val="0"/>
        <w:kinsoku/>
        <w:wordWrap/>
        <w:overflowPunct/>
        <w:topLinePunct w:val="0"/>
        <w:autoSpaceDN/>
        <w:bidi w:val="0"/>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服务业内部结构更趋优化。</w:t>
      </w:r>
      <w:r>
        <w:rPr>
          <w:rFonts w:hint="default" w:ascii="Times New Roman" w:hAnsi="Times New Roman" w:eastAsia="仿宋_GB2312" w:cs="Times New Roman"/>
          <w:color w:val="000000" w:themeColor="text1"/>
          <w:sz w:val="32"/>
          <w:szCs w:val="32"/>
          <w14:textFill>
            <w14:solidFill>
              <w14:schemeClr w14:val="tx1"/>
            </w14:solidFill>
          </w14:textFill>
        </w:rPr>
        <w:t>服务业内部结构进一步优化，形成以现代物流、商贸流通、文化、旅游、商务、金融、信息与科技创新等现代服务业为龙头，传统服务业快速提升的产业发展格局，</w:t>
      </w:r>
      <w:r>
        <w:rPr>
          <w:rFonts w:hint="default" w:ascii="Times New Roman" w:hAnsi="Times New Roman" w:eastAsia="仿宋_GB2312" w:cs="Times New Roman"/>
          <w:bCs/>
          <w:color w:val="000000" w:themeColor="text1"/>
          <w:sz w:val="32"/>
          <w:szCs w:val="32"/>
          <w14:textFill>
            <w14:solidFill>
              <w14:schemeClr w14:val="tx1"/>
            </w14:solidFill>
          </w14:textFill>
        </w:rPr>
        <w:t>生产性服务业和生活性服务业均衡发展，形成比较完善的现代服务业产业体系。</w:t>
      </w:r>
    </w:p>
    <w:p w14:paraId="48E99CFF">
      <w:pPr>
        <w:widowControl w:val="0"/>
        <w:shd w:val="clear" w:color="auto" w:fill="FFFFFF"/>
        <w:spacing w:line="56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服务业发展特色更加明显。</w:t>
      </w:r>
      <w:r>
        <w:rPr>
          <w:rFonts w:hint="default" w:ascii="Times New Roman" w:hAnsi="Times New Roman" w:eastAsia="仿宋_GB2312" w:cs="Times New Roman"/>
          <w:color w:val="000000" w:themeColor="text1"/>
          <w:sz w:val="32"/>
          <w:szCs w:val="32"/>
          <w14:textFill>
            <w14:solidFill>
              <w14:schemeClr w14:val="tx1"/>
            </w14:solidFill>
          </w14:textFill>
        </w:rPr>
        <w:t>进一步发挥濉溪特有的红色、运河、古镇、工矿遗址等地方特色资源和产业基础的优势，完善和提升服务业产业链，做大做强濉溪特色服务业。</w:t>
      </w:r>
    </w:p>
    <w:p w14:paraId="736EC131">
      <w:pPr>
        <w:widowControl w:val="0"/>
        <w:shd w:val="clear" w:color="auto" w:fill="FFFFFF"/>
        <w:spacing w:line="56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服务业发展更加集聚。</w:t>
      </w:r>
      <w:r>
        <w:rPr>
          <w:rFonts w:hint="default" w:ascii="Times New Roman" w:hAnsi="Times New Roman" w:eastAsia="仿宋_GB2312" w:cs="Times New Roman"/>
          <w:color w:val="000000" w:themeColor="text1"/>
          <w:sz w:val="32"/>
          <w:szCs w:val="32"/>
          <w14:textFill>
            <w14:solidFill>
              <w14:schemeClr w14:val="tx1"/>
            </w14:solidFill>
          </w14:textFill>
        </w:rPr>
        <w:t>依托濉溪老城升级、南部次中心建设，以及现有服务业集聚区提升，培育引进一批具有引领作用的服务业企业，形成一批产业集聚、特色鲜明、功能完善的服务业发展集聚区，到2025年省级服务业集聚区达到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家左右。</w:t>
      </w:r>
    </w:p>
    <w:p w14:paraId="7E22F3F7">
      <w:pPr>
        <w:widowControl w:val="0"/>
        <w:shd w:val="clear" w:color="auto" w:fill="FFFFFF"/>
        <w:spacing w:line="56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服务业创新水平更上台阶。</w:t>
      </w:r>
      <w:r>
        <w:rPr>
          <w:rFonts w:hint="default" w:ascii="Times New Roman" w:hAnsi="Times New Roman" w:eastAsia="仿宋_GB2312" w:cs="Times New Roman"/>
          <w:color w:val="000000" w:themeColor="text1"/>
          <w:sz w:val="32"/>
          <w:szCs w:val="32"/>
          <w14:textFill>
            <w14:solidFill>
              <w14:schemeClr w14:val="tx1"/>
            </w14:solidFill>
          </w14:textFill>
        </w:rPr>
        <w:t>进一步增强技术创新对服务业发展的引领作用，将5G、互联网、大数据等新一代信息技术和服务业深度融合，推动科技研发等重点领域创新取得明显成效。</w:t>
      </w:r>
    </w:p>
    <w:p w14:paraId="04713466">
      <w:pPr>
        <w:spacing w:line="560" w:lineRule="exact"/>
        <w:ind w:firstLine="643"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bookmarkStart w:id="70" w:name="_Toc120870593"/>
      <w:bookmarkStart w:id="71" w:name="_Toc136980324"/>
      <w:bookmarkStart w:id="72" w:name="_Toc122253150"/>
      <w:bookmarkStart w:id="73" w:name="_Toc158395226"/>
      <w:r>
        <w:rPr>
          <w:rFonts w:hint="default" w:ascii="Times New Roman" w:hAnsi="Times New Roman" w:eastAsia="楷体_GB2312" w:cs="Times New Roman"/>
          <w:b/>
          <w:color w:val="000000" w:themeColor="text1"/>
          <w:sz w:val="32"/>
          <w:szCs w:val="32"/>
          <w14:textFill>
            <w14:solidFill>
              <w14:schemeClr w14:val="tx1"/>
            </w14:solidFill>
          </w14:textFill>
        </w:rPr>
        <w:t>服务业市场建设更加成熟</w:t>
      </w:r>
      <w:bookmarkEnd w:id="70"/>
      <w:bookmarkEnd w:id="71"/>
      <w:bookmarkEnd w:id="72"/>
      <w:bookmarkEnd w:id="73"/>
      <w:r>
        <w:rPr>
          <w:rFonts w:hint="default" w:ascii="Times New Roman" w:hAnsi="Times New Roman" w:eastAsia="楷体_GB2312" w:cs="Times New Roman"/>
          <w:b/>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实现专业商品市场和资本、物流、商贸、电子商务、文化旅游、房地产等服务市场健康快速发展，形成多功能、开放式、社会化的市场服务体系。</w:t>
      </w:r>
    </w:p>
    <w:p w14:paraId="7EDFE78B">
      <w:pPr>
        <w:spacing w:line="600" w:lineRule="exact"/>
        <w:jc w:val="center"/>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表1  濉溪县“十四五”服务业发展主要目标</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94"/>
        <w:gridCol w:w="3109"/>
        <w:gridCol w:w="1528"/>
        <w:gridCol w:w="1239"/>
        <w:gridCol w:w="1454"/>
        <w:gridCol w:w="1048"/>
      </w:tblGrid>
      <w:tr w14:paraId="7C37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64" w:hRule="atLeast"/>
          <w:jc w:val="center"/>
        </w:trPr>
        <w:tc>
          <w:tcPr>
            <w:tcW w:w="694" w:type="dxa"/>
            <w:vAlign w:val="center"/>
          </w:tcPr>
          <w:p w14:paraId="31A6AD7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序号</w:t>
            </w:r>
          </w:p>
        </w:tc>
        <w:tc>
          <w:tcPr>
            <w:tcW w:w="3109" w:type="dxa"/>
            <w:vAlign w:val="center"/>
          </w:tcPr>
          <w:p w14:paraId="796349D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指标名称</w:t>
            </w:r>
          </w:p>
        </w:tc>
        <w:tc>
          <w:tcPr>
            <w:tcW w:w="1528" w:type="dxa"/>
            <w:vAlign w:val="center"/>
          </w:tcPr>
          <w:p w14:paraId="39D24E5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2020年</w:t>
            </w:r>
          </w:p>
        </w:tc>
        <w:tc>
          <w:tcPr>
            <w:tcW w:w="1239" w:type="dxa"/>
            <w:vAlign w:val="center"/>
          </w:tcPr>
          <w:p w14:paraId="50C75D2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2025年</w:t>
            </w:r>
          </w:p>
        </w:tc>
        <w:tc>
          <w:tcPr>
            <w:tcW w:w="1454" w:type="dxa"/>
            <w:vAlign w:val="center"/>
          </w:tcPr>
          <w:p w14:paraId="6B5499E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年均增幅</w:t>
            </w:r>
          </w:p>
        </w:tc>
        <w:tc>
          <w:tcPr>
            <w:tcW w:w="1048" w:type="dxa"/>
            <w:vAlign w:val="center"/>
          </w:tcPr>
          <w:p w14:paraId="5FB7DD4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属性</w:t>
            </w:r>
          </w:p>
        </w:tc>
      </w:tr>
      <w:tr w14:paraId="4B1C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21" w:hRule="exact"/>
          <w:jc w:val="center"/>
        </w:trPr>
        <w:tc>
          <w:tcPr>
            <w:tcW w:w="694" w:type="dxa"/>
            <w:vAlign w:val="center"/>
          </w:tcPr>
          <w:p w14:paraId="386CDC1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3109" w:type="dxa"/>
            <w:vAlign w:val="center"/>
          </w:tcPr>
          <w:p w14:paraId="7673FB36">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第三产</w:t>
            </w:r>
            <w:r>
              <w:rPr>
                <w:rFonts w:hint="default" w:ascii="Times New Roman" w:hAnsi="Times New Roman" w:eastAsia="仿宋_GB2312" w:cs="Times New Roman"/>
                <w:sz w:val="28"/>
                <w:szCs w:val="28"/>
                <w:lang w:eastAsia="zh-CN"/>
              </w:rPr>
              <w:t>业</w:t>
            </w:r>
            <w:r>
              <w:rPr>
                <w:rFonts w:hint="default" w:ascii="Times New Roman" w:hAnsi="Times New Roman" w:eastAsia="仿宋_GB2312" w:cs="Times New Roman"/>
                <w:sz w:val="28"/>
                <w:szCs w:val="28"/>
              </w:rPr>
              <w:t>增加值（亿元）</w:t>
            </w:r>
          </w:p>
        </w:tc>
        <w:tc>
          <w:tcPr>
            <w:tcW w:w="1528" w:type="dxa"/>
            <w:vAlign w:val="center"/>
          </w:tcPr>
          <w:p w14:paraId="104592D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194.2</w:t>
            </w:r>
          </w:p>
        </w:tc>
        <w:tc>
          <w:tcPr>
            <w:tcW w:w="1239" w:type="dxa"/>
            <w:vAlign w:val="center"/>
          </w:tcPr>
          <w:p w14:paraId="2A36163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400</w:t>
            </w:r>
          </w:p>
        </w:tc>
        <w:tc>
          <w:tcPr>
            <w:tcW w:w="1454" w:type="dxa"/>
            <w:vAlign w:val="center"/>
          </w:tcPr>
          <w:p w14:paraId="74D7CC1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年均增速15.55%</w:t>
            </w:r>
          </w:p>
        </w:tc>
        <w:tc>
          <w:tcPr>
            <w:tcW w:w="1048" w:type="dxa"/>
            <w:vAlign w:val="center"/>
          </w:tcPr>
          <w:p w14:paraId="27391AD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0710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039" w:hRule="exact"/>
          <w:jc w:val="center"/>
        </w:trPr>
        <w:tc>
          <w:tcPr>
            <w:tcW w:w="694" w:type="dxa"/>
            <w:vAlign w:val="center"/>
          </w:tcPr>
          <w:p w14:paraId="12E97F5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3109" w:type="dxa"/>
            <w:vAlign w:val="center"/>
          </w:tcPr>
          <w:p w14:paraId="4E57E1C8">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服务业增加值占GDP比重（%）</w:t>
            </w:r>
          </w:p>
        </w:tc>
        <w:tc>
          <w:tcPr>
            <w:tcW w:w="1528" w:type="dxa"/>
            <w:vAlign w:val="center"/>
          </w:tcPr>
          <w:p w14:paraId="25236AD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41.5</w:t>
            </w:r>
          </w:p>
        </w:tc>
        <w:tc>
          <w:tcPr>
            <w:tcW w:w="1239" w:type="dxa"/>
            <w:vAlign w:val="center"/>
          </w:tcPr>
          <w:p w14:paraId="7057E94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50</w:t>
            </w:r>
          </w:p>
        </w:tc>
        <w:tc>
          <w:tcPr>
            <w:tcW w:w="1454" w:type="dxa"/>
            <w:vAlign w:val="center"/>
          </w:tcPr>
          <w:p w14:paraId="6EC7DE4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6CB5A6E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4530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018" w:hRule="exact"/>
          <w:jc w:val="center"/>
        </w:trPr>
        <w:tc>
          <w:tcPr>
            <w:tcW w:w="694" w:type="dxa"/>
            <w:vAlign w:val="center"/>
          </w:tcPr>
          <w:p w14:paraId="6FFAE44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3109" w:type="dxa"/>
            <w:vAlign w:val="center"/>
          </w:tcPr>
          <w:p w14:paraId="7CCAE763">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全员劳动生产率（万元/人）</w:t>
            </w:r>
          </w:p>
        </w:tc>
        <w:tc>
          <w:tcPr>
            <w:tcW w:w="1528" w:type="dxa"/>
            <w:vAlign w:val="center"/>
          </w:tcPr>
          <w:p w14:paraId="6FE4A41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239" w:type="dxa"/>
            <w:vAlign w:val="center"/>
          </w:tcPr>
          <w:p w14:paraId="63EABDC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达全省平均</w:t>
            </w:r>
          </w:p>
        </w:tc>
        <w:tc>
          <w:tcPr>
            <w:tcW w:w="1454" w:type="dxa"/>
            <w:vAlign w:val="center"/>
          </w:tcPr>
          <w:p w14:paraId="617D985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7D54758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4AED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53" w:hRule="exact"/>
          <w:jc w:val="center"/>
        </w:trPr>
        <w:tc>
          <w:tcPr>
            <w:tcW w:w="694" w:type="dxa"/>
            <w:vAlign w:val="center"/>
          </w:tcPr>
          <w:p w14:paraId="52DBE4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3109" w:type="dxa"/>
            <w:vAlign w:val="center"/>
          </w:tcPr>
          <w:p w14:paraId="481AA5D8">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服务业从业人数占全社会从业人数比重（%）</w:t>
            </w:r>
          </w:p>
        </w:tc>
        <w:tc>
          <w:tcPr>
            <w:tcW w:w="1528" w:type="dxa"/>
            <w:vAlign w:val="center"/>
          </w:tcPr>
          <w:p w14:paraId="1FE9923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47.7</w:t>
            </w:r>
          </w:p>
        </w:tc>
        <w:tc>
          <w:tcPr>
            <w:tcW w:w="1239" w:type="dxa"/>
            <w:vAlign w:val="center"/>
          </w:tcPr>
          <w:p w14:paraId="75FA328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50</w:t>
            </w:r>
          </w:p>
        </w:tc>
        <w:tc>
          <w:tcPr>
            <w:tcW w:w="1454" w:type="dxa"/>
            <w:vAlign w:val="center"/>
          </w:tcPr>
          <w:p w14:paraId="30FCD6A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7749E98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109E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53" w:hRule="exact"/>
          <w:jc w:val="center"/>
        </w:trPr>
        <w:tc>
          <w:tcPr>
            <w:tcW w:w="694" w:type="dxa"/>
            <w:vAlign w:val="center"/>
          </w:tcPr>
          <w:p w14:paraId="1395186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p>
        </w:tc>
        <w:tc>
          <w:tcPr>
            <w:tcW w:w="3109" w:type="dxa"/>
            <w:vAlign w:val="center"/>
          </w:tcPr>
          <w:p w14:paraId="1A67A19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规模以上服务业企业（家） </w:t>
            </w:r>
          </w:p>
        </w:tc>
        <w:tc>
          <w:tcPr>
            <w:tcW w:w="1528" w:type="dxa"/>
            <w:vAlign w:val="center"/>
          </w:tcPr>
          <w:p w14:paraId="0782A0C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25</w:t>
            </w:r>
          </w:p>
        </w:tc>
        <w:tc>
          <w:tcPr>
            <w:tcW w:w="1239" w:type="dxa"/>
            <w:vAlign w:val="center"/>
          </w:tcPr>
          <w:p w14:paraId="7F63CFC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32</w:t>
            </w:r>
          </w:p>
        </w:tc>
        <w:tc>
          <w:tcPr>
            <w:tcW w:w="1454" w:type="dxa"/>
            <w:vAlign w:val="center"/>
          </w:tcPr>
          <w:p w14:paraId="1FA0B3B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w:t>
            </w:r>
          </w:p>
        </w:tc>
        <w:tc>
          <w:tcPr>
            <w:tcW w:w="1048" w:type="dxa"/>
            <w:vAlign w:val="center"/>
          </w:tcPr>
          <w:p w14:paraId="3664A1D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预期性</w:t>
            </w:r>
          </w:p>
        </w:tc>
      </w:tr>
      <w:tr w14:paraId="0660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019" w:hRule="exact"/>
          <w:jc w:val="center"/>
        </w:trPr>
        <w:tc>
          <w:tcPr>
            <w:tcW w:w="694" w:type="dxa"/>
            <w:vAlign w:val="center"/>
          </w:tcPr>
          <w:p w14:paraId="2CA0D5B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3109" w:type="dxa"/>
            <w:vAlign w:val="center"/>
          </w:tcPr>
          <w:p w14:paraId="1A2B9F0E">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社会消费品零售总额（亿元）</w:t>
            </w:r>
          </w:p>
        </w:tc>
        <w:tc>
          <w:tcPr>
            <w:tcW w:w="1528" w:type="dxa"/>
            <w:vAlign w:val="center"/>
          </w:tcPr>
          <w:p w14:paraId="084EF46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140.8</w:t>
            </w:r>
          </w:p>
        </w:tc>
        <w:tc>
          <w:tcPr>
            <w:tcW w:w="1239" w:type="dxa"/>
            <w:vAlign w:val="center"/>
          </w:tcPr>
          <w:p w14:paraId="36CBEF7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218</w:t>
            </w:r>
          </w:p>
        </w:tc>
        <w:tc>
          <w:tcPr>
            <w:tcW w:w="1454" w:type="dxa"/>
            <w:vAlign w:val="center"/>
          </w:tcPr>
          <w:p w14:paraId="74744B6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年均增速9.14%</w:t>
            </w:r>
          </w:p>
        </w:tc>
        <w:tc>
          <w:tcPr>
            <w:tcW w:w="1048" w:type="dxa"/>
            <w:vAlign w:val="center"/>
          </w:tcPr>
          <w:p w14:paraId="358750F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11DE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32" w:hRule="exact"/>
          <w:jc w:val="center"/>
        </w:trPr>
        <w:tc>
          <w:tcPr>
            <w:tcW w:w="694" w:type="dxa"/>
            <w:vAlign w:val="center"/>
          </w:tcPr>
          <w:p w14:paraId="3AC343E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p>
        </w:tc>
        <w:tc>
          <w:tcPr>
            <w:tcW w:w="3109" w:type="dxa"/>
            <w:vAlign w:val="center"/>
          </w:tcPr>
          <w:p w14:paraId="783B54DF">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培育电商主体（家）</w:t>
            </w:r>
          </w:p>
        </w:tc>
        <w:tc>
          <w:tcPr>
            <w:tcW w:w="1528" w:type="dxa"/>
            <w:vAlign w:val="center"/>
          </w:tcPr>
          <w:p w14:paraId="3600723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362</w:t>
            </w:r>
          </w:p>
        </w:tc>
        <w:tc>
          <w:tcPr>
            <w:tcW w:w="1239" w:type="dxa"/>
            <w:vAlign w:val="center"/>
          </w:tcPr>
          <w:p w14:paraId="63AA1A6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w:t>
            </w:r>
          </w:p>
        </w:tc>
        <w:tc>
          <w:tcPr>
            <w:tcW w:w="1454" w:type="dxa"/>
            <w:vAlign w:val="center"/>
          </w:tcPr>
          <w:p w14:paraId="58FE89B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年增约28家</w:t>
            </w:r>
          </w:p>
        </w:tc>
        <w:tc>
          <w:tcPr>
            <w:tcW w:w="1048" w:type="dxa"/>
            <w:vAlign w:val="center"/>
          </w:tcPr>
          <w:p w14:paraId="0BE12C4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7C92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95" w:hRule="exact"/>
          <w:jc w:val="center"/>
        </w:trPr>
        <w:tc>
          <w:tcPr>
            <w:tcW w:w="694" w:type="dxa"/>
            <w:vAlign w:val="center"/>
          </w:tcPr>
          <w:p w14:paraId="35116FA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p>
        </w:tc>
        <w:tc>
          <w:tcPr>
            <w:tcW w:w="3109" w:type="dxa"/>
            <w:vAlign w:val="center"/>
          </w:tcPr>
          <w:p w14:paraId="0957F534">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电子商务交易额（亿元）</w:t>
            </w:r>
          </w:p>
        </w:tc>
        <w:tc>
          <w:tcPr>
            <w:tcW w:w="1528" w:type="dxa"/>
            <w:vAlign w:val="center"/>
          </w:tcPr>
          <w:p w14:paraId="1D305FF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w:t>
            </w:r>
          </w:p>
        </w:tc>
        <w:tc>
          <w:tcPr>
            <w:tcW w:w="1239" w:type="dxa"/>
            <w:vAlign w:val="center"/>
          </w:tcPr>
          <w:p w14:paraId="48182D3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269.2</w:t>
            </w:r>
          </w:p>
        </w:tc>
        <w:tc>
          <w:tcPr>
            <w:tcW w:w="1454" w:type="dxa"/>
            <w:vAlign w:val="center"/>
          </w:tcPr>
          <w:p w14:paraId="114B3AB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年均增速45%</w:t>
            </w:r>
          </w:p>
        </w:tc>
        <w:tc>
          <w:tcPr>
            <w:tcW w:w="1048" w:type="dxa"/>
            <w:vAlign w:val="center"/>
          </w:tcPr>
          <w:p w14:paraId="46E4457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3BED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73" w:hRule="exact"/>
          <w:jc w:val="center"/>
        </w:trPr>
        <w:tc>
          <w:tcPr>
            <w:tcW w:w="694" w:type="dxa"/>
            <w:vAlign w:val="center"/>
          </w:tcPr>
          <w:p w14:paraId="5FAEE4C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w:t>
            </w:r>
          </w:p>
        </w:tc>
        <w:tc>
          <w:tcPr>
            <w:tcW w:w="3109" w:type="dxa"/>
            <w:vAlign w:val="center"/>
          </w:tcPr>
          <w:p w14:paraId="575B8695">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旅游业总收入（亿元）</w:t>
            </w:r>
          </w:p>
        </w:tc>
        <w:tc>
          <w:tcPr>
            <w:tcW w:w="1528" w:type="dxa"/>
            <w:vAlign w:val="center"/>
          </w:tcPr>
          <w:p w14:paraId="0F9C703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239" w:type="dxa"/>
            <w:vAlign w:val="center"/>
          </w:tcPr>
          <w:p w14:paraId="647E59F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100</w:t>
            </w:r>
          </w:p>
        </w:tc>
        <w:tc>
          <w:tcPr>
            <w:tcW w:w="1454" w:type="dxa"/>
            <w:vAlign w:val="center"/>
          </w:tcPr>
          <w:p w14:paraId="1494031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4ADDFB9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1806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73" w:hRule="exact"/>
          <w:jc w:val="center"/>
        </w:trPr>
        <w:tc>
          <w:tcPr>
            <w:tcW w:w="694" w:type="dxa"/>
            <w:vAlign w:val="center"/>
          </w:tcPr>
          <w:p w14:paraId="10467A4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w:t>
            </w:r>
          </w:p>
        </w:tc>
        <w:tc>
          <w:tcPr>
            <w:tcW w:w="3109" w:type="dxa"/>
            <w:vAlign w:val="center"/>
          </w:tcPr>
          <w:p w14:paraId="33353D8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省级服务业集聚区</w:t>
            </w:r>
          </w:p>
        </w:tc>
        <w:tc>
          <w:tcPr>
            <w:tcW w:w="1528" w:type="dxa"/>
            <w:vAlign w:val="center"/>
          </w:tcPr>
          <w:p w14:paraId="4CD1DC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w:t>
            </w:r>
          </w:p>
        </w:tc>
        <w:tc>
          <w:tcPr>
            <w:tcW w:w="1239" w:type="dxa"/>
            <w:vAlign w:val="center"/>
          </w:tcPr>
          <w:p w14:paraId="72F1BE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w:t>
            </w:r>
          </w:p>
        </w:tc>
        <w:tc>
          <w:tcPr>
            <w:tcW w:w="1454" w:type="dxa"/>
            <w:vAlign w:val="center"/>
          </w:tcPr>
          <w:p w14:paraId="6808808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365D1D0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41A3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53" w:hRule="exact"/>
          <w:jc w:val="center"/>
        </w:trPr>
        <w:tc>
          <w:tcPr>
            <w:tcW w:w="694" w:type="dxa"/>
            <w:vAlign w:val="center"/>
          </w:tcPr>
          <w:p w14:paraId="412B6AA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w:t>
            </w:r>
          </w:p>
        </w:tc>
        <w:tc>
          <w:tcPr>
            <w:tcW w:w="3109" w:type="dxa"/>
            <w:vAlign w:val="center"/>
          </w:tcPr>
          <w:p w14:paraId="48ECFE9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三次产业结构</w:t>
            </w:r>
          </w:p>
        </w:tc>
        <w:tc>
          <w:tcPr>
            <w:tcW w:w="1528" w:type="dxa"/>
            <w:vAlign w:val="center"/>
          </w:tcPr>
          <w:p w14:paraId="3B979D2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11:49.5:39.5</w:t>
            </w:r>
          </w:p>
        </w:tc>
        <w:tc>
          <w:tcPr>
            <w:tcW w:w="1239" w:type="dxa"/>
            <w:vAlign w:val="center"/>
          </w:tcPr>
          <w:p w14:paraId="5D26A63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5:45:50</w:t>
            </w:r>
          </w:p>
        </w:tc>
        <w:tc>
          <w:tcPr>
            <w:tcW w:w="1454" w:type="dxa"/>
            <w:vAlign w:val="center"/>
          </w:tcPr>
          <w:p w14:paraId="1D8983B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03F9B57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r w14:paraId="39E8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3" w:hRule="exact"/>
          <w:jc w:val="center"/>
        </w:trPr>
        <w:tc>
          <w:tcPr>
            <w:tcW w:w="694" w:type="dxa"/>
            <w:vAlign w:val="center"/>
          </w:tcPr>
          <w:p w14:paraId="64C5872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3109" w:type="dxa"/>
            <w:vAlign w:val="center"/>
          </w:tcPr>
          <w:p w14:paraId="62A6B31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常住人口城镇化率（%）</w:t>
            </w:r>
          </w:p>
        </w:tc>
        <w:tc>
          <w:tcPr>
            <w:tcW w:w="1528" w:type="dxa"/>
            <w:vAlign w:val="center"/>
          </w:tcPr>
          <w:p w14:paraId="1B43AA2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w:t>
            </w:r>
          </w:p>
        </w:tc>
        <w:tc>
          <w:tcPr>
            <w:tcW w:w="1239" w:type="dxa"/>
            <w:vAlign w:val="center"/>
          </w:tcPr>
          <w:p w14:paraId="4FF00C8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62</w:t>
            </w:r>
          </w:p>
        </w:tc>
        <w:tc>
          <w:tcPr>
            <w:tcW w:w="1454" w:type="dxa"/>
            <w:vAlign w:val="center"/>
          </w:tcPr>
          <w:p w14:paraId="7372ADD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048" w:type="dxa"/>
            <w:vAlign w:val="center"/>
          </w:tcPr>
          <w:p w14:paraId="50167B3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预期性</w:t>
            </w:r>
          </w:p>
        </w:tc>
      </w:tr>
    </w:tbl>
    <w:p w14:paraId="2BA0B0A8">
      <w:pPr>
        <w:rPr>
          <w:rFonts w:hint="default" w:ascii="Times New Roman" w:hAnsi="Times New Roman" w:cs="Times New Roman"/>
          <w:sz w:val="21"/>
          <w:szCs w:val="21"/>
        </w:rPr>
      </w:pPr>
      <w:r>
        <w:rPr>
          <w:rFonts w:hint="default" w:ascii="Times New Roman" w:hAnsi="Times New Roman" w:cs="Times New Roman"/>
          <w:sz w:val="21"/>
          <w:szCs w:val="21"/>
        </w:rPr>
        <w:t>注：[ ]内为五年累计数。</w:t>
      </w:r>
    </w:p>
    <w:p w14:paraId="65EBDA40">
      <w:pPr>
        <w:ind w:firstLine="420"/>
        <w:rPr>
          <w:rFonts w:hint="default" w:ascii="Times New Roman" w:hAnsi="Times New Roman" w:cs="Times New Roman"/>
        </w:rPr>
      </w:pPr>
    </w:p>
    <w:p w14:paraId="1E264404">
      <w:pPr>
        <w:pStyle w:val="3"/>
        <w:keepNext w:val="0"/>
        <w:keepLines w:val="0"/>
        <w:spacing w:before="0" w:after="0" w:line="560" w:lineRule="exact"/>
        <w:jc w:val="center"/>
        <w:rPr>
          <w:rFonts w:hint="default" w:ascii="Times New Roman" w:hAnsi="Times New Roman" w:cs="Times New Roman"/>
          <w:color w:val="000000" w:themeColor="text1"/>
          <w:sz w:val="32"/>
          <w:szCs w:val="32"/>
          <w14:textFill>
            <w14:solidFill>
              <w14:schemeClr w14:val="tx1"/>
            </w14:solidFill>
          </w14:textFill>
        </w:rPr>
      </w:pPr>
      <w:bookmarkStart w:id="74" w:name="_Toc83296389"/>
    </w:p>
    <w:p w14:paraId="36D5549E">
      <w:pPr>
        <w:pStyle w:val="3"/>
        <w:keepNext w:val="0"/>
        <w:keepLines w:val="0"/>
        <w:spacing w:before="0" w:after="0" w:line="560" w:lineRule="exact"/>
        <w:jc w:val="center"/>
        <w:rPr>
          <w:rFonts w:hint="default" w:ascii="Times New Roman" w:hAnsi="Times New Roman" w:cs="Times New Roman"/>
          <w:color w:val="000000" w:themeColor="text1"/>
          <w:sz w:val="32"/>
          <w:szCs w:val="32"/>
          <w14:textFill>
            <w14:solidFill>
              <w14:schemeClr w14:val="tx1"/>
            </w14:solidFill>
          </w14:textFill>
        </w:rPr>
      </w:pPr>
    </w:p>
    <w:p w14:paraId="2A0F849B">
      <w:pPr>
        <w:pStyle w:val="3"/>
        <w:keepNext w:val="0"/>
        <w:keepLines w:val="0"/>
        <w:spacing w:before="0" w:after="0" w:line="560" w:lineRule="exact"/>
        <w:jc w:val="center"/>
        <w:rPr>
          <w:rFonts w:hint="default" w:ascii="Times New Roman" w:hAnsi="Times New Roman" w:cs="Times New Roman"/>
          <w:color w:val="000000" w:themeColor="text1"/>
          <w:sz w:val="32"/>
          <w:szCs w:val="32"/>
          <w14:textFill>
            <w14:solidFill>
              <w14:schemeClr w14:val="tx1"/>
            </w14:solidFill>
          </w14:textFill>
        </w:rPr>
      </w:pPr>
    </w:p>
    <w:p w14:paraId="1C8F52DD">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bookmarkStart w:id="75" w:name="_Toc1370"/>
    </w:p>
    <w:p w14:paraId="258923A3">
      <w:pPr>
        <w:pStyle w:val="3"/>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default" w:ascii="Times New Roman" w:hAnsi="Times New Roman" w:cs="Times New Roman"/>
          <w:color w:val="000000" w:themeColor="text1"/>
          <w:sz w:val="32"/>
          <w:szCs w:val="32"/>
          <w14:textFill>
            <w14:solidFill>
              <w14:schemeClr w14:val="tx1"/>
            </w14:solidFill>
          </w14:textFill>
        </w:rPr>
      </w:pPr>
    </w:p>
    <w:p w14:paraId="46C4AD0C">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76" w:name="_Toc24490"/>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第三章  主要任务</w:t>
      </w:r>
      <w:bookmarkEnd w:id="74"/>
      <w:bookmarkEnd w:id="75"/>
      <w:bookmarkEnd w:id="76"/>
    </w:p>
    <w:p w14:paraId="08522A76">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77" w:name="_Toc25238"/>
      <w:bookmarkStart w:id="78" w:name="_Toc83296390"/>
    </w:p>
    <w:p w14:paraId="34331B14">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79" w:name="_Toc18292"/>
      <w:r>
        <w:rPr>
          <w:rFonts w:hint="default" w:ascii="Times New Roman" w:hAnsi="Times New Roman" w:eastAsia="黑体" w:cs="Times New Roman"/>
          <w:b w:val="0"/>
          <w:bCs w:val="0"/>
          <w:color w:val="000000" w:themeColor="text1"/>
          <w14:textFill>
            <w14:solidFill>
              <w14:schemeClr w14:val="tx1"/>
            </w14:solidFill>
          </w14:textFill>
        </w:rPr>
        <w:t>一、推动生产性服务业向专业化和价值链高端延伸</w:t>
      </w:r>
      <w:bookmarkEnd w:id="77"/>
      <w:bookmarkEnd w:id="78"/>
      <w:bookmarkEnd w:id="79"/>
    </w:p>
    <w:p w14:paraId="6DC2C2CE">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80" w:name="_Toc8023"/>
      <w:bookmarkStart w:id="81" w:name="_Toc83296391"/>
      <w:bookmarkStart w:id="82" w:name="_Toc21797"/>
      <w:r>
        <w:rPr>
          <w:rFonts w:hint="default" w:ascii="Times New Roman" w:hAnsi="Times New Roman" w:eastAsia="楷体_GB2312" w:cs="Times New Roman"/>
          <w:color w:val="000000" w:themeColor="text1"/>
          <w14:textFill>
            <w14:solidFill>
              <w14:schemeClr w14:val="tx1"/>
            </w14:solidFill>
          </w14:textFill>
        </w:rPr>
        <w:t>（一）做优做强现代物流业</w:t>
      </w:r>
      <w:bookmarkEnd w:id="80"/>
      <w:bookmarkEnd w:id="81"/>
      <w:bookmarkEnd w:id="82"/>
    </w:p>
    <w:p w14:paraId="2DBC599E">
      <w:pPr>
        <w:spacing w:line="560" w:lineRule="exact"/>
        <w:ind w:firstLine="640" w:firstLineChars="200"/>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创新供应链管理理念，引进和培育一批有竞争力的重点物流企业，加快发展第三方、第四方物流和快递配送物流，提高物流一体化运作水平。依托快速交通通道和运河航运，加快物流园平台建设，构建“水、陆、铁”三位一体的大物流平台。加强航道、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闸和码头建设；加快</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开发区智能快递物流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中心</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w:t>
      </w:r>
      <w:r>
        <w:rPr>
          <w:rFonts w:ascii="Times New Roman" w:hAnsi="Times New Roman" w:eastAsia="仿宋_GB2312" w:cs="Times New Roman"/>
          <w:color w:val="000000" w:themeColor="text1"/>
          <w:sz w:val="32"/>
          <w:szCs w:val="32"/>
          <w:highlight w:val="none"/>
          <w14:textFill>
            <w14:solidFill>
              <w14:schemeClr w14:val="tx1"/>
            </w14:solidFill>
          </w14:textFill>
        </w:rPr>
        <w:t>中瑞农产</w:t>
      </w:r>
      <w:r>
        <w:rPr>
          <w:rFonts w:hint="default" w:ascii="Times New Roman" w:hAnsi="Times New Roman" w:eastAsia="仿宋_GB2312" w:cs="Times New Roman"/>
          <w:color w:val="000000" w:themeColor="text1"/>
          <w:sz w:val="32"/>
          <w:szCs w:val="32"/>
          <w14:textFill>
            <w14:solidFill>
              <w14:schemeClr w14:val="tx1"/>
            </w14:solidFill>
          </w14:textFill>
        </w:rPr>
        <w:t>品冷链物流园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ascii="Times New Roman" w:hAnsi="Times New Roman" w:eastAsia="仿宋_GB2312" w:cs="Times New Roman"/>
          <w:color w:val="000000" w:themeColor="text1"/>
          <w:sz w:val="32"/>
          <w:szCs w:val="32"/>
          <w:highlight w:val="none"/>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w:t>
      </w:r>
      <w:r>
        <w:rPr>
          <w:rFonts w:hint="default" w:ascii="Times New Roman" w:hAnsi="Times New Roman" w:eastAsia="仿宋_GB2312" w:cs="Times New Roman"/>
          <w:color w:val="000000" w:themeColor="text1"/>
          <w:sz w:val="32"/>
          <w:szCs w:val="32"/>
          <w14:textFill>
            <w14:solidFill>
              <w14:schemeClr w14:val="tx1"/>
            </w14:solidFill>
          </w14:textFill>
        </w:rPr>
        <w:t>进淮海京东现代物流产业园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铁佛镇茂铺物流园、孙疃镇建材物流园、孙疃镇冷链物流中心、南坪镇临港现代物流园、粮食物流应急保障中心等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项目落地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kern w:val="2"/>
          <w:sz w:val="32"/>
          <w:szCs w:val="32"/>
          <w:highlight w:val="none"/>
          <w:lang w:val="en-US" w:eastAsia="zh-CN" w:bidi="ar-SA"/>
        </w:rPr>
        <w:t>加快形成一批物流龙头企业。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完善以翔宇物流、东风物流、中瑞农产品</w:t>
      </w:r>
      <w:r>
        <w:rPr>
          <w:rFonts w:hint="default" w:ascii="Times New Roman" w:hAnsi="Times New Roman" w:eastAsia="仿宋_GB2312" w:cs="Times New Roman"/>
          <w:color w:val="000000" w:themeColor="text1"/>
          <w:sz w:val="32"/>
          <w:szCs w:val="32"/>
          <w14:textFill>
            <w14:solidFill>
              <w14:schemeClr w14:val="tx1"/>
            </w14:solidFill>
          </w14:textFill>
        </w:rPr>
        <w:t>物流、顺达物流配送等为基础的物流体系，有机整合物流快递资源，优化配送渠道，有效降低物流快递成本。实现现代物流与各类产业的深度融合，引导企业加强供应链创新与应用，树立“绿金物流”优质服务品牌形象，提高产业集聚水平和增加区域辐射能力。积极推广智慧物流发展，形成以产业物流为基础，商贸物流为亮点的布局合理、层次分明、功能完善、技术先进、绿色环保、安全有序的现代物流体系，到“十四五”末，濉溪县基本建成以“一主两副两节点多站”货运枢纽场站为骨干框架的物流服务体系，成为皖北地区重要的物流枢纽城市。</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7"/>
      </w:tblGrid>
      <w:tr w14:paraId="0A14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8767" w:type="dxa"/>
          </w:tcPr>
          <w:p w14:paraId="44A13B81">
            <w:pPr>
              <w:pStyle w:val="39"/>
              <w:keepNext w:val="0"/>
              <w:keepLines w:val="0"/>
              <w:pageBreakBefore w:val="0"/>
              <w:widowControl w:val="0"/>
              <w:numPr>
                <w:ilvl w:val="255"/>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专栏1：重点方向或重点项目</w:t>
            </w:r>
          </w:p>
          <w:p w14:paraId="01A13136">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淮北港韩村港区孙疃作业区综合码头工程，总投资5.8亿元，主要建设内容：建设6个500吨级兼顾1000吨级的综合性泊位，设计年吞吐量540万吨。</w:t>
            </w:r>
          </w:p>
          <w:p w14:paraId="6D677DBB">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临涣闸至李口集段浍河航道工程，总投资20亿元，主要建设内容：临涣闸至李口集，全长35.5公里，四级航道。</w:t>
            </w:r>
          </w:p>
          <w:p w14:paraId="4E68774D">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沱浍河航道临涣船闸工程，总投资5.68亿元，主要建设内容：按IV级通航标准建设，设计最大船型为500吨级（兼顾1000吨级）货船。主要建设内容包括闸首，闸室，引航道、导航建筑物、靠船建筑物、桥梁改建及配套工程等。</w:t>
            </w:r>
          </w:p>
          <w:p w14:paraId="4B500696">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韩村散货码头建设项目</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，总投资2.4亿元，主要建设内容：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拟建5个500吨级泊位，泊位长度390米。设计年吞吐量440万吨。建设进港公路一条，长500米，宽15米。</w:t>
            </w:r>
          </w:p>
          <w:p w14:paraId="6E5F9411">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淮海中瑞农产品物流中心冷链物流园项目，总投资2.085亿元，主要建设内容：占地面积约99.79亩，建设冷链物流用冷库及冻品交易及其他配套用房等。</w:t>
            </w:r>
          </w:p>
          <w:p w14:paraId="0E9D0C87">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中德产业园子项目（智能快递物流中心建设项目），总投资1.5亿元，主要建设内容：占地约70亩，总建筑面积约5.2万平方米，包括3栋两层仓储物流仓库、1栋业务综合楼以及其他相关配套设施。</w:t>
            </w:r>
          </w:p>
          <w:p w14:paraId="0A2120F8">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淮海京东现代物流产业园项目，总投资2亿元，主要建设内容：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引进京东物流运营管理模式，建设集云计算、大数据、智能化于一体的现代物流产业园，全面整合提升濉溪县的物流产业，计划总投资2亿元，占地面积200亩左右。</w:t>
            </w:r>
          </w:p>
          <w:p w14:paraId="74AA4F6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濉溪县粮食物流应急保障中心项目，总投资2.6亿元，主要建设内容：占地约120亩，新建15万吨粮食和应急物资仓库及配套设施。</w:t>
            </w:r>
          </w:p>
          <w:p w14:paraId="0C041273">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铁佛镇浍河货运集散区项目，总投资0.7亿元，主要建设内容：占地约200亩，硬化面积39000平方米的物流集散区及相关办公楼等配套设施。</w:t>
            </w:r>
          </w:p>
          <w:p w14:paraId="134F4DB4">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铁佛镇茂铺物流园建设项目，总投资0.8亿元，主要建设内容：地面硬化6000平方米，管理办公区和配套功能区500平方米以及附属工程。节能型机械冷库：根据贮藏规模、自然气候和地质条件等，采用砖混结构或组装式建筑结构，配备机械制冷设备，新建保温隔热性能良好、低温环境适宜的冷库；配备必要的称量、除土、清洗、分级、愈伤、检测、干制、包装、移动式皮带输送、信息采集等设备以及立体式货架，配套设施等。</w:t>
            </w:r>
          </w:p>
          <w:p w14:paraId="02E614B9">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南坪镇临港现代物流园建设项目，总投资20亿元，主要建设内容：建设园区道路、下水管网，绿化、亮化、农贸商城、综合交易中心、现货交易中心、物流仓储、冷链物流、商场超市、电子商务创意文化园等。</w:t>
            </w:r>
          </w:p>
          <w:p w14:paraId="0DF80758">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孙疃镇建材物流园项目，总投资10亿元，主要建设内容：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占地1000亩，分三期完成。一期项目计划投资0.7亿元，占地约70亩。主要建设物流园写字楼、员工宿舍、客户商务宾馆等，总建筑面积约45000平方米。二期为建材交易集散中心，计划投资4.3亿元，总占地面积约430亩。三期主要为建材成品来料加工存放区，总占地面积约500亩，投资约5亿元。</w:t>
            </w:r>
          </w:p>
          <w:p w14:paraId="30157C8D">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泽源物流项目，总投资3亿元，主要建设内容：由国安能源投资建设，进行货物运输、仓储服务和建材、机械设备、零部件的销售。</w:t>
            </w:r>
          </w:p>
          <w:p w14:paraId="51EFF12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物流产业园项目,位于</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濉芜产业园</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，总投资3亿元，主要建设内容：占地90亩，建设物流产业园，打造以顺达商贸、恒信物流为主，集仓储物流、贸易及配送的物流集散中心。</w:t>
            </w:r>
          </w:p>
          <w:p w14:paraId="05B2B9C4">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孙疃镇冷链物流园项目，总投资2亿元，主要建设内容：拟建</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于宿涡路及尤沟村东大李三岔路口东，占地600亩，园区道路硬化、下水道、路面绿化、亮化、电力设施等基础配套，将众多冷链物流企业聚集在一起，实行专业化和规模化经营，作为城市物流功能区，物流园区包括物流中心、配送中心、运输枢纽设施、运输组织及管理中心和物流信息中心，以及适应城市物流管理与运作需要的物流基础设施。</w:t>
            </w:r>
          </w:p>
        </w:tc>
      </w:tr>
    </w:tbl>
    <w:p w14:paraId="4D60137A">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83" w:name="_Toc2007"/>
      <w:bookmarkStart w:id="84" w:name="_Toc21991"/>
      <w:bookmarkStart w:id="85" w:name="_Toc83296392"/>
      <w:r>
        <w:rPr>
          <w:rFonts w:hint="default" w:ascii="Times New Roman" w:hAnsi="Times New Roman" w:eastAsia="楷体_GB2312" w:cs="Times New Roman"/>
          <w:color w:val="000000" w:themeColor="text1"/>
          <w14:textFill>
            <w14:solidFill>
              <w14:schemeClr w14:val="tx1"/>
            </w14:solidFill>
          </w14:textFill>
        </w:rPr>
        <w:t>（二）优化提升商贸服务业</w:t>
      </w:r>
      <w:bookmarkEnd w:id="83"/>
      <w:bookmarkEnd w:id="84"/>
      <w:bookmarkEnd w:id="85"/>
    </w:p>
    <w:p w14:paraId="60759BDF">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进一步完善全县商业网点规划布局，促进全县商贸</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服务</w:t>
      </w:r>
      <w:r>
        <w:rPr>
          <w:rFonts w:hint="default" w:ascii="Times New Roman" w:hAnsi="Times New Roman" w:eastAsia="仿宋_GB2312" w:cs="Times New Roman"/>
          <w:color w:val="000000" w:themeColor="text1"/>
          <w:sz w:val="32"/>
          <w:szCs w:val="32"/>
          <w14:textFill>
            <w14:solidFill>
              <w14:schemeClr w14:val="tx1"/>
            </w14:solidFill>
          </w14:textFill>
        </w:rPr>
        <w:t>业实现高质量发展。重点推动二关路和闸河路商业综合体、中瑞农产品批发市场建设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积极推进县城商业综合体建设，加快推进时代广场、中苑商厦、状元府邸、宏宇·之心城建设。依托老城石板街、乾隆湖公园等优势资源，推进“夜间经济”发展。大力发展商务会展，培育地方</w:t>
      </w:r>
      <w:r>
        <w:rPr>
          <w:rFonts w:hint="default" w:ascii="Times New Roman" w:hAnsi="Times New Roman" w:eastAsia="仿宋_GB2312" w:cs="Times New Roman"/>
          <w:color w:val="000000" w:themeColor="text1"/>
          <w:sz w:val="32"/>
          <w:szCs w:val="32"/>
          <w14:textFill>
            <w14:solidFill>
              <w14:schemeClr w14:val="tx1"/>
            </w14:solidFill>
          </w14:textFill>
        </w:rPr>
        <w:t>特色产品展销平台，筹办符合全县经济发展水平和产业特色的会展活动，加强对外交流合作，吸引外地资金、技术和管理人员进入，同时支持有条件、有实力的企业到外地参展办展，扶持会展主体开展品牌展览、开拓市场。积极营造总部经济生态环境，招引企业来濉溪设立综合型总部或人力资源中心、研发中心、采购中心、物流中心和营销中心等职能型总部机构，吸引科技、商务、文化、法律、知识产权等领域社会组织在濉溪设立分支机构。大力发展法律服务、会计审计、工程咨询、认证认可、信用评估、市场调查、经纪代理等商务中介服务，培育和引进一批专业度较高、影响力较大的商务中介机构，鼓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商务中介机构利用新一代信息技术推动服务产品和模式创新。到“十四五”末，全县社会消费品零售总额</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目标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达218亿元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左右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28FA7899">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86" w:name="_Toc27953"/>
      <w:bookmarkStart w:id="87" w:name="_Toc83296393"/>
      <w:bookmarkStart w:id="88" w:name="_Toc7070"/>
      <w:r>
        <w:rPr>
          <w:rFonts w:hint="default" w:ascii="Times New Roman" w:hAnsi="Times New Roman" w:eastAsia="楷体_GB2312" w:cs="Times New Roman"/>
          <w:color w:val="000000" w:themeColor="text1"/>
          <w14:textFill>
            <w14:solidFill>
              <w14:schemeClr w14:val="tx1"/>
            </w14:solidFill>
          </w14:textFill>
        </w:rPr>
        <w:t>（三）培育壮大现代金融业</w:t>
      </w:r>
      <w:bookmarkEnd w:id="86"/>
      <w:bookmarkEnd w:id="87"/>
      <w:bookmarkEnd w:id="88"/>
    </w:p>
    <w:p w14:paraId="6B1086FB">
      <w:pPr>
        <w:spacing w:line="560" w:lineRule="exact"/>
        <w:ind w:firstLine="640" w:firstLineChars="200"/>
        <w:rPr>
          <w:rFonts w:hint="default" w:ascii="Times New Roman" w:hAnsi="Times New Roman" w:eastAsia="仿宋_GB2312" w:cs="Times New Roman"/>
          <w:color w:val="000000" w:themeColor="text1"/>
          <w:sz w:val="32"/>
          <w:szCs w:val="32"/>
          <w:highlight w:val="yellow"/>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推动金融改革创新，发展高效安全、绿色普惠、开放创新的现代金融服务业。引导金融回归本源，服从服务于经济社会发展。招引国有商业银行和全国性股份制商业银行入驻濉溪，支持濉溪农商行做大做强，支持本地有实力的企业牵头或参与发起成立民营银行，加快银行业集聚发展。大力发展信用贷款、知识产权质押贷款、股权质押贷款、应收账款质押贷款、绿色信贷等新型信贷工具，综合运用投贷联动、债转股等方式，促进信贷资源优化配置。加强政策引导作用，推进企业上市挂牌，鼓励企业利用股票、债券、债务融资工具，扩大直接融资规模。深化与证券、基金、信托、租赁等融资机构融资合作，加大对新型金融机构扶持力度，加快发展以证券、保险、信托、资产管理、期货、货币经纪、财务公司为重点的非银行类金融。培育发展以融资担保、小额贷款、融资租赁、典当、商业保理、地方资产管理等为代表的金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行业</w:t>
      </w:r>
      <w:r>
        <w:rPr>
          <w:rFonts w:hint="default" w:ascii="Times New Roman" w:hAnsi="Times New Roman" w:eastAsia="仿宋_GB2312" w:cs="Times New Roman"/>
          <w:color w:val="000000" w:themeColor="text1"/>
          <w:sz w:val="32"/>
          <w:szCs w:val="32"/>
          <w14:textFill>
            <w14:solidFill>
              <w14:schemeClr w14:val="tx1"/>
            </w14:solidFill>
          </w14:textFill>
        </w:rPr>
        <w:t>。畅通金融扶持实体经济通道，围绕全县重点领域和薄弱环节加强金融支持力度，引导金融机构配合濉溪县产业发展调整信贷投向，突出对主导产业的中长期信贷支持，促进银企对接，加大信贷投放力度，推进银担合作，持续增强担保服务能力，着力保障重大项目、重点产业的资金需求，切实缓解企业融资难融资贵问题。健全政策性融资担保体系，完善信贷考核奖励办法。优化金融生态环境，防范金融风险。到“十四五”末，贷款余额突破650亿元，年均增速11%，存贷比达到65%以上，全县“新三板”和区域四板挂牌企业总数超过100家。</w:t>
      </w:r>
    </w:p>
    <w:p w14:paraId="0D8CEB54">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89" w:name="_Toc24352"/>
      <w:bookmarkStart w:id="90" w:name="_Toc12817"/>
      <w:bookmarkStart w:id="91" w:name="_Toc83296394"/>
      <w:r>
        <w:rPr>
          <w:rFonts w:hint="default" w:ascii="Times New Roman" w:hAnsi="Times New Roman" w:eastAsia="楷体_GB2312" w:cs="Times New Roman"/>
          <w:color w:val="000000" w:themeColor="text1"/>
          <w14:textFill>
            <w14:solidFill>
              <w14:schemeClr w14:val="tx1"/>
            </w14:solidFill>
          </w14:textFill>
        </w:rPr>
        <w:t>（四）创新发展电子商务业</w:t>
      </w:r>
      <w:bookmarkEnd w:id="89"/>
      <w:bookmarkEnd w:id="90"/>
      <w:bookmarkEnd w:id="91"/>
    </w:p>
    <w:p w14:paraId="6644C416">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紧抓国家大力发展数字经济战略机遇，以电子商务推动传统商业模式创新，加快企业信息化建设步伐，加快电子商务与产业融合发展。积极利用互联网、人工智能等新技术，发展电商、数字娱乐、在线教育、远程医疗等新兴业态和线上经济，加大电商项目资金扶持力度，积极推动传统企业向“互联网+”转型。加强行业门户网站和网上商城建设，加快电商渠道及细分领域专业平台的建设，积极利用基于第三方平台的淘宝网特色中国淮北馆、京东淮北馆、苏宁易购淮北频道、“阿里巴巴•淮北产业带”、特色农产品电子商务村、特色电子商务镇等，打造本地特色电子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务应用平台。大力推进濉溪县电子商务产业园（淮海壹号）二期项目建设，打造濉溪县电商集聚区。积极推动农村电子商务和跨</w:t>
      </w:r>
      <w:r>
        <w:rPr>
          <w:rFonts w:hint="default" w:ascii="Times New Roman" w:hAnsi="Times New Roman" w:eastAsia="仿宋_GB2312" w:cs="Times New Roman"/>
          <w:color w:val="000000" w:themeColor="text1"/>
          <w:sz w:val="32"/>
          <w:szCs w:val="32"/>
          <w14:textFill>
            <w14:solidFill>
              <w14:schemeClr w14:val="tx1"/>
            </w14:solidFill>
          </w14:textFill>
        </w:rPr>
        <w:t>境电商发展，以电子商务进农村综合示范建设为抓手，培育和壮大农村电子商务市场主体，培育发展一批电子商务微型产业集聚区和电商村。开展跨境电商综合改革试点工作，推动跨境电商产业园建设，培育一批跨境电子商务平台和企业，大力支持企业开拓海外市场，推进“综合保税区”建设，</w:t>
      </w:r>
      <w:r>
        <w:rPr>
          <w:rFonts w:hint="default" w:ascii="Times New Roman" w:hAnsi="Times New Roman" w:eastAsia="仿宋_GB2312" w:cs="Times New Roman"/>
          <w:sz w:val="32"/>
          <w:szCs w:val="32"/>
        </w:rPr>
        <w:t>推动跨境电子商务网购保税进口扩大规模。</w:t>
      </w:r>
      <w:r>
        <w:rPr>
          <w:rFonts w:hint="default" w:ascii="Times New Roman" w:hAnsi="Times New Roman" w:eastAsia="仿宋_GB2312" w:cs="Times New Roman"/>
          <w:color w:val="000000" w:themeColor="text1"/>
          <w:sz w:val="32"/>
          <w:szCs w:val="32"/>
          <w14:textFill>
            <w14:solidFill>
              <w14:schemeClr w14:val="tx1"/>
            </w14:solidFill>
          </w14:textFill>
        </w:rPr>
        <w:t>扶持移动电商、跨境电商、互联网金融、O2O模式及相关电子商务支撑服务、外包服务、增值服务等新型服务业，促进本地生活类便民电商服务等新型业态健康发展。开展电商人才培训。打击电子商务领域的非法经营活动，保障电子商务正常秩序。到“十四五”末，将濉溪打造成全国电子商务创新创业节点城市、全省和全国食品电子商务服务的领跑者、“互联网+”推动产业升级的先行者、皖北跨境电子商务发展集聚区，全县电子商务交易额达到269.2亿元以上。</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47D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67C672D">
            <w:pPr>
              <w:pStyle w:val="39"/>
              <w:keepNext w:val="0"/>
              <w:keepLines w:val="0"/>
              <w:pageBreakBefore w:val="0"/>
              <w:widowControl w:val="0"/>
              <w:numPr>
                <w:ilvl w:val="255"/>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专栏2：重点方向或重点项目</w:t>
            </w:r>
          </w:p>
          <w:p w14:paraId="1306A37D">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溪县电子商务产业园（淮海壹号）二期：位于濉溪镇，总投资2.6亿元，规划建设濉溪数字经济产业园，拟打造以电商产业、信息科技、现代服务、健康养老、科研教育、文化创意等为主的现代服务业集聚区二期。</w:t>
            </w:r>
          </w:p>
          <w:p w14:paraId="7BF697B7">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综合保税区建设项目，总投资10亿元，建设2.5平方公里保税加工、保税物流、保税服务等设施建设，并拓展研发、维修、检测、商品展示、国际中转、国际采购、跨境电子商务等业务，重点打造特色加工制造基地、高新技术产品研发生产基地、保税物流基地。</w:t>
            </w:r>
          </w:p>
        </w:tc>
      </w:tr>
    </w:tbl>
    <w:p w14:paraId="41BFE8B5">
      <w:pPr>
        <w:spacing w:line="560" w:lineRule="exact"/>
        <w:ind w:firstLine="643" w:firstLineChars="200"/>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92" w:name="_Toc20518"/>
      <w:bookmarkStart w:id="93" w:name="_Toc83296395"/>
      <w:r>
        <w:rPr>
          <w:rFonts w:hint="default" w:ascii="Times New Roman" w:hAnsi="Times New Roman" w:eastAsia="楷体_GB2312" w:cs="Times New Roman"/>
          <w:b/>
          <w:bCs/>
          <w:color w:val="000000" w:themeColor="text1"/>
          <w:sz w:val="32"/>
          <w:szCs w:val="32"/>
          <w14:textFill>
            <w14:solidFill>
              <w14:schemeClr w14:val="tx1"/>
            </w14:solidFill>
          </w14:textFill>
        </w:rPr>
        <w:t>（五）提升发展科技服务业</w:t>
      </w:r>
      <w:bookmarkEnd w:id="92"/>
      <w:bookmarkEnd w:id="93"/>
    </w:p>
    <w:p w14:paraId="40D15DB7">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大力发展研究开发、工业设计、技术转移转化、创业孵化、检验检测、知识产权、科技咨询、科学技术普及等科技服务业。</w:t>
      </w:r>
      <w:r>
        <w:rPr>
          <w:rFonts w:hint="default" w:ascii="Times New Roman" w:hAnsi="Times New Roman" w:eastAsia="仿宋_GB2312" w:cs="Times New Roman"/>
          <w:smallCaps/>
          <w:color w:val="000000" w:themeColor="text1"/>
          <w:sz w:val="32"/>
          <w:szCs w:val="32"/>
          <w14:textFill>
            <w14:solidFill>
              <w14:schemeClr w14:val="tx1"/>
            </w14:solidFill>
          </w14:textFill>
        </w:rPr>
        <w:t>深化现代服务业同先进制造业、现代农业等深度融合，</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搭建和完善科技基础设施条件，支持建设一批区域技术和信息公共服务平台，提高公共资源的共享水平和产出能力。加快建设一批资源共享、面向社会开放的公共检验检测认证服务平台，发展第三方检验检测认证服务，培育发展在线检测新型业态。发挥煤化工、铝基新材料及相关产业比较优势，加强在精细化工、铝基复合材料、现代农业等领域的技术攻关。整合相关人才教育、招商引资、社会就业、区域发展政策，形成较为完善激励创新的政策体系。放宽科技服务业准入条件，引导企业与高校、院所共建研发中心、科技企业孵化器，深化与科技服务业的合作。广泛吸纳科技资金和风险投资，完善科技企业的融资体系。创新平台管理机制，为科技创新和成果转化提供技术、管理、政策法规等方面的信息和数据资料。加强科技创新载体建设，推进数字科创发展，完善科技服务体系，加快壮大信息与科技服务业，培育发展国家高新技术企业，支持符合条件的企业争创国家级和省级创新平台，打造一批重点突出、资源集聚、服务专业的科技企业孵化器和众创空间，协助铝基新材料产业技术研究院建设、完善和绩效评估，形成一批科技服务产业集群，建立适应现代服务业发展的覆盖全县科技创新全链条、产品生产全周期的创业创新服务体系。</w:t>
      </w:r>
      <w:r>
        <w:rPr>
          <w:rFonts w:hint="default" w:ascii="Times New Roman" w:hAnsi="Times New Roman" w:eastAsia="仿宋_GB2312" w:cs="Times New Roman"/>
          <w:color w:val="000000" w:themeColor="text1"/>
          <w:sz w:val="32"/>
          <w:szCs w:val="32"/>
          <w14:textFill>
            <w14:solidFill>
              <w14:schemeClr w14:val="tx1"/>
            </w14:solidFill>
          </w14:textFill>
        </w:rPr>
        <w:t>到“十四五”末，每万人口有效发明专利拥有量达7件，建成科技企业孵化器和众创空间5家以上，科技服务业营业收入年均增长10%以上。</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3"/>
      </w:tblGrid>
      <w:tr w14:paraId="0AF3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3" w:type="dxa"/>
          </w:tcPr>
          <w:p w14:paraId="01076E6E">
            <w:pPr>
              <w:pStyle w:val="39"/>
              <w:keepNext w:val="0"/>
              <w:keepLines w:val="0"/>
              <w:pageBreakBefore w:val="0"/>
              <w:widowControl w:val="0"/>
              <w:numPr>
                <w:ilvl w:val="255"/>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专栏3：重点方向或重点项目</w:t>
            </w:r>
          </w:p>
          <w:p w14:paraId="2EF8FF6C">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濉芜现代产业园双创孵化园</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，总投资31.6亿元，主要建设内容：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1）综合服务中心建设项目，占地107亩，建设双创孵化园综合服务中心，总建筑面积12.5万平方米；（2）氢能源产业园及配套建设项目。占地1800亩，建设标准化厂房115万平方米，主要包括仓储中心、生产、展示交易中心等三大功能区;（3）生态及交通提升建设项目，建设3条人工渠道连接巴河及沱河，建设提升泵站，采购100辆氢能源公交车。</w:t>
            </w:r>
          </w:p>
          <w:p w14:paraId="015B2423">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新型金属铝材料公共服务平台项目，总投资5.6亿元，主要建设内容：占地约144亩，总建筑面积约10万平方米，包含院士工作站、铝产业研发中心、国家级铝制品检测中心、产业孵化期、众创空间、会展中心、科创中心及其他相关配套设施。</w:t>
            </w:r>
          </w:p>
          <w:p w14:paraId="7B87F86C">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企业安全培训基地项目（应急安全城），总投资约3亿元，主要建设内容：占地约76亩。总建筑面积约3万平方米，包含应急体验馆、应急指挥中心、应急物资储备库以及其他相关配套设施。</w:t>
            </w:r>
          </w:p>
          <w:p w14:paraId="771F4097">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知俐科技创新产业园</w:t>
            </w:r>
            <w:r>
              <w:rPr>
                <w:rFonts w:hint="default" w:ascii="Times New Roman" w:hAnsi="Times New Roman" w:eastAsia="仿宋_GB2312" w:cs="Times New Roman"/>
                <w:color w:val="000000" w:themeColor="text1"/>
                <w:kern w:val="0"/>
                <w:sz w:val="28"/>
                <w:szCs w:val="28"/>
                <w14:textFill>
                  <w14:solidFill>
                    <w14:schemeClr w14:val="tx1"/>
                  </w14:solidFill>
                </w14:textFill>
              </w:rPr>
              <w:t>项目</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，总投资1.06亿元，位于濉溪经开区，打造科创孵化器。</w:t>
            </w:r>
          </w:p>
          <w:p w14:paraId="346C2757">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濉溪镇失地农民创业园</w:t>
            </w:r>
            <w:r>
              <w:rPr>
                <w:rFonts w:hint="default" w:ascii="Times New Roman" w:hAnsi="Times New Roman" w:eastAsia="仿宋_GB2312" w:cs="Times New Roman"/>
                <w:color w:val="000000" w:themeColor="text1"/>
                <w:kern w:val="0"/>
                <w:sz w:val="28"/>
                <w:szCs w:val="28"/>
                <w14:textFill>
                  <w14:solidFill>
                    <w14:schemeClr w14:val="tx1"/>
                  </w14:solidFill>
                </w14:textFill>
              </w:rPr>
              <w:t>项目</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10亿元，地面积约500亩，建设标准化工业厂房4万平方米，以及园区路网、地下管网等配套工程，以及承载乾隆湖园区的搬迁安置。</w:t>
            </w:r>
          </w:p>
          <w:p w14:paraId="773CE13A">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汽车零部件综合提升工程项目，总投资约1亿元，主要建设内容：利用商贸基础现有办公楼，建设集园区汽车零部件研发中心、物流配套、公共服务及自主知识产权提升工程于一体的孵化基地。</w:t>
            </w:r>
          </w:p>
        </w:tc>
      </w:tr>
    </w:tbl>
    <w:p w14:paraId="6549388F">
      <w:pPr>
        <w:spacing w:line="560" w:lineRule="exact"/>
        <w:ind w:firstLine="643" w:firstLineChars="200"/>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94" w:name="_Toc18680"/>
      <w:bookmarkStart w:id="95" w:name="_Toc83296396"/>
      <w:r>
        <w:rPr>
          <w:rFonts w:hint="default" w:ascii="Times New Roman" w:hAnsi="Times New Roman" w:eastAsia="楷体_GB2312" w:cs="Times New Roman"/>
          <w:b/>
          <w:bCs/>
          <w:color w:val="000000" w:themeColor="text1"/>
          <w:sz w:val="32"/>
          <w:szCs w:val="32"/>
          <w14:textFill>
            <w14:solidFill>
              <w14:schemeClr w14:val="tx1"/>
            </w14:solidFill>
          </w14:textFill>
        </w:rPr>
        <w:t>（六）积极培育节能环保服务业</w:t>
      </w:r>
      <w:bookmarkEnd w:id="94"/>
      <w:bookmarkEnd w:id="95"/>
    </w:p>
    <w:p w14:paraId="23ECE6B2">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节能环保服务业，加大财政投入，从生产、流通、建设、消费各个环节加以引导，对研发、示范、产业化全过程给予扶持，吸引资源向节能环保与检测服务行业集聚。围绕主导产业和战略新兴产业，重点扶持铝制品、精细化工及新兴产业发展检验检测服务业，规范引导建材、冶金、能源企业协同开展城市及产业废弃物的资源化利用。大力培育和发展节能减排投融资、能源审计、清洁生产审核、工程咨询、节能环保产品认证、节能评估、环境法律诉讼和教育培训等第三方节能环保服务体系。大力推行合同能源管理，扶持壮大一批专业化节能公司，引导机构利用合同能源管理机制开展节能服务，支持重点用能单位采用合同能源管理方式实施节能改造，探索节能量交易等市场化节能机制。支持企业开发环保先进技术，提高资源回收企业的组织化和规模化程度，培育和发展绿色工业产品，健全有利于资源循环利用的回收体系和废弃物逆向物流交易平台，建立再制造旧件回收、产品营销、溯源等信息化管理系统。推行环境污染第三方治理。支持储能项目建设。严格落实节能环保相关奖惩措施。</w:t>
      </w:r>
    </w:p>
    <w:p w14:paraId="60C680DA">
      <w:pPr>
        <w:spacing w:line="560" w:lineRule="exact"/>
        <w:ind w:firstLine="643" w:firstLineChars="200"/>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96" w:name="_Toc22972"/>
      <w:bookmarkStart w:id="97" w:name="_Toc83296397"/>
      <w:r>
        <w:rPr>
          <w:rFonts w:hint="default" w:ascii="Times New Roman" w:hAnsi="Times New Roman" w:eastAsia="楷体_GB2312" w:cs="Times New Roman"/>
          <w:b/>
          <w:bCs/>
          <w:color w:val="000000" w:themeColor="text1"/>
          <w:sz w:val="32"/>
          <w:szCs w:val="32"/>
          <w14:textFill>
            <w14:solidFill>
              <w14:schemeClr w14:val="tx1"/>
            </w14:solidFill>
          </w14:textFill>
        </w:rPr>
        <w:t>（七）加快发展信息技术服务业</w:t>
      </w:r>
      <w:bookmarkEnd w:id="96"/>
      <w:bookmarkEnd w:id="97"/>
    </w:p>
    <w:p w14:paraId="7CADCE64">
      <w:pPr>
        <w:spacing w:line="560" w:lineRule="exact"/>
        <w:ind w:firstLine="640" w:firstLineChars="200"/>
        <w:rPr>
          <w:rFonts w:hint="default" w:ascii="Times New Roman" w:hAnsi="Times New Roman" w:eastAsia="仿宋_GB2312" w:cs="Times New Roman"/>
          <w:color w:val="000000" w:themeColor="text1"/>
          <w:sz w:val="32"/>
          <w:szCs w:val="32"/>
          <w:lang w:val="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依托5G等新型基础设施，利用物联网、边缘计算、人工智能等新一代信息技术，加快工业互联网、数据中心等建设，推动基于网络的信息技术服务业发展，大力发展数字经济。加快培育下一代互联网、移动互联网、物联网等环境下的新兴服务业态，着力推进云计算等业务创新和服务模式创新。鼓励集交易、电子认证、在线支付、物流、信用评估等多种服务于一体的第三方电子商务综合服务平台建设，培育一批骨干电子商务服务企业。</w:t>
      </w:r>
      <w:r>
        <w:rPr>
          <w:rFonts w:hint="default" w:ascii="Times New Roman" w:hAnsi="Times New Roman" w:eastAsia="仿宋_GB2312" w:cs="Times New Roman"/>
          <w:color w:val="000000" w:themeColor="text1"/>
          <w:sz w:val="32"/>
          <w:szCs w:val="32"/>
          <w14:textFill>
            <w14:solidFill>
              <w14:schemeClr w14:val="tx1"/>
            </w14:solidFill>
          </w14:textFill>
        </w:rPr>
        <w:t>依托高校与科研院所，运用云计算、物联网、大数据、移动互联网等信息技术改造、提升濉溪县传统服务业，实现服务业结构和技术水平升级。在传感器与传感器网络、RFID、智能仪器仪表、智能终端、网络通信设备等物联网制造产业，通信服务、云计算服务、软件、高端集成与应用等物联网服务业，以及嵌入式系统、芯片与微纳器件等物联网关键支撑产业培育和引进领军企业，实现物联网企业制造业零的突破。加快发展信息技术服务业人力资源培训、服务外包、管理咨询、职业指导等人力资源服务业。创新职业技能教育发展模式，提升职业技能教育质量，完善现代职业技能教育体系，支持社会力量参与兴办职业教育，探索公办和混合所有制相结合办学模式，促进产教深度融合，为信息技术服务业发展提供人才保障。到“十四五”末，</w:t>
      </w:r>
      <w:r>
        <w:rPr>
          <w:rFonts w:hint="default" w:ascii="Times New Roman" w:hAnsi="Times New Roman" w:eastAsia="仿宋_GB2312" w:cs="Times New Roman"/>
          <w:color w:val="000000" w:themeColor="text1"/>
          <w:sz w:val="32"/>
          <w:szCs w:val="32"/>
          <w:lang w:val="zh-CN"/>
          <w14:textFill>
            <w14:solidFill>
              <w14:schemeClr w14:val="tx1"/>
            </w14:solidFill>
          </w14:textFill>
        </w:rPr>
        <w:t>信息</w:t>
      </w:r>
      <w:r>
        <w:rPr>
          <w:rFonts w:hint="default" w:ascii="Times New Roman" w:hAnsi="Times New Roman" w:eastAsia="仿宋_GB2312" w:cs="Times New Roman"/>
          <w:color w:val="000000" w:themeColor="text1"/>
          <w:sz w:val="32"/>
          <w:szCs w:val="32"/>
          <w14:textFill>
            <w14:solidFill>
              <w14:schemeClr w14:val="tx1"/>
            </w14:solidFill>
          </w14:textFill>
        </w:rPr>
        <w:t>技术</w:t>
      </w:r>
      <w:r>
        <w:rPr>
          <w:rFonts w:hint="default" w:ascii="Times New Roman" w:hAnsi="Times New Roman" w:eastAsia="仿宋_GB2312" w:cs="Times New Roman"/>
          <w:color w:val="000000" w:themeColor="text1"/>
          <w:sz w:val="32"/>
          <w:szCs w:val="32"/>
          <w:lang w:val="zh-CN"/>
          <w14:textFill>
            <w14:solidFill>
              <w14:schemeClr w14:val="tx1"/>
            </w14:solidFill>
          </w14:textFill>
        </w:rPr>
        <w:t>服务业</w:t>
      </w:r>
      <w:r>
        <w:rPr>
          <w:rFonts w:hint="default" w:ascii="Times New Roman" w:hAnsi="Times New Roman" w:eastAsia="仿宋_GB2312" w:cs="Times New Roman"/>
          <w:color w:val="000000" w:themeColor="text1"/>
          <w:sz w:val="32"/>
          <w:szCs w:val="32"/>
          <w14:textFill>
            <w14:solidFill>
              <w14:schemeClr w14:val="tx1"/>
            </w14:solidFill>
          </w14:textFill>
        </w:rPr>
        <w:t>营业收入</w:t>
      </w:r>
      <w:r>
        <w:rPr>
          <w:rFonts w:hint="default" w:ascii="Times New Roman" w:hAnsi="Times New Roman" w:eastAsia="仿宋_GB2312" w:cs="Times New Roman"/>
          <w:color w:val="000000" w:themeColor="text1"/>
          <w:sz w:val="32"/>
          <w:szCs w:val="32"/>
          <w:lang w:val="zh-CN"/>
          <w14:textFill>
            <w14:solidFill>
              <w14:schemeClr w14:val="tx1"/>
            </w14:solidFill>
          </w14:textFill>
        </w:rPr>
        <w:t>年均增长</w:t>
      </w:r>
      <w:r>
        <w:rPr>
          <w:rFonts w:hint="default" w:ascii="Times New Roman" w:hAnsi="Times New Roman" w:eastAsia="仿宋_GB2312" w:cs="Times New Roman"/>
          <w:color w:val="000000" w:themeColor="text1"/>
          <w:sz w:val="32"/>
          <w:szCs w:val="32"/>
          <w14:textFill>
            <w14:solidFill>
              <w14:schemeClr w14:val="tx1"/>
            </w14:solidFill>
          </w14:textFill>
        </w:rPr>
        <w:t>超过</w:t>
      </w:r>
      <w:r>
        <w:rPr>
          <w:rFonts w:hint="default" w:ascii="Times New Roman" w:hAnsi="Times New Roman" w:eastAsia="仿宋_GB2312" w:cs="Times New Roman"/>
          <w:color w:val="000000" w:themeColor="text1"/>
          <w:sz w:val="32"/>
          <w:szCs w:val="32"/>
          <w:lang w:val="zh-CN"/>
          <w14:textFill>
            <w14:solidFill>
              <w14:schemeClr w14:val="tx1"/>
            </w14:solidFill>
          </w14:textFill>
        </w:rPr>
        <w:t>10%。</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0"/>
      </w:tblGrid>
      <w:tr w14:paraId="7489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0" w:type="dxa"/>
          </w:tcPr>
          <w:p w14:paraId="666CF52B">
            <w:pPr>
              <w:pStyle w:val="39"/>
              <w:keepNext w:val="0"/>
              <w:keepLines w:val="0"/>
              <w:pageBreakBefore w:val="0"/>
              <w:widowControl w:val="0"/>
              <w:numPr>
                <w:ilvl w:val="255"/>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专栏4：重点方向或重点项目</w:t>
            </w:r>
          </w:p>
          <w:p w14:paraId="28C7E1E9">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城市智慧超脑运营中心项目，总投资约6亿元，主要建设内容：（1）基础设施部分，建设濉溪县城市智慧超脑运营中心项目，场地使用土地面积约30亩，包括云数据中心，运营指挥中心、智慧政务服务中心，城市大脑展示中心。（2）城市大脑部分，濉溪县城市智慧超脑运营中心中城市大脑建设内容主要包括：数据中台、智慧中枢、业务中台、数字孪生城市，通过数据中台实现全县数据采集、治理、共享交换、可视化等；通过智慧中枢实现视频、图像、语音、NLP等能力的总集合，为智慧超脑提供能力服务；业务中台实现全县协同类场景事件协同处置能力；数字孪生城市实现濉溪县现实世界向虚拟事件精准映射的过程，同时依托数字孪生平台的建设，实现数字化操作界面，方便业务人员精准聚焦事件，领导决策方面更加精准。（3）场景应用部分，濉溪县城市智慧超脑运营中心N个场景应用主要包括：城市治理场景、社区治理场景、环境保护场景、民生服务场景、宏观决策场景等；通过城市大脑中数据能力、AI能力、数字孪生能力等实现城市运营过程中遇到的各类问题，总结成为具体的业务场景。（4）行业应用部分，濉溪县城市智慧超脑运营中心X个行业应用主要包括：智慧政务、智慧城管、智慧警务、智慧交通、智慧司法、智慧教育、智慧园区等。</w:t>
            </w:r>
          </w:p>
          <w:p w14:paraId="33B8217C">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濉溪县大数据产业投资有限责任公司项目</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，总投资约6亿元，主要建设内容：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成立濉溪数投公司，构建以数据价值化为基础、数字产业化和产业数字化为核心、数字化治理为保障的协同发展生态，建设超大规模存储和超大规模计算的数字中心，重点围绕数字经济产业“建、投、扶”三个方面持续发力，完善数字经济产业链。</w:t>
            </w:r>
          </w:p>
          <w:p w14:paraId="26FD50D7">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猎鹰人力资源产业园项目，总投资0.2亿元，主要建设内容：年营业收入不低于42亿元企业管理顾问服务</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w:t>
            </w:r>
          </w:p>
          <w:p w14:paraId="3092329C">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国才人力资源服务项目，总投资0.5亿元，主要建设内容：占地10亩，投资2000万元，建设人力资源服务项目。</w:t>
            </w:r>
          </w:p>
          <w:p w14:paraId="20C9D7FC">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濉溪县口子中等专业学校，总投资约1.</w:t>
            </w:r>
            <w: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w:t>
            </w:r>
            <w:r>
              <w:rPr>
                <w:rFonts w:hint="default" w:ascii="Times New Roman" w:hAnsi="Times New Roman" w:eastAsia="仿宋_GB2312" w:cs="Times New Roman"/>
                <w:color w:val="000000" w:themeColor="text1"/>
                <w:kern w:val="0"/>
                <w:sz w:val="28"/>
                <w:szCs w:val="28"/>
                <w:lang w:eastAsia="zh-CN"/>
                <w14:textFill>
                  <w14:solidFill>
                    <w14:schemeClr w14:val="tx1"/>
                  </w14:solidFill>
                </w14:textFill>
              </w:rPr>
              <w:t>占地共计</w:t>
            </w:r>
            <w:r>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t>308.71亩，建筑面积9.9万平方米，建设项目包括</w:t>
            </w:r>
            <w:r>
              <w:rPr>
                <w:rFonts w:hint="default" w:ascii="Times New Roman" w:hAnsi="Times New Roman" w:eastAsia="仿宋_GB2312" w:cs="Times New Roman"/>
                <w:color w:val="000000" w:themeColor="text1"/>
                <w:kern w:val="0"/>
                <w:sz w:val="28"/>
                <w:szCs w:val="28"/>
                <w:lang w:eastAsia="zh-CN"/>
                <w14:textFill>
                  <w14:solidFill>
                    <w14:schemeClr w14:val="tx1"/>
                  </w14:solidFill>
                </w14:textFill>
              </w:rPr>
              <w:t>装修老校区、建设食堂、宿舍、装修教学楼、实验办公楼、实训大楼等。</w:t>
            </w:r>
          </w:p>
        </w:tc>
      </w:tr>
    </w:tbl>
    <w:p w14:paraId="16A6F9DA">
      <w:pPr>
        <w:widowControl/>
        <w:numPr>
          <w:ilvl w:val="0"/>
          <w:numId w:val="0"/>
        </w:numPr>
        <w:shd w:val="clear" w:color="auto" w:fill="auto"/>
        <w:spacing w:line="560" w:lineRule="exact"/>
        <w:ind w:firstLine="643" w:firstLineChars="200"/>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98" w:name="_Toc6262"/>
      <w:bookmarkStart w:id="99" w:name="_Toc83296398"/>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八）</w:t>
      </w:r>
      <w:r>
        <w:rPr>
          <w:rFonts w:hint="default" w:ascii="Times New Roman" w:hAnsi="Times New Roman" w:eastAsia="楷体_GB2312" w:cs="Times New Roman"/>
          <w:b/>
          <w:bCs/>
          <w:color w:val="000000" w:themeColor="text1"/>
          <w:sz w:val="32"/>
          <w:szCs w:val="32"/>
          <w14:textFill>
            <w14:solidFill>
              <w14:schemeClr w14:val="tx1"/>
            </w14:solidFill>
          </w14:textFill>
        </w:rPr>
        <w:t>平稳发展房地产业</w:t>
      </w:r>
      <w:bookmarkEnd w:id="98"/>
      <w:bookmarkEnd w:id="99"/>
    </w:p>
    <w:p w14:paraId="15478E72">
      <w:pPr>
        <w:widowControl/>
        <w:numPr>
          <w:ilvl w:val="0"/>
          <w:numId w:val="0"/>
        </w:numPr>
        <w:shd w:val="clear" w:color="auto" w:fill="auto"/>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和改善房地产业的宏观调控，强化政府对房地产市场尤其是商品住宅市场的宏观调控力度，充分发挥市场调节作用，实现房地产市场总供给与总需求的平衡。完善住房保障政策体系，优化房地产供给结构，建立以政府为主体的基本保障制度，以市场为主体的满足多层次需求的住房供应体系。完善房改政策，建立和完善城镇住房新体制，完善实物保障与货币补贴并举模式。加大保障性（政策性）住房建设，逐步建立包含公共租赁住房、限价商品房、棚户区改造用房等住房的多层次住房保障体系，健全安置房源动态信息数据库，建立和完善公共租赁住房运营管理制度，积极推进城中村和棚户区（旧城）改造工作，改造完善小区配套和市政基础设施。推进老旧小区有机更新，有序推进老旧小区综合整治，加强城市道路和市政基础设施建设，“十四五”末基本完成现有城镇棚户区和城中村改造。发展住房租赁企业，提高住房租赁企业规模化、集约化、专业化水平。引进优质房地产企业，促进房地产开发规模化、品牌化发展，建设一批居住区、商业区、休闲区精品工程，推进濉溪东方时代广场、宏宇之心城等项目续建，加快河西区房地产项目建设，引进开发商投资建设老城改造等项目，持续推进园林绿化和配套设施建设。建立既有居住小区有机更新建管交接制度，建设智慧社区。加快建筑装修、家装设计、家居规划、房地产评估、经纪等房地产业关联服务业的发展，规范中介服务企业行为，提高中介服务质量。营造公平竞争的市场环境，落实企业责任主体，建立房地产业和建筑业守信联合激励和失信联合惩戒制度，健全住宅商品投诉渠道，进一步完善房地产交易、服务、物业管理功能，完善房地产金融信贷制度，完善放贷风险预警机制，进一步</w:t>
      </w:r>
      <w:bookmarkStart w:id="100" w:name="_Hlk47111084"/>
      <w:r>
        <w:rPr>
          <w:rFonts w:hint="default" w:ascii="Times New Roman" w:hAnsi="Times New Roman" w:eastAsia="仿宋_GB2312" w:cs="Times New Roman"/>
          <w:color w:val="000000" w:themeColor="text1"/>
          <w:sz w:val="32"/>
          <w:szCs w:val="32"/>
          <w14:textFill>
            <w14:solidFill>
              <w14:schemeClr w14:val="tx1"/>
            </w14:solidFill>
          </w14:textFill>
        </w:rPr>
        <w:t>加快房地产业信息化建设</w:t>
      </w:r>
      <w:bookmarkEnd w:id="100"/>
      <w:r>
        <w:rPr>
          <w:rFonts w:hint="default" w:ascii="Times New Roman" w:hAnsi="Times New Roman" w:eastAsia="仿宋_GB2312" w:cs="Times New Roman"/>
          <w:color w:val="000000" w:themeColor="text1"/>
          <w:sz w:val="32"/>
          <w:szCs w:val="32"/>
          <w14:textFill>
            <w14:solidFill>
              <w14:schemeClr w14:val="tx1"/>
            </w14:solidFill>
          </w14:textFill>
        </w:rPr>
        <w:t>，实现全县房管系统信息化建设与管理一体化，加快实行房管系统办公自动化，规范房地产市场秩序，保持房价稳定。推广绿色建筑和节能节水节材技术，大力发展新型建造方式，形成一批研发生产基地和示范建设项目，促进房地产业持续健康发展。</w:t>
      </w:r>
    </w:p>
    <w:p w14:paraId="641D030F">
      <w:pPr>
        <w:pStyle w:val="4"/>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01" w:name="_Toc83296399"/>
      <w:bookmarkStart w:id="102" w:name="_Toc12450"/>
      <w:bookmarkStart w:id="103" w:name="_Toc20680"/>
      <w:r>
        <w:rPr>
          <w:rFonts w:hint="default" w:ascii="Times New Roman" w:hAnsi="Times New Roman" w:eastAsia="黑体" w:cs="Times New Roman"/>
          <w:b w:val="0"/>
          <w:bCs w:val="0"/>
          <w:color w:val="000000" w:themeColor="text1"/>
          <w14:textFill>
            <w14:solidFill>
              <w14:schemeClr w14:val="tx1"/>
            </w14:solidFill>
          </w14:textFill>
        </w:rPr>
        <w:t>二、推动生活性服务业向高品质升级和多样化发展</w:t>
      </w:r>
      <w:bookmarkEnd w:id="101"/>
      <w:bookmarkEnd w:id="102"/>
      <w:bookmarkEnd w:id="103"/>
    </w:p>
    <w:p w14:paraId="1F7095BF">
      <w:pPr>
        <w:pStyle w:val="5"/>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04" w:name="_Toc23797"/>
      <w:bookmarkStart w:id="105" w:name="_Toc83296400"/>
      <w:bookmarkStart w:id="106" w:name="_Toc23864"/>
      <w:r>
        <w:rPr>
          <w:rFonts w:hint="default" w:ascii="Times New Roman" w:hAnsi="Times New Roman" w:eastAsia="楷体_GB2312" w:cs="Times New Roman"/>
          <w:color w:val="000000" w:themeColor="text1"/>
          <w14:textFill>
            <w14:solidFill>
              <w14:schemeClr w14:val="tx1"/>
            </w14:solidFill>
          </w14:textFill>
        </w:rPr>
        <w:t>（一）提档升级文化旅游业</w:t>
      </w:r>
      <w:bookmarkEnd w:id="104"/>
      <w:bookmarkEnd w:id="105"/>
      <w:bookmarkEnd w:id="106"/>
    </w:p>
    <w:p w14:paraId="0157AD46">
      <w:pPr>
        <w:spacing w:line="560" w:lineRule="exact"/>
        <w:ind w:firstLine="616" w:firstLineChars="200"/>
        <w:rPr>
          <w:rFonts w:ascii="Times New Roman" w:hAnsi="Times New Roman" w:eastAsia="仿宋_GB2312" w:cs="Times New Roman"/>
          <w:color w:val="0000FF"/>
          <w:spacing w:val="-6"/>
          <w:sz w:val="32"/>
          <w:szCs w:val="32"/>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围绕“运河文化、红色文化、古镇文化、酒文化”特色文化品牌，把文物保护与旅游开发有机结合，积极发展文化旅游产业，</w:t>
      </w:r>
      <w:r>
        <w:rPr>
          <w:rFonts w:ascii="Times New Roman" w:hAnsi="Times New Roman" w:eastAsia="仿宋_GB2312" w:cs="Times New Roman"/>
          <w:color w:val="000000" w:themeColor="text1"/>
          <w:spacing w:val="-6"/>
          <w:sz w:val="32"/>
          <w:szCs w:val="32"/>
          <w14:textFill>
            <w14:solidFill>
              <w14:schemeClr w14:val="tx1"/>
            </w14:solidFill>
          </w14:textFill>
        </w:rPr>
        <w:t>提升濉溪文化旅游知名度和影响力。</w:t>
      </w:r>
      <w:r>
        <w:rPr>
          <w:rFonts w:hint="default" w:ascii="Times New Roman" w:hAnsi="Times New Roman" w:eastAsia="仿宋_GB2312" w:cs="Times New Roman"/>
          <w:color w:val="000000" w:themeColor="text1"/>
          <w:spacing w:val="-6"/>
          <w:sz w:val="32"/>
          <w:szCs w:val="32"/>
          <w14:textFill>
            <w14:solidFill>
              <w14:schemeClr w14:val="tx1"/>
            </w14:solidFill>
          </w14:textFill>
        </w:rPr>
        <w:t>充分挖掘特色文化内涵，优化旅游业布局，加强旅游基础设施建设，统筹推进核心景区建设，推进景区景点环境整治，</w:t>
      </w:r>
      <w:r>
        <w:rPr>
          <w:rFonts w:ascii="Times New Roman" w:hAnsi="Times New Roman" w:eastAsia="仿宋_GB2312" w:cs="Times New Roman"/>
          <w:color w:val="000000" w:themeColor="text1"/>
          <w:spacing w:val="-6"/>
          <w:sz w:val="32"/>
          <w:szCs w:val="32"/>
          <w14:textFill>
            <w14:solidFill>
              <w14:schemeClr w14:val="tx1"/>
            </w14:solidFill>
          </w14:textFill>
        </w:rPr>
        <w:t>支持</w:t>
      </w:r>
      <w:r>
        <w:rPr>
          <w:rFonts w:hint="default" w:ascii="Times New Roman" w:hAnsi="Times New Roman" w:eastAsia="仿宋_GB2312" w:cs="Times New Roman"/>
          <w:color w:val="000000" w:themeColor="text1"/>
          <w:spacing w:val="-6"/>
          <w:sz w:val="32"/>
          <w:szCs w:val="32"/>
          <w14:textFill>
            <w14:solidFill>
              <w14:schemeClr w14:val="tx1"/>
            </w14:solidFill>
          </w14:textFill>
        </w:rPr>
        <w:t>濉溪古城</w:t>
      </w:r>
      <w:r>
        <w:rPr>
          <w:rFonts w:ascii="Times New Roman" w:hAnsi="Times New Roman" w:eastAsia="仿宋_GB2312" w:cs="Times New Roman"/>
          <w:color w:val="000000" w:themeColor="text1"/>
          <w:spacing w:val="-6"/>
          <w:sz w:val="32"/>
          <w:szCs w:val="32"/>
          <w14:textFill>
            <w14:solidFill>
              <w14:schemeClr w14:val="tx1"/>
            </w14:solidFill>
          </w14:textFill>
        </w:rPr>
        <w:t>柳孜文化园申报国家4A级景区，</w:t>
      </w:r>
      <w:r>
        <w:rPr>
          <w:rFonts w:hint="default" w:ascii="Times New Roman" w:hAnsi="Times New Roman" w:eastAsia="仿宋_GB2312" w:cs="Times New Roman"/>
          <w:color w:val="000000" w:themeColor="text1"/>
          <w:spacing w:val="-6"/>
          <w:sz w:val="32"/>
          <w:szCs w:val="32"/>
          <w14:textFill>
            <w14:solidFill>
              <w14:schemeClr w14:val="tx1"/>
            </w14:solidFill>
          </w14:textFill>
        </w:rPr>
        <w:t>支持</w:t>
      </w:r>
      <w:r>
        <w:rPr>
          <w:rFonts w:ascii="Times New Roman" w:hAnsi="Times New Roman" w:eastAsia="仿宋_GB2312" w:cs="Times New Roman"/>
          <w:color w:val="000000" w:themeColor="text1"/>
          <w:spacing w:val="-6"/>
          <w:sz w:val="32"/>
          <w:szCs w:val="32"/>
          <w14:textFill>
            <w14:solidFill>
              <w14:schemeClr w14:val="tx1"/>
            </w14:solidFill>
          </w14:textFill>
        </w:rPr>
        <w:t>临涣古城保护开发及基础设施提升</w:t>
      </w:r>
      <w:r>
        <w:rPr>
          <w:rFonts w:hint="default" w:ascii="Times New Roman" w:hAnsi="Times New Roman" w:eastAsia="仿宋_GB2312" w:cs="Times New Roman"/>
          <w:color w:val="000000" w:themeColor="text1"/>
          <w:spacing w:val="-6"/>
          <w:sz w:val="32"/>
          <w:szCs w:val="32"/>
          <w14:textFill>
            <w14:solidFill>
              <w14:schemeClr w14:val="tx1"/>
            </w14:solidFill>
          </w14:textFill>
        </w:rPr>
        <w:t>，推动</w:t>
      </w:r>
      <w:r>
        <w:rPr>
          <w:rFonts w:ascii="Times New Roman" w:hAnsi="Times New Roman" w:eastAsia="仿宋_GB2312" w:cs="Times New Roman"/>
          <w:color w:val="000000" w:themeColor="text1"/>
          <w:spacing w:val="-6"/>
          <w:sz w:val="32"/>
          <w:szCs w:val="32"/>
          <w14:textFill>
            <w14:solidFill>
              <w14:schemeClr w14:val="tx1"/>
            </w14:solidFill>
          </w14:textFill>
        </w:rPr>
        <w:t>老城石板街改造修复</w:t>
      </w:r>
      <w:r>
        <w:rPr>
          <w:rFonts w:hint="default" w:ascii="Times New Roman" w:hAnsi="Times New Roman" w:eastAsia="仿宋_GB2312" w:cs="Times New Roman"/>
          <w:color w:val="000000" w:themeColor="text1"/>
          <w:spacing w:val="-6"/>
          <w:sz w:val="32"/>
          <w:szCs w:val="32"/>
          <w14:textFill>
            <w14:solidFill>
              <w14:schemeClr w14:val="tx1"/>
            </w14:solidFill>
          </w14:textFill>
        </w:rPr>
        <w:t>并早日对外开放，推动</w:t>
      </w:r>
      <w:r>
        <w:rPr>
          <w:rFonts w:ascii="Times New Roman" w:hAnsi="Times New Roman" w:eastAsia="仿宋_GB2312" w:cs="Times New Roman"/>
          <w:color w:val="000000" w:themeColor="text1"/>
          <w:spacing w:val="-6"/>
          <w:sz w:val="32"/>
          <w:szCs w:val="32"/>
          <w14:textFill>
            <w14:solidFill>
              <w14:schemeClr w14:val="tx1"/>
            </w14:solidFill>
          </w14:textFill>
        </w:rPr>
        <w:t>凤栖湖湿地生态保护项目</w:t>
      </w:r>
      <w:r>
        <w:rPr>
          <w:rFonts w:hint="default" w:ascii="Times New Roman" w:hAnsi="Times New Roman" w:eastAsia="仿宋_GB2312" w:cs="Times New Roman"/>
          <w:color w:val="000000" w:themeColor="text1"/>
          <w:spacing w:val="-6"/>
          <w:sz w:val="32"/>
          <w:szCs w:val="32"/>
          <w14:textFill>
            <w14:solidFill>
              <w14:schemeClr w14:val="tx1"/>
            </w14:solidFill>
          </w14:textFill>
        </w:rPr>
        <w:t>，升级县域范围、旅游公路沿线以及高速路口等重要节点的旅游标识系统，发展文化体验、红色朝圣、休闲度假、生态观光、农业体验等旅游业态。</w:t>
      </w:r>
      <w:r>
        <w:rPr>
          <w:rFonts w:ascii="Times New Roman" w:hAnsi="Times New Roman" w:eastAsia="仿宋_GB2312" w:cs="Times New Roman"/>
          <w:color w:val="000000" w:themeColor="text1"/>
          <w:spacing w:val="-6"/>
          <w:sz w:val="32"/>
          <w:szCs w:val="32"/>
          <w14:textFill>
            <w14:solidFill>
              <w14:schemeClr w14:val="tx1"/>
            </w14:solidFill>
          </w14:textFill>
        </w:rPr>
        <w:t>持续做强淮海战役红色文化品牌，把文昌宫、小李家、双堆集烈士陵园等红色革命文化资源串珠成链，打造长三角</w:t>
      </w:r>
      <w:r>
        <w:rPr>
          <w:rFonts w:hint="default" w:ascii="Times New Roman" w:hAnsi="Times New Roman" w:eastAsia="仿宋_GB2312" w:cs="Times New Roman"/>
          <w:color w:val="000000" w:themeColor="text1"/>
          <w:spacing w:val="-6"/>
          <w:sz w:val="32"/>
          <w:szCs w:val="32"/>
          <w14:textFill>
            <w14:solidFill>
              <w14:schemeClr w14:val="tx1"/>
            </w14:solidFill>
          </w14:textFill>
        </w:rPr>
        <w:t>有影响力的</w:t>
      </w:r>
      <w:r>
        <w:rPr>
          <w:rFonts w:ascii="Times New Roman" w:hAnsi="Times New Roman" w:eastAsia="仿宋_GB2312" w:cs="Times New Roman"/>
          <w:color w:val="000000" w:themeColor="text1"/>
          <w:spacing w:val="-6"/>
          <w:sz w:val="32"/>
          <w:szCs w:val="32"/>
          <w14:textFill>
            <w14:solidFill>
              <w14:schemeClr w14:val="tx1"/>
            </w14:solidFill>
          </w14:textFill>
        </w:rPr>
        <w:t>红色文化精品线路。依托沿沱河乡村振兴示范带，加快推动特色镇村建设，大力发展民俗风情、休闲度假、绿色生态等为主题的特色旅游，</w:t>
      </w:r>
      <w:r>
        <w:rPr>
          <w:rFonts w:hint="default" w:ascii="Times New Roman" w:hAnsi="Times New Roman" w:eastAsia="仿宋_GB2312" w:cs="Times New Roman"/>
          <w:color w:val="000000" w:themeColor="text1"/>
          <w:spacing w:val="-6"/>
          <w:sz w:val="32"/>
          <w:szCs w:val="32"/>
          <w14:textFill>
            <w14:solidFill>
              <w14:schemeClr w14:val="tx1"/>
            </w14:solidFill>
          </w14:textFill>
        </w:rPr>
        <w:t>积极开发农家乐、采摘篱园等乡村旅游产品</w:t>
      </w:r>
      <w:r>
        <w:rPr>
          <w:rFonts w:ascii="Times New Roman" w:hAnsi="Times New Roman" w:eastAsia="仿宋_GB2312" w:cs="Times New Roman"/>
          <w:color w:val="000000" w:themeColor="text1"/>
          <w:spacing w:val="-6"/>
          <w:sz w:val="32"/>
          <w:szCs w:val="32"/>
          <w14:textFill>
            <w14:solidFill>
              <w14:schemeClr w14:val="tx1"/>
            </w14:solidFill>
          </w14:textFill>
        </w:rPr>
        <w:t>。</w:t>
      </w:r>
      <w:r>
        <w:rPr>
          <w:rFonts w:hint="default" w:ascii="Times New Roman" w:hAnsi="Times New Roman" w:eastAsia="仿宋_GB2312" w:cs="Times New Roman"/>
          <w:color w:val="000000" w:themeColor="text1"/>
          <w:spacing w:val="-6"/>
          <w:sz w:val="32"/>
          <w:szCs w:val="32"/>
          <w14:textFill>
            <w14:solidFill>
              <w14:schemeClr w14:val="tx1"/>
            </w14:solidFill>
          </w14:textFill>
        </w:rPr>
        <w:t>开展旅游服务质量提升行动，实施旅游标准化建设，提升旅游服务质量和水平。适时开展全域旅游示范区创建，推动旅游产业与相关产业的融合发展，促进县域旅游整体发展，</w:t>
      </w:r>
      <w:r>
        <w:rPr>
          <w:rFonts w:ascii="Times New Roman" w:hAnsi="Times New Roman" w:eastAsia="仿宋_GB2312" w:cs="Times New Roman"/>
          <w:color w:val="000000" w:themeColor="text1"/>
          <w:spacing w:val="-6"/>
          <w:sz w:val="32"/>
          <w:szCs w:val="32"/>
          <w14:textFill>
            <w14:solidFill>
              <w14:schemeClr w14:val="tx1"/>
            </w14:solidFill>
          </w14:textFill>
        </w:rPr>
        <w:t>绘就全域旅游发展的美丽新画卷</w:t>
      </w:r>
      <w:r>
        <w:rPr>
          <w:rFonts w:hint="default" w:ascii="Times New Roman" w:hAnsi="Times New Roman" w:eastAsia="仿宋_GB2312" w:cs="Times New Roman"/>
          <w:color w:val="000000" w:themeColor="text1"/>
          <w:spacing w:val="-6"/>
          <w:sz w:val="32"/>
          <w:szCs w:val="32"/>
          <w14:textFill>
            <w14:solidFill>
              <w14:schemeClr w14:val="tx1"/>
            </w14:solidFill>
          </w14:textFill>
        </w:rPr>
        <w:t>，以旅游产业为抓手推动县域经济发展。“十四五</w:t>
      </w:r>
      <w:r>
        <w:rPr>
          <w:rFonts w:ascii="Times New Roman" w:hAnsi="Times New Roman" w:eastAsia="仿宋_GB2312" w:cs="Times New Roman"/>
          <w:color w:val="000000" w:themeColor="text1"/>
          <w:spacing w:val="-6"/>
          <w:sz w:val="32"/>
          <w:szCs w:val="32"/>
          <w14:textFill>
            <w14:solidFill>
              <w14:schemeClr w14:val="tx1"/>
            </w14:solidFill>
          </w14:textFill>
        </w:rPr>
        <w:t>”末，</w:t>
      </w:r>
      <w:r>
        <w:rPr>
          <w:rFonts w:hint="default" w:ascii="Times New Roman" w:hAnsi="Times New Roman" w:eastAsia="仿宋_GB2312" w:cs="Times New Roman"/>
          <w:color w:val="000000" w:themeColor="text1"/>
          <w:spacing w:val="-6"/>
          <w:sz w:val="32"/>
          <w:szCs w:val="32"/>
          <w14:textFill>
            <w14:solidFill>
              <w14:schemeClr w14:val="tx1"/>
            </w14:solidFill>
          </w14:textFill>
        </w:rPr>
        <w:t>全县力争建成4A级景区2个、3A级景区6个，打造3个特色旅游名镇、5个特色旅游名村、3个休闲旅游示范点，</w:t>
      </w:r>
      <w:r>
        <w:rPr>
          <w:rFonts w:hint="default" w:ascii="Times New Roman" w:hAnsi="Times New Roman" w:eastAsia="仿宋_GB2312" w:cs="Times New Roman"/>
          <w:color w:val="000000" w:themeColor="text1"/>
          <w:spacing w:val="-6"/>
          <w:sz w:val="32"/>
          <w14:textFill>
            <w14:solidFill>
              <w14:schemeClr w14:val="tx1"/>
            </w14:solidFill>
          </w14:textFill>
        </w:rPr>
        <w:t>若干条淮海战役红色旅游线路，年游客量超过300万人次，旅游收入力争超过100亿元，</w:t>
      </w:r>
      <w:r>
        <w:rPr>
          <w:rFonts w:hint="default" w:ascii="Times New Roman" w:hAnsi="Times New Roman" w:eastAsia="仿宋_GB2312" w:cs="Times New Roman"/>
          <w:color w:val="000000" w:themeColor="text1"/>
          <w:spacing w:val="-6"/>
          <w:sz w:val="32"/>
          <w:szCs w:val="32"/>
          <w14:textFill>
            <w14:solidFill>
              <w14:schemeClr w14:val="tx1"/>
            </w14:solidFill>
          </w14:textFill>
        </w:rPr>
        <w:t>基本建成创新型文化和旅游大县，建成在皖北乃至中原经济区和淮海经济区具有较高知名度的休闲旅游目的地</w:t>
      </w:r>
      <w:r>
        <w:rPr>
          <w:rFonts w:hint="default" w:ascii="Times New Roman" w:hAnsi="Times New Roman" w:eastAsia="仿宋_GB2312" w:cs="Times New Roman"/>
          <w:color w:val="000000" w:themeColor="text1"/>
          <w:spacing w:val="-6"/>
          <w:kern w:val="0"/>
          <w:sz w:val="32"/>
          <w:szCs w:val="32"/>
          <w:shd w:val="clear" w:color="auto" w:fill="FFFFFF"/>
          <w14:textFill>
            <w14:solidFill>
              <w14:schemeClr w14:val="tx1"/>
            </w14:solidFill>
          </w14:textFill>
        </w:rPr>
        <w:t>，全省乃至全国著名红色文化传承和红色旅游产业基地</w:t>
      </w:r>
      <w:r>
        <w:rPr>
          <w:rFonts w:hint="default" w:ascii="Times New Roman" w:hAnsi="Times New Roman" w:eastAsia="仿宋_GB2312" w:cs="Times New Roman"/>
          <w:color w:val="000000" w:themeColor="text1"/>
          <w:spacing w:val="-6"/>
          <w:sz w:val="32"/>
          <w:szCs w:val="32"/>
          <w14:textFill>
            <w14:solidFill>
              <w14:schemeClr w14:val="tx1"/>
            </w14:solidFill>
          </w14:textFill>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1"/>
      </w:tblGrid>
      <w:tr w14:paraId="1A06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1" w:type="dxa"/>
          </w:tcPr>
          <w:p w14:paraId="4DFF78E6">
            <w:pPr>
              <w:pStyle w:val="39"/>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专栏5：重点方向或重点项目</w:t>
            </w:r>
          </w:p>
          <w:p w14:paraId="7DFBA52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凤栖湖湿地生态保护(采煤沉陷区生态保护)项目，总投资2.1亿元，主要建设内容：湿地恢复与保护工程总规划用地约12100亩（含水体）,交通工程（总规划用地约420亩，主要建设内容包括环湖路、游步道、湿地栈道、码头、桥梁等）。</w:t>
            </w:r>
          </w:p>
          <w:p w14:paraId="31D0C146">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安徽淮北濉溪县老城石板街历史街区保护与更新项目，总投资5.72亿元，主要建设内容：修复老城石板街长1000米，沿街门面400多间恢复旧时景象和重要景点十处，建设博物馆、公园以及基础配套设施等。</w:t>
            </w:r>
          </w:p>
          <w:p w14:paraId="6AF0288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淮海战役双堆集战场遗址旅游发展项目，总投资21.22亿元，主要建设内容：开发建设淮海战役双堆集战场红色旅游资源，打造5A级红色旅游及爱国主义教育基地。</w:t>
            </w:r>
          </w:p>
          <w:p w14:paraId="254CAB6D">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临涣文化旅游休闲街区项目，总投资0.14亿元，主要建设内容：建设蹇叔墓（石板街）、老街、南阁街三条街区石板街、社区便民商圈、特色文化旅游购物场所及消费聚集区配套基础</w:t>
            </w:r>
            <w:r>
              <w:rPr>
                <w:rFonts w:hint="eastAsia" w:eastAsia="仿宋_GB2312" w:cs="Times New Roman"/>
                <w:color w:val="000000" w:themeColor="text1"/>
                <w:kern w:val="0"/>
                <w:sz w:val="28"/>
                <w:szCs w:val="28"/>
                <w:lang w:val="en-US" w:eastAsia="zh-CN"/>
                <w14:textFill>
                  <w14:solidFill>
                    <w14:schemeClr w14:val="tx1"/>
                  </w14:solidFill>
                </w14:textFill>
              </w:rPr>
              <w:t>设</w:t>
            </w:r>
            <w:r>
              <w:rPr>
                <w:rFonts w:hint="default" w:ascii="Times New Roman" w:hAnsi="Times New Roman" w:eastAsia="仿宋_GB2312" w:cs="Times New Roman"/>
                <w:color w:val="000000" w:themeColor="text1"/>
                <w:kern w:val="0"/>
                <w:sz w:val="28"/>
                <w:szCs w:val="28"/>
                <w14:textFill>
                  <w14:solidFill>
                    <w14:schemeClr w14:val="tx1"/>
                  </w14:solidFill>
                </w14:textFill>
              </w:rPr>
              <w:t>施建设。</w:t>
            </w:r>
          </w:p>
          <w:p w14:paraId="118EE4D0">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临涣古镇保护与展示及基础设施提升项目，总投资22.6亿元，主要建设内容：古镇道路及配套工程、古镇旅游基础设施及配套项目、临涣古城墙保护与环境提升项目、古镇四大名泉保护与利用项目、古镇研学游乐体验项目、古镇游客服务设施建设项目、古镇遗存保护与展示项目。</w:t>
            </w:r>
          </w:p>
          <w:p w14:paraId="643DC37C">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铁佛镇文化旅游环境综合治理项目，总投资1.85亿元，主要建设内容：邹楼村银杏树开发环境综合治理项目、古汉墓国保单位周边环境综合治理项目、卧龙湖人民公社文化旅游周边环境综合提升项目、铁佛寺周边环境综合治理项目及崔楼村农民文化园综合开发项目。</w:t>
            </w:r>
          </w:p>
          <w:p w14:paraId="4C9FA5A0">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濉溪县百善特色旅游微型产业集聚区</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24.79</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用地3183亩 已利用土地：2128亩。柳孜大运河遗址博物馆、大运河瓷器展览馆、柳孜文化村、小镇客厅、运河花海、运河冰雕馆、运河航天博览园、创意花卉体验馆、隋唐风情街、百善社区、 双创孵化中心、运河故事馆、茶酒文化馆、运河书画馆、隋唐风情街、荷塘月色、耕读学院、萌宠家园、乐活采摘园、基础设施建设、环境整治提升工程等。</w:t>
            </w:r>
          </w:p>
          <w:p w14:paraId="0C7ADD43">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百善镇乡村振兴文旅融合—隋唐微型产业集聚区建设项目</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13.00</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占地480亩，拆迁安置1000户，隋唐微型产业集聚区特色建筑150000平方米，并建设各项配套设施。</w:t>
            </w:r>
          </w:p>
          <w:p w14:paraId="404DF757">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濉溪县小李家红色文化基地建设，总投资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5.5</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亿元，主要建设内容：用地1800亩，主要进行濉溪县小李家红色文化基地建设，建设内容主要包括生态采摘园、游客接待中心以及配套工程、旅游购物一条街和旅游景点提升工程、土地整理等。</w:t>
            </w:r>
          </w:p>
          <w:p w14:paraId="31B8AA1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淮北濉溪县淮海红色观游影视文化基地项目，总投资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1.6</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亿元，主要建设内容：建设红色革命史和红色教育、观光、拍摄、文化、旅游影视城，包含中华传统民居影视城、和淮海战场动漫园。</w:t>
            </w:r>
          </w:p>
          <w:p w14:paraId="070DD807">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黄沟村压煤塌陷区休闲观光基地，总投资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0.36</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项目挖建鱼塘垂钓中心，建立护坡、绿化、投喂鱼苗投资共600万，新增观光道路3公里投资300万，1700亩莲藕种植挖建、藕种、肥料、塑料膜的等相关设施投资1360万，建设油菜特色采摘、观赏基地投资300万，观光长廊、停车场、民宿、绿化等其他配套措施共投资1000万。</w:t>
            </w:r>
          </w:p>
          <w:p w14:paraId="338027B9">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南坪狙击战纪念馆项目，总投资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1.5</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亿元，主要建设内容：占地约100亩，建设内容包括纪念馆、纪念塔、文化馆、民俗馆、农村大舞台、文明实践中心、广场、停车场等其他相关配套设施。</w:t>
            </w:r>
          </w:p>
          <w:p w14:paraId="3B2D39E0">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双堆集镇乡村振兴培训服务中心建设项目，总投资</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3</w:t>
            </w:r>
            <w:r>
              <w:rPr>
                <w:rFonts w:hint="default" w:ascii="Times New Roman" w:hAnsi="Times New Roman" w:eastAsia="仿宋_GB2312" w:cs="Times New Roman"/>
                <w:color w:val="000000" w:themeColor="text1"/>
                <w:kern w:val="0"/>
                <w:sz w:val="28"/>
                <w:szCs w:val="28"/>
                <w14:textFill>
                  <w14:solidFill>
                    <w14:schemeClr w14:val="tx1"/>
                  </w14:solidFill>
                </w14:textFill>
              </w:rPr>
              <w:t>亿元，主要建设内容：拟选址在淮海战役陵园东侧，计划占地263亩，投资2亿元，设计接待能力600人，院内规划有多媒体教室、餐厅、宿舍、拓展基地等教育及周边配套。服务对象包括淮、徐、宿、蚌、亳、永等1小时车程地区的团体学员和个体游客。</w:t>
            </w:r>
          </w:p>
        </w:tc>
      </w:tr>
    </w:tbl>
    <w:p w14:paraId="75C65082">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07" w:name="_Toc4573"/>
      <w:bookmarkStart w:id="108" w:name="_Toc83296401"/>
      <w:bookmarkStart w:id="109" w:name="_Toc356"/>
      <w:r>
        <w:rPr>
          <w:rFonts w:hint="default" w:ascii="Times New Roman" w:hAnsi="Times New Roman" w:eastAsia="楷体_GB2312" w:cs="Times New Roman"/>
          <w:color w:val="000000" w:themeColor="text1"/>
          <w14:textFill>
            <w14:solidFill>
              <w14:schemeClr w14:val="tx1"/>
            </w14:solidFill>
          </w14:textFill>
        </w:rPr>
        <w:t>（二）优化发展商贸流通业</w:t>
      </w:r>
      <w:bookmarkEnd w:id="107"/>
      <w:bookmarkEnd w:id="108"/>
      <w:bookmarkEnd w:id="109"/>
    </w:p>
    <w:p w14:paraId="2580A4FE">
      <w:pPr>
        <w:spacing w:line="560" w:lineRule="exact"/>
        <w:ind w:firstLine="672"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8"/>
          <w:kern w:val="0"/>
          <w:sz w:val="32"/>
          <w:szCs w:val="32"/>
          <w:shd w:val="clear" w:color="auto" w:fill="FFFFFF"/>
          <w:lang w:bidi="ar"/>
          <w14:textFill>
            <w14:solidFill>
              <w14:schemeClr w14:val="tx1"/>
            </w14:solidFill>
          </w14:textFill>
        </w:rPr>
        <w:t>以扩大消费和保障供应为主线，顺应生活方式和消费理念转变，优化城市流通网络，畅通农村商贸渠道，加强现代批发零售服务体系建设，构建充满活力、特色明显、优势互补的现代商贸业发展新格局。完善城市商贸服务功能，优化城市商业综合体、综合超市、批发市场等商业网点结构和布局。完善城乡流通基础设施建设。结合老城棚户区改造工程，推进老城区商业网点升级换代和功能更新，依托河西区和南部次中心建设，推进商业中心、专业市场和特色商业网点建设，强化商贸服务功能和水平。完善重点乡镇商贸体系，巩固和提升市场工程等，打造若干县域商贸副中心。延伸社区服务、开拓农村市场，扶持农村现代流通网络建设。大力引进国内外知名商贸企业，引进城市综合体项目，提升农村中心镇商贸中心、商品配送中心和中心村直营连锁店服务功能。发挥实体店的服务、体验优势，与线上企业开展深度合作，鼓励商贸流通企业发展连锁经营、电子商务、大型超市、仓储式商场等新型业态，推进传统商贸业与电子商务、连锁经营等业态融合发展，支持供销、邮政、商贸流通企业开展连锁配送，推广使用智能包裹柜、智能快件箱。大力发展社区商业，引导便利店等业态进社区，规范和拓展代收费、代收货等便民服务。大力发展新型业态，推进商贸流通业态多元化。依照相关法律、行政法规规定，加强对关系国计民生、人民群众生命安全等商品的流通准入管理，健全覆盖准入、监管、退出的全程</w:t>
      </w:r>
      <w:r>
        <w:rPr>
          <w:rFonts w:hint="default" w:ascii="Times New Roman" w:hAnsi="Times New Roman" w:eastAsia="仿宋_GB2312" w:cs="Times New Roman"/>
          <w:color w:val="000000" w:themeColor="text1"/>
          <w:spacing w:val="8"/>
          <w:kern w:val="0"/>
          <w:sz w:val="32"/>
          <w:szCs w:val="32"/>
          <w:highlight w:val="none"/>
          <w:shd w:val="clear" w:color="auto" w:fill="FFFFFF"/>
          <w:lang w:bidi="ar"/>
          <w14:textFill>
            <w14:solidFill>
              <w14:schemeClr w14:val="tx1"/>
            </w14:solidFill>
          </w14:textFill>
        </w:rPr>
        <w:t>管理机制。力争到“十四五”末，建成以县城为中心、乡镇为重点、村为基础、分工合理、布局完善的一体化县域商业网络体系，优化消费环境，促进居民消费，至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“十四五”末，全县社会消费品零售总额</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目标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达218亿元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左右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pacing w:val="8"/>
          <w:kern w:val="0"/>
          <w:sz w:val="32"/>
          <w:szCs w:val="32"/>
          <w:highlight w:val="none"/>
          <w:shd w:val="clear" w:color="auto" w:fill="FFFFFF"/>
          <w:lang w:bidi="ar"/>
          <w14:textFill>
            <w14:solidFill>
              <w14:schemeClr w14:val="tx1"/>
            </w14:solidFill>
          </w14:textFill>
        </w:rPr>
        <w:t>年均增速9%</w:t>
      </w:r>
      <w:r>
        <w:rPr>
          <w:rFonts w:hint="default" w:ascii="Times New Roman" w:hAnsi="Times New Roman" w:eastAsia="仿宋_GB2312" w:cs="Times New Roman"/>
          <w:color w:val="000000" w:themeColor="text1"/>
          <w:spacing w:val="8"/>
          <w:kern w:val="0"/>
          <w:sz w:val="32"/>
          <w:szCs w:val="32"/>
          <w:highlight w:val="none"/>
          <w:shd w:val="clear" w:color="auto" w:fill="FFFFFF"/>
          <w:lang w:val="en-US" w:eastAsia="zh-CN" w:bidi="ar"/>
          <w14:textFill>
            <w14:solidFill>
              <w14:schemeClr w14:val="tx1"/>
            </w14:solidFill>
          </w14:textFill>
        </w:rPr>
        <w:t>左右，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培育和发展年销售额超亿元以上大型商贸流通企业3家。</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8"/>
      </w:tblGrid>
      <w:tr w14:paraId="5480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8" w:type="dxa"/>
          </w:tcPr>
          <w:p w14:paraId="22729F64">
            <w:pPr>
              <w:pStyle w:val="39"/>
              <w:keepNext w:val="0"/>
              <w:keepLines w:val="0"/>
              <w:pageBreakBefore w:val="0"/>
              <w:widowControl w:val="0"/>
              <w:numPr>
                <w:ilvl w:val="255"/>
                <w:numId w:val="0"/>
              </w:numPr>
              <w:kinsoku/>
              <w:wordWrap/>
              <w:overflowPunct/>
              <w:topLinePunct w:val="0"/>
              <w:autoSpaceDE/>
              <w:autoSpaceDN/>
              <w:bidi w:val="0"/>
              <w:adjustRightInd/>
              <w:snapToGrid/>
              <w:spacing w:line="460" w:lineRule="exact"/>
              <w:ind w:left="420" w:leftChars="200"/>
              <w:jc w:val="center"/>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专栏6：重点方向或重点项目</w:t>
            </w:r>
          </w:p>
          <w:p w14:paraId="534DBCF3">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虹桥商业广场项目，总投资10亿元,主要建设内容：占地面积约300亩，建设集汽车交易、建材家居销售、文体娱乐设施等于一体的大型商业综合体。</w:t>
            </w:r>
          </w:p>
          <w:p w14:paraId="3BF898F7">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闸河路商业综合体，总投资1.5亿元，主要建设内容：建筑面积约2.68万平方米，建设生鲜超市（标准化菜市场）、蔬菜副食品检疫检验中心、社区生活设施配套、商务酒店、餐饮、娱乐等项目。</w:t>
            </w:r>
          </w:p>
          <w:p w14:paraId="25E89AB3">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二关路商贸综合体，总投资1亿元，主要建设内容：建筑面积约3万平方米，其中新型菜市场建筑面积约6千平方米。办公商铺及超市约1.2万平方米，休闲娱乐及酒店约5千平方米，地下建筑面积约7千平方米。</w:t>
            </w:r>
          </w:p>
          <w:p w14:paraId="6B37E94A">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中瑞农产品批发市场项目，总投资</w:t>
            </w:r>
            <w:r>
              <w:rPr>
                <w:rFonts w:hint="eastAsia" w:eastAsia="仿宋_GB2312" w:cs="Times New Roman"/>
                <w:color w:val="000000" w:themeColor="text1"/>
                <w:kern w:val="0"/>
                <w:sz w:val="28"/>
                <w:szCs w:val="28"/>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亿元，主要建设内容：建设农副产品9大交易区，以及配套仓储物流、加工配送、检测检疫等服务中心，开展农副产品批发零售、电子商务、生鲜配送等业务。</w:t>
            </w:r>
          </w:p>
          <w:p w14:paraId="682B7FAF">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河西区城市综合体项目，总投资35亿元，主要建设内容：规划用地110亩，建设新型购物中心、社区生活服务、商务酒店、娱乐、餐饮、特色文化商业街（濉溪历史文化街区）、商务办公、商务公寓等。</w:t>
            </w:r>
          </w:p>
          <w:p w14:paraId="05BFD6C8">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韩村镇商业综合体建设项目，总投资0.38亿元，主要建设内容：占地面积12561平方米，约合18.83亩，对原韩建金朋酒店维修改造，总建筑面积18900平方米。</w:t>
            </w:r>
          </w:p>
          <w:p w14:paraId="246E9591">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南坪镇商业消费集聚区建设项目，总投资2亿元，主要建设内容：特色美食街、城镇商业步行街、商业综合体、社区便民商业圈、农贸商城等便民商业圈及其互联互通配套基础设施建设。</w:t>
            </w:r>
          </w:p>
          <w:p w14:paraId="0A1204FC">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铁佛综合商贸服务一体化建设项目，总投资0.6亿元，主要建设内容：项目建筑面积约10000平方米。</w:t>
            </w:r>
          </w:p>
          <w:p w14:paraId="14EF8F8D">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五沟镇综合商贸服务一体化建设项目，总投资0.35亿元，主要建设内容：打造全新的商业综合体，构筑新商业业态，项目建筑面积约5000平方米。</w:t>
            </w:r>
          </w:p>
          <w:p w14:paraId="32DA4767">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kern w:val="0"/>
                <w:sz w:val="28"/>
                <w:szCs w:val="28"/>
                <w:highlight w:val="none"/>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四铺镇菊花产业园建设项目，总投资4.07亿元，主要建设内容：建设1.5公里菊花大道、400亩花卉展览交易温室区、100亩菊花花海及观景台、菊花文化广场；配套建设生态停车场、生态公共厕所；完善道路、水利等基础设施。（1）生产、服务基础设施(道路、水利、电力、绿化亮化、厕所、停车场和入口设计等)；（2）标准化温室生产大棚；（3）科研及技术展示中心、花海游览区等；（4）菊花、半夏等新品种引种示范园区；（5）菊花加工厂和电子商务平台</w:t>
            </w:r>
          </w:p>
          <w:p w14:paraId="4815D4D2">
            <w:pPr>
              <w:pStyle w:val="39"/>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Chars="0"/>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濉溪县汽车文化产业园项目，总投资5亿元，主要建设内容：建设面积20000平方米现代汽车文化产业园。</w:t>
            </w:r>
          </w:p>
        </w:tc>
      </w:tr>
    </w:tbl>
    <w:p w14:paraId="26AA3312">
      <w:pPr>
        <w:pStyle w:val="5"/>
        <w:keepNext w:val="0"/>
        <w:keepLines w:val="0"/>
        <w:spacing w:before="0" w:after="0" w:line="59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10" w:name="_Toc10958"/>
      <w:bookmarkStart w:id="111" w:name="_Toc83296402"/>
      <w:bookmarkStart w:id="112" w:name="_Toc11142"/>
      <w:r>
        <w:rPr>
          <w:rFonts w:hint="default" w:ascii="Times New Roman" w:hAnsi="Times New Roman" w:eastAsia="楷体_GB2312" w:cs="Times New Roman"/>
          <w:color w:val="000000" w:themeColor="text1"/>
          <w14:textFill>
            <w14:solidFill>
              <w14:schemeClr w14:val="tx1"/>
            </w14:solidFill>
          </w14:textFill>
        </w:rPr>
        <w:t>（三）积极发展健康养老业</w:t>
      </w:r>
      <w:bookmarkEnd w:id="110"/>
      <w:bookmarkEnd w:id="111"/>
      <w:bookmarkEnd w:id="112"/>
    </w:p>
    <w:p w14:paraId="272ECEAF">
      <w:pPr>
        <w:spacing w:line="56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以人民为中心，发展“银发经济”，构建“居家社区机构相协调，医养康养相结合”养老服务体系。</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贯彻落实省市医改决策部署，进一步</w:t>
      </w:r>
      <w:r>
        <w:rPr>
          <w:rFonts w:hint="default" w:ascii="Times New Roman" w:hAnsi="Times New Roman" w:eastAsia="仿宋_GB2312" w:cs="Times New Roman"/>
          <w:color w:val="000000" w:themeColor="text1"/>
          <w:sz w:val="32"/>
          <w:szCs w:val="32"/>
          <w14:textFill>
            <w14:solidFill>
              <w14:schemeClr w14:val="tx1"/>
            </w14:solidFill>
          </w14:textFill>
        </w:rPr>
        <w:t>优化医疗资源配置，完善覆盖城乡的卫生服务体系。推进医疗机构与养老机构深度融合发展，鼓励通过建设医疗养老联合体等多种方式，提供治疗期住院、康复期护理、稳定期生活照料以及临终关怀一体化的健康和养老服务。增强医疗机构为老年人提供便捷、优先优惠医疗服务的能力。积极推进养老机构开展医疗服务。鼓励社会资本举办养老机构或医养结合机构。</w:t>
      </w:r>
      <w:r>
        <w:rPr>
          <w:rFonts w:hint="default" w:ascii="Times New Roman" w:hAnsi="Times New Roman" w:eastAsia="仿宋_GB2312" w:cs="Times New Roman"/>
          <w:bCs/>
          <w:color w:val="000000" w:themeColor="text1"/>
          <w:sz w:val="32"/>
          <w:szCs w:val="32"/>
          <w14:textFill>
            <w14:solidFill>
              <w14:schemeClr w14:val="tx1"/>
            </w14:solidFill>
          </w14:textFill>
        </w:rPr>
        <w:t>推进居家社区健康养老服务发展，</w:t>
      </w:r>
      <w:r>
        <w:rPr>
          <w:rFonts w:hint="default" w:ascii="Times New Roman" w:hAnsi="Times New Roman" w:eastAsia="仿宋_GB2312" w:cs="Times New Roman"/>
          <w:color w:val="000000" w:themeColor="text1"/>
          <w:sz w:val="32"/>
          <w:szCs w:val="32"/>
          <w14:textFill>
            <w14:solidFill>
              <w14:schemeClr w14:val="tx1"/>
            </w14:solidFill>
          </w14:textFill>
        </w:rPr>
        <w:t>依托“15分钟就医圈”和县域医共体建设、智医助理等建设，围绕社区卫生服务中心、镇卫生院等实施健康养老基本公共卫生服务项目，推进卫生服务机构为老年人提供日常护理、慢性病管理、康复、健康教育和咨询、中医养生保健等服务，建立健全健康管理服务制度，加强老年人健康档案信息动态管理。</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发挥政府“保基本”的作用，全面放开养老育幼服务市场，</w:t>
      </w:r>
      <w:r>
        <w:rPr>
          <w:rFonts w:hint="default" w:ascii="Times New Roman" w:hAnsi="Times New Roman" w:eastAsia="仿宋_GB2312" w:cs="Times New Roman"/>
          <w:color w:val="000000" w:themeColor="text1"/>
          <w:sz w:val="32"/>
          <w:szCs w:val="32"/>
          <w14:textFill>
            <w14:solidFill>
              <w14:schemeClr w14:val="tx1"/>
            </w14:solidFill>
          </w14:textFill>
        </w:rPr>
        <w:t>支持社会资本参与居家养老、社区综合服务、集中养老等养老服务产业，</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逐步使社会力量成为发展养老服务业的主体。运用新一代信息技术，积极发展智慧健康养老，培育“智慧+”养老新模式、新业态、新应用，发展养老科技、产品研发与装备产业，打造一批各具特色的养老服务龙头企业。积极开发安全有效的休闲养生食品、功能性保健食品，康复辅具、日常照护等老年人用品用具和服务产品，</w:t>
      </w:r>
      <w:r>
        <w:rPr>
          <w:rFonts w:hint="default" w:ascii="Times New Roman" w:hAnsi="Times New Roman" w:eastAsia="仿宋_GB2312" w:cs="Times New Roman"/>
          <w:color w:val="000000" w:themeColor="text1"/>
          <w:sz w:val="32"/>
          <w:szCs w:val="32"/>
          <w14:textFill>
            <w14:solidFill>
              <w14:schemeClr w14:val="tx1"/>
            </w14:solidFill>
          </w14:textFill>
        </w:rPr>
        <w:t>重点围绕增强免疫功能、营养素补充、缓解体力疲劳、辅助降血脂等功能类型开发新一代功能</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性</w:t>
      </w:r>
      <w:r>
        <w:rPr>
          <w:rFonts w:hint="default" w:ascii="Times New Roman" w:hAnsi="Times New Roman" w:eastAsia="仿宋_GB2312" w:cs="Times New Roman"/>
          <w:color w:val="000000" w:themeColor="text1"/>
          <w:sz w:val="32"/>
          <w:szCs w:val="32"/>
          <w14:textFill>
            <w14:solidFill>
              <w14:schemeClr w14:val="tx1"/>
            </w14:solidFill>
          </w14:textFill>
        </w:rPr>
        <w:t>保健食品。实施食品、药品安全战</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略，加大农村食品药品安全治理力度，完善对网络销售食品、药品的监管。培育发展适老化的养老地产，完善老旧小区养老设施建设，新建小区按规定建设养老设施。鼓励商业保险公司积极开发长期护理商业险以及与健康管理、养老等服务相关的商业健康保险产品。提升中医健康服务能力，推动医疗机构开展中医医疗预防保健</w:t>
      </w:r>
      <w:r>
        <w:rPr>
          <w:rFonts w:hint="default" w:ascii="Times New Roman" w:hAnsi="Times New Roman" w:eastAsia="仿宋_GB2312" w:cs="Times New Roman"/>
          <w:color w:val="000000" w:themeColor="text1"/>
          <w:sz w:val="32"/>
          <w:szCs w:val="32"/>
          <w14:textFill>
            <w14:solidFill>
              <w14:schemeClr w14:val="tx1"/>
            </w14:solidFill>
          </w14:textFill>
        </w:rPr>
        <w:t>服务，</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发展健康体检、咨询等健康服务。支持整合医疗资源、中医药等特色养生保健资源、绿色生态旅游资源，发展养生、体育和医疗健康旅游。支持数字化健康养老服务产品研发，打造一批医养结合数据服务中心、产品用品研发中心，推进健康服务信息化。支持开展养老服务人员培训，加快建设素质优良的专业队伍。优化财政支持养老服务业发展的支出结构，相关资金更多用于支持社区养老服务。争创省级医养结合综合示范区、医养结合示范基地（园区）、医养结合示范项目、社区医养结合示范中心。力争到“十四五”末，</w:t>
      </w:r>
      <w:r>
        <w:rPr>
          <w:rFonts w:hint="default" w:ascii="Times New Roman" w:hAnsi="Times New Roman" w:eastAsia="仿宋_GB2312" w:cs="Times New Roman"/>
          <w:color w:val="000000" w:themeColor="text1"/>
          <w:sz w:val="32"/>
          <w:szCs w:val="32"/>
          <w14:textFill>
            <w14:solidFill>
              <w14:schemeClr w14:val="tx1"/>
            </w14:solidFill>
          </w14:textFill>
        </w:rPr>
        <w:t>全县养老机构护理型床位比例不低于55%，每千人口拥有0-3岁婴幼儿托位数0.4个，</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实现全县养老院和幼儿园服务覆盖到每个行政村</w:t>
      </w:r>
      <w:r>
        <w:rPr>
          <w:rFonts w:hint="default" w:ascii="Times New Roman" w:hAnsi="Times New Roman" w:eastAsia="仿宋_GB2312" w:cs="Times New Roman"/>
          <w:color w:val="000000" w:themeColor="text1"/>
          <w:sz w:val="32"/>
          <w:szCs w:val="32"/>
          <w14:textFill>
            <w14:solidFill>
              <w14:schemeClr w14:val="tx1"/>
            </w14:solidFill>
          </w14:textFill>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9"/>
      </w:tblGrid>
      <w:tr w14:paraId="51F5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9" w:type="dxa"/>
          </w:tcPr>
          <w:p w14:paraId="78289C0A">
            <w:pPr>
              <w:pStyle w:val="39"/>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专栏7：重点方向或重点项目</w:t>
            </w:r>
          </w:p>
          <w:p w14:paraId="4C9DF7E3">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淮北银华康养综合服务中心一期、二期项目</w:t>
            </w:r>
            <w:r>
              <w:rPr>
                <w:rFonts w:hint="default" w:ascii="Times New Roman" w:hAnsi="Times New Roman" w:eastAsia="仿宋_GB2312" w:cs="Times New Roman"/>
                <w:color w:val="000000" w:themeColor="text1"/>
                <w:kern w:val="0"/>
                <w:sz w:val="28"/>
                <w:szCs w:val="28"/>
                <w14:textFill>
                  <w14:solidFill>
                    <w14:schemeClr w14:val="tx1"/>
                  </w14:solidFill>
                </w14:textFill>
              </w:rPr>
              <w:t>，总投资9.5亿元，主要建设内容：</w:t>
            </w: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一期项目总规划用地64,334.81平方米（约合96.50亩），总建筑面积153,555.35平方米，其中地上包括康复医院、养老公寓，地下建筑主要为地下停车库，绿地，以及电气工程、给排水工程、消防工程、暖通工程等基础设施；二期为一期的配套设施建设，项目总规划用地66,447.89平方米（约合99.67亩），总建筑面积63,117.01平方米，其中地上包括配套服务楼、文化中心、休闲中心、接待中心、幼儿园、中小学校等，地下主要为地下停车库，绿地，以及电气工程、给排水工程、消防工程、暖通工程等基础设施</w:t>
            </w:r>
            <w:r>
              <w:rPr>
                <w:rFonts w:hint="default" w:ascii="Times New Roman" w:hAnsi="Times New Roman" w:eastAsia="仿宋_GB2312" w:cs="Times New Roman"/>
                <w:color w:val="000000" w:themeColor="text1"/>
                <w:kern w:val="0"/>
                <w:sz w:val="28"/>
                <w:szCs w:val="28"/>
                <w14:textFill>
                  <w14:solidFill>
                    <w14:schemeClr w14:val="tx1"/>
                  </w14:solidFill>
                </w14:textFill>
              </w:rPr>
              <w:t>。</w:t>
            </w:r>
          </w:p>
          <w:p w14:paraId="4313B7DB">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濉溪县乡村医养结合项目，总投资3.75亿元，主要建设内容：总改扩建建筑面积约9.15万平方米，新增医疗设备约239台、套，以及信息化建设。</w:t>
            </w:r>
          </w:p>
          <w:p w14:paraId="6A749C62">
            <w:pPr>
              <w:pStyle w:val="39"/>
              <w:keepNext w:val="0"/>
              <w:keepLines w:val="0"/>
              <w:pageBreakBefore w:val="0"/>
              <w:widowControl w:val="0"/>
              <w:numPr>
                <w:ilvl w:val="0"/>
                <w:numId w:val="2"/>
              </w:numPr>
              <w:kinsoku/>
              <w:wordWrap/>
              <w:overflowPunct/>
              <w:topLinePunct w:val="0"/>
              <w:autoSpaceDE/>
              <w:autoSpaceDN/>
              <w:bidi w:val="0"/>
              <w:adjustRightInd/>
              <w:snapToGrid/>
              <w:spacing w:line="460" w:lineRule="exact"/>
              <w:ind w:left="420" w:firstLineChars="0"/>
              <w:textAlignment w:val="auto"/>
              <w:rPr>
                <w:rFonts w:hint="default" w:ascii="Times New Roman" w:hAnsi="Times New Roman" w:eastAsia="仿宋_GB2312" w:cs="Times New Roman"/>
                <w:color w:val="000000" w:themeColor="text1"/>
                <w:kern w:val="0"/>
                <w:sz w:val="28"/>
                <w:szCs w:val="28"/>
                <w14:textFill>
                  <w14:solidFill>
                    <w14:schemeClr w14:val="tx1"/>
                  </w14:solidFill>
                </w14:textFill>
              </w:rPr>
            </w:pPr>
            <w:r>
              <w:rPr>
                <w:rFonts w:hint="default" w:ascii="Times New Roman" w:hAnsi="Times New Roman" w:eastAsia="仿宋_GB2312" w:cs="Times New Roman"/>
                <w:color w:val="000000" w:themeColor="text1"/>
                <w:kern w:val="0"/>
                <w:sz w:val="28"/>
                <w:szCs w:val="28"/>
                <w14:textFill>
                  <w14:solidFill>
                    <w14:schemeClr w14:val="tx1"/>
                  </w14:solidFill>
                </w14:textFill>
              </w:rPr>
              <w:t>杏康血液透析中心项目，总投资0.3亿元，主要建设内容：占地493平方米，拟接收非传染病人与传染病人进行血液透析，其中一期：共设立透析诊疗单元38个，其中普通透析单元28个，隔离（传染病）透析单元10个，二期：共设立透析诊疗单元50个，其中普通透析单元35个，隔离（传染病）透析单元15个，每天规划接待患者150人，年营业天数为300天。</w:t>
            </w:r>
          </w:p>
        </w:tc>
      </w:tr>
    </w:tbl>
    <w:p w14:paraId="6FF41DEC">
      <w:pPr>
        <w:pStyle w:val="5"/>
        <w:keepNext w:val="0"/>
        <w:keepLines w:val="0"/>
        <w:spacing w:before="0" w:after="0" w:line="59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13" w:name="_Toc29080"/>
      <w:bookmarkStart w:id="114" w:name="_Toc83296403"/>
      <w:bookmarkStart w:id="115" w:name="_Toc10097"/>
      <w:r>
        <w:rPr>
          <w:rFonts w:hint="default" w:ascii="Times New Roman" w:hAnsi="Times New Roman" w:eastAsia="楷体_GB2312" w:cs="Times New Roman"/>
          <w:color w:val="000000" w:themeColor="text1"/>
          <w14:textFill>
            <w14:solidFill>
              <w14:schemeClr w14:val="tx1"/>
            </w14:solidFill>
          </w14:textFill>
        </w:rPr>
        <w:t>（四）规范发展社区服务业</w:t>
      </w:r>
      <w:bookmarkEnd w:id="113"/>
      <w:bookmarkEnd w:id="114"/>
      <w:bookmarkEnd w:id="115"/>
    </w:p>
    <w:p w14:paraId="61B42246">
      <w:pPr>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color w:val="000000" w:themeColor="text1"/>
          <w:sz w:val="32"/>
          <w:szCs w:val="32"/>
          <w14:textFill>
            <w14:solidFill>
              <w14:schemeClr w14:val="tx1"/>
            </w14:solidFill>
          </w14:textFill>
        </w:rPr>
        <w:t>强化基层党建，完善社区服务网点，积极构建党建引领社区生活性服务业发展新格局，多方位提供生活性服务。健全服务体系，构建全方位、多层次的社区服务体系。大力发展休闲娱乐、餐饮、农产品市场等与居民生活密切相关产业，培育发展康复保健、医疗护理、健身养生等健康服务业，加快发展养老托幼、家政服务、社区照料、病患陪护等家庭服务业，鼓励发展家庭教育、心理咨询、母婴护理、家庭用品配送、美容美发、洗染、家用电器及其他日用品修理等生活性服务，支持创办各类便民利民的社区服务企业和中介机构，推动房地产中介、房屋租赁经营、物业管理、搬家保洁、家用车辆保养维修等生活性服务规范化、标准化发展，促进社区服务产业化发展。加强民生领域法律服务，推进覆盖城乡居民的公共法律服务体系建设。加强社区服务站、志愿者服务队的建设和管理，不断完善社区义务服务平台，完善村、社区党建协调机构、社区党员议事会等平台，建立健全社区自我服务能力。加强社区服务信息网络建设，鼓励在乡村建立综合性服务网点，提高农村居民生活便利化水平，积极开展便民利民服务，为村、社区居民群众排忧解难，满足村、社区居民群众多层次、多样化的需求。加快建立供给充分、服务便捷、管理规范、惠及城乡的家政物业服务体系，鼓励有条件的企业品牌化、连锁化发展，打造一批知名家庭服务品牌。整合、充实、升级家庭服务业公共平台，健全服务网络，实现一网多能、跨区域服务，发挥平台对城乡生活性服务业的引导和支撑作用，推进治理数字化发展。探索打造“15分钟高品质社区服务圈”，提档升级社区商业服务，构建特色“邻里”街区，提升居民文化生活层次和品质。</w:t>
      </w:r>
    </w:p>
    <w:p w14:paraId="11DF064B">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16" w:name="_Toc18923"/>
      <w:bookmarkStart w:id="117" w:name="_Toc32403"/>
      <w:bookmarkStart w:id="118" w:name="_Toc83296404"/>
      <w:r>
        <w:rPr>
          <w:rFonts w:hint="default" w:ascii="Times New Roman" w:hAnsi="Times New Roman" w:eastAsia="楷体_GB2312" w:cs="Times New Roman"/>
          <w:color w:val="000000" w:themeColor="text1"/>
          <w14:textFill>
            <w14:solidFill>
              <w14:schemeClr w14:val="tx1"/>
            </w14:solidFill>
          </w14:textFill>
        </w:rPr>
        <w:t>（五）促进发展体育服务业</w:t>
      </w:r>
      <w:bookmarkEnd w:id="116"/>
      <w:bookmarkEnd w:id="117"/>
      <w:bookmarkEnd w:id="118"/>
    </w:p>
    <w:p w14:paraId="46E582A8">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力发展体育产业，大力推动群众体育与竞技体育协同发展，促进体育旅游、体育传媒、体育会展、体育经纪等发展，加速形成门类齐全、结构合理的体育服务体系，促进体育消费。大力培育健身休闲、竞赛表演、场馆服务、中介培训等各种体育服务业，促进康体结合，推动体育旅游、体育传媒、体育会展等相关业态融合发展。发挥体育锻炼在疾病防治以及健康促进等方面的积极作用。大力普及健身跑、自行车、登山等运动项目，带动大众化体育运动发展。全县每千人拥有各级社会体育指导员3.5人，经常参加体育锻炼人口比例超过42%，人均体育场地面积达2.6平方米。加强健身教练、体育经纪人等行业自律。推动专业赛事发展，丰富业余赛事，打造一批有影响力的体育品牌赛事和活动，配合淮北市承办2024年安徽省第六届全民健身运动会。建设符合市场规律、具有竞争力的体育产业基地。统筹规划体育设施建设，加强城乡社区健身广场、健身苑、体育俱乐部建设，所有镇完成1个室内健身房、1个全民健身广场、1个多功能运动场的“三个一”健身工程，提高群众健身设施覆盖面，促进城乡体育设施均衡发展，盘活、用好现有体育设施，积极推动公共体育设施向全社会开放，提高公共体育设施的使用效率和综合效益。积极转变政府职能，创新服务方式，逐步加大政府向社会力量购买全民健身公共服务的范围和数量。积极推广和运用政府社会资本合作等多种模式，促进社会资本参加公共体育设施的建设和运行管理，提升公共体育设施建设和运行管理水平，更好地满足群众多样化、多层次的体育健身需求。鼓励社会力量对各类体育赛事和活动进行冠名赞助。研究推进体育产业领域“互联网+”，鼓励发展体育电子商务等新业态。力争到“十四五”末，基本建成全省体育强县。</w:t>
      </w:r>
    </w:p>
    <w:p w14:paraId="61FAEFD7">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19" w:name="_Toc3327"/>
      <w:bookmarkStart w:id="120" w:name="_Toc83296405"/>
      <w:bookmarkStart w:id="121" w:name="_Toc29769"/>
      <w:r>
        <w:rPr>
          <w:rFonts w:hint="default" w:ascii="Times New Roman" w:hAnsi="Times New Roman" w:eastAsia="黑体" w:cs="Times New Roman"/>
          <w:b w:val="0"/>
          <w:bCs w:val="0"/>
          <w:color w:val="000000" w:themeColor="text1"/>
          <w14:textFill>
            <w14:solidFill>
              <w14:schemeClr w14:val="tx1"/>
            </w14:solidFill>
          </w14:textFill>
        </w:rPr>
        <w:t>三、推动新业态服务业向数字化和线上化发展</w:t>
      </w:r>
      <w:bookmarkEnd w:id="119"/>
      <w:bookmarkEnd w:id="120"/>
      <w:bookmarkEnd w:id="121"/>
    </w:p>
    <w:p w14:paraId="6A81B75C">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22" w:name="_Toc15141"/>
      <w:bookmarkStart w:id="123" w:name="_Toc15531"/>
      <w:bookmarkStart w:id="124" w:name="_Toc83296406"/>
      <w:r>
        <w:rPr>
          <w:rFonts w:hint="default" w:ascii="Times New Roman" w:hAnsi="Times New Roman" w:eastAsia="楷体_GB2312" w:cs="Times New Roman"/>
          <w:color w:val="000000" w:themeColor="text1"/>
          <w14:textFill>
            <w14:solidFill>
              <w14:schemeClr w14:val="tx1"/>
            </w14:solidFill>
          </w14:textFill>
        </w:rPr>
        <w:t>（一）重点发展线上业态</w:t>
      </w:r>
      <w:bookmarkEnd w:id="122"/>
      <w:bookmarkEnd w:id="123"/>
      <w:bookmarkEnd w:id="124"/>
    </w:p>
    <w:p w14:paraId="4544D2E9">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围绕数字经济高速发展催生的新需求，强化政策支持力度，加快服务业数字化转型，瞄准产业互联网、新零售、数字内容等新兴业态领域，集中力量，挖掘优势，有计划、有重点地培育壮大一批线上龙头企业、线上平台、线上品牌，不断推动产业升级、拓展消费市场、创新供给模式。大力培育重点产业互联网平台。围绕县“三基两大一新”主导产业，支持龙头企业打造开放服务平台，支持引进知名产业互联网平台企业。鼓励企业开展线上协同办公、网络化协同研发设计、线上生产过程管控、上下游供应链协同等。推动农业互联网发展，打造食品特色产业互联网平台；积极培育发展新零售。依托现有电商基础，整合优势资源，培育一批具有特色优势的新兴电子商务企业集群，支持打造特色优势专业化电子商务品牌。扩大电子商务进村扶贫覆盖面，发展农资农产品端到端配送供应新模式。支持电子商务企业有序推广“直播电商”“社交电商”“微信电商”“社区生活管家”等新模式。鼓励发展生鲜冷链、熟食热链、日常生活用品定点定期配送新业态。支持发展智能服务，不断满足无人超市等新需求。重视发展数字产业发展，推进人工智能、虚拟现实、大数据等新技术在文化创意产业中的应用。依托红色文化、运河文化等积极培育网络文学、网络表演、网络视频、网络音乐等新兴数字产业。鼓励金融机构提升线上服务能力和数字风控技术，推动网点服务线上化。鼓励发展线上供应链金融平台，支持供应链核心企业、金融机构发展线上应收账款融资等供应链金融模式，拓展供应链上下游中小微企业便捷融资渠道。推动区块链技术的应用。</w:t>
      </w:r>
    </w:p>
    <w:p w14:paraId="0486F9A1">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25" w:name="_Toc13518"/>
      <w:bookmarkStart w:id="126" w:name="_Toc6565"/>
      <w:bookmarkStart w:id="127" w:name="_Toc83296407"/>
      <w:r>
        <w:rPr>
          <w:rFonts w:hint="default" w:ascii="Times New Roman" w:hAnsi="Times New Roman" w:eastAsia="楷体_GB2312" w:cs="Times New Roman"/>
          <w:color w:val="000000" w:themeColor="text1"/>
          <w14:textFill>
            <w14:solidFill>
              <w14:schemeClr w14:val="tx1"/>
            </w14:solidFill>
          </w14:textFill>
        </w:rPr>
        <w:t>（二）创新模式发展线上服务</w:t>
      </w:r>
      <w:bookmarkEnd w:id="125"/>
      <w:bookmarkEnd w:id="126"/>
      <w:bookmarkEnd w:id="127"/>
    </w:p>
    <w:p w14:paraId="714BCEBA">
      <w:pPr>
        <w:spacing w:line="560" w:lineRule="exact"/>
        <w:ind w:firstLine="64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力推广在线医疗、在线教育、在线商务、线上生活等线上服务，促进公共服务在线化、生活服务智能化，更高水平满足人民群众对美好生活的向往。支持“线上超市”“网上餐厅”“线上家政”“直播荐货”“网红带货”等生活服务企业发展，积极打造线上生活服务品牌。鼓励发展“无接触配送到家”新模式。支持企业通过信息技术远程提供技术支持。鼓励发展无边界协同、全场景协作远程办公新模式，促进更多传统产业岗位实现居家办公。加快建设数字图书馆、数字博物馆、数字文化馆等。探索“云旅游”模式，将现有景区数字化，打造全景在线旅游产品；大力发展“在线医疗”服务模式。发展覆盖医疗服务全流程的线上线下新模式，积极推广基于5G技术的远程会诊、远程手术、远程超声、远程监护等远程医疗应用，依托“15分钟就医圈”和县域医共体建设、智医助理等建设，推动建设智慧医院，支持利用移动互联网提供预约诊疗、候诊提醒、诊间缴费、自助查询等服务，支持开展线上诊疗、健康咨询、健康管理等服务。鼓励医药电子商务OTO发展。加强预防控制体系和应急保障体系建设，增强重大疾病防控和突发公共卫生事件应对能力。建立健全基于互联网的养老服务体系，构建养老信息服务网络平台；探索发展“在线教育”服务模式，不断深化基础教育、职业教育和高等教育资源公共服务平台应用，持续扩大优质数字教育资源供给。加大网络学习空间覆盖，探索推广“在家上课”与在校上课、线上与线下教学有机结合、深度融合的学习模式。支持教育机构与平台企业合作建设线上线下相结合的教育培训体系。推动中小学数字资源共建共享，聚合一批优质中小学数字课程资源。加强网络联校、远程同步课堂等建设与应用，推动优质数字教育资源。完善继续教育、职业教育、社区教育网络培训服务体系；提升商务活动线上服务能力。探索线上招商模式，创新基于互联网的新型服务贸易发展方式，推动服务贸易便利化。大力发展“互联网+”法律事务、广告传媒、知识产权、职业中介等线上服务；大力推进“互联网+出行”，探索公共交通出行服务平台建设，提升交通支付智能化水平，全面推广移动支付、电子客票、智能检票等应用。规范发展网约车、共享汽车平台，满足市民多样化出行需求。统筹推进濉溪县智慧停车项目和智慧停车平台建设；提高就业社保线上服务水平，鼓励建设智能就业服务平台，探索建立人力资源库，充分利用各类互联网服务入口，提供网上自助参保、续保、缴费等服务。推动社会保险制度对人员的精准覆盖和动态管理，支撑多类社会保障业务跨领域、跨地区信息共享和业务协同。</w:t>
      </w:r>
    </w:p>
    <w:p w14:paraId="7327569F">
      <w:pPr>
        <w:pStyle w:val="5"/>
        <w:keepNext w:val="0"/>
        <w:keepLines w:val="0"/>
        <w:spacing w:before="0" w:after="0" w:line="560" w:lineRule="exact"/>
        <w:ind w:firstLine="643" w:firstLineChars="200"/>
        <w:rPr>
          <w:rFonts w:hint="default" w:ascii="Times New Roman" w:hAnsi="Times New Roman" w:eastAsia="楷体_GB2312" w:cs="Times New Roman"/>
          <w:color w:val="000000" w:themeColor="text1"/>
          <w14:textFill>
            <w14:solidFill>
              <w14:schemeClr w14:val="tx1"/>
            </w14:solidFill>
          </w14:textFill>
        </w:rPr>
      </w:pPr>
      <w:bookmarkStart w:id="128" w:name="_Toc31404"/>
      <w:bookmarkStart w:id="129" w:name="_Toc19084"/>
      <w:bookmarkStart w:id="130" w:name="_Toc83296408"/>
      <w:r>
        <w:rPr>
          <w:rFonts w:hint="default" w:ascii="Times New Roman" w:hAnsi="Times New Roman" w:eastAsia="楷体_GB2312" w:cs="Times New Roman"/>
          <w:color w:val="000000" w:themeColor="text1"/>
          <w14:textFill>
            <w14:solidFill>
              <w14:schemeClr w14:val="tx1"/>
            </w14:solidFill>
          </w14:textFill>
        </w:rPr>
        <w:t>（三）推动“一网统筹”线上管理</w:t>
      </w:r>
      <w:bookmarkEnd w:id="128"/>
      <w:bookmarkEnd w:id="129"/>
      <w:bookmarkEnd w:id="130"/>
    </w:p>
    <w:p w14:paraId="5A4D5347">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强化5G、人工智能、工业互联网、物联网等新型基础设施建设，加快构建“一网统管、一网通办、一网调度、一网治理”线上管理新体系。推进城市运行“一网统管”，推进城市智慧超脑运营中心建设，依托濉溪县智慧城市综合管理平台、智慧城管平台等建设，推动基础设施、城市管理、公共安全、公共管理、应急保障、生态环境等重点领域运行系统有序接入，建立互联互通、高效协同的城市运行系统；推进政务服务“一网通办”。优化完善一站式门户网站等功能，持续推进“互联网+政务服务”工作，进一步提升濉溪县政务服务便利化水平，实现一网通办、“只进一扇门”、“最多跑一次”，服务营商环境和市民办事。开展长三角一网通办服务，实现“三省一市”线上线下互联互通。探索建设协同办公云平台，整合各类数据资源。构建“互联网+监管”体系；建立应急管理“一网调度”机制。全面落实国家应急管理体系、应急物资保障体系改革新举措，</w:t>
      </w:r>
      <w:r>
        <w:rPr>
          <w:rFonts w:hint="default" w:ascii="Times New Roman" w:hAnsi="Times New Roman" w:eastAsia="仿宋_GB2312" w:cs="Times New Roman"/>
          <w:smallCaps/>
          <w:color w:val="000000" w:themeColor="text1"/>
          <w:sz w:val="32"/>
          <w:szCs w:val="32"/>
          <w14:textFill>
            <w14:solidFill>
              <w14:schemeClr w14:val="tx1"/>
            </w14:solidFill>
          </w14:textFill>
        </w:rPr>
        <w:t>充分运用物联网、互联网、大数据、云计算等新技术提高城市公共安全的数字化、网络化和智能化水平</w:t>
      </w:r>
      <w:r>
        <w:rPr>
          <w:rFonts w:hint="default" w:ascii="Times New Roman" w:hAnsi="Times New Roman" w:eastAsia="仿宋_GB2312" w:cs="Times New Roman"/>
          <w:color w:val="000000" w:themeColor="text1"/>
          <w:sz w:val="32"/>
          <w:szCs w:val="32"/>
          <w14:textFill>
            <w14:solidFill>
              <w14:schemeClr w14:val="tx1"/>
            </w14:solidFill>
          </w14:textFill>
        </w:rPr>
        <w:t>，打造全县统一应急管理一张网。建设应急大数据平台和应急指挥调度中心。整合生产、物流、互联网平台企业、社会组织及公众等资源，构建全社会一网协同调度机制。建立健全防灾减灾、公共卫生、网络舆情等重点领域智能化实时监控和统筹调度机制；推动基层服务“一网治理”。加快建设以“网络+网格”为核心的社区治理智能化网格化共治平台，</w:t>
      </w:r>
      <w:r>
        <w:rPr>
          <w:rFonts w:hint="default" w:ascii="Times New Roman" w:hAnsi="Times New Roman" w:eastAsia="仿宋_GB2312" w:cs="Times New Roman"/>
          <w:bCs/>
          <w:color w:val="000000" w:themeColor="text1"/>
          <w:sz w:val="32"/>
          <w:szCs w:val="32"/>
          <w14:textFill>
            <w14:solidFill>
              <w14:schemeClr w14:val="tx1"/>
            </w14:solidFill>
          </w14:textFill>
        </w:rPr>
        <w:t>完善为民服务、综治维稳信访两个平台建设，</w:t>
      </w:r>
      <w:r>
        <w:rPr>
          <w:rFonts w:hint="default" w:ascii="Times New Roman" w:hAnsi="Times New Roman" w:eastAsia="仿宋_GB2312" w:cs="Times New Roman"/>
          <w:color w:val="000000" w:themeColor="text1"/>
          <w:sz w:val="32"/>
          <w:szCs w:val="32"/>
          <w14:textFill>
            <w14:solidFill>
              <w14:schemeClr w14:val="tx1"/>
            </w14:solidFill>
          </w14:textFill>
        </w:rPr>
        <w:t>规范接入“雪亮工程”视频采集系统，整合接入公安、民政、卫生、基层党建等业务系统，加强政企协同，</w:t>
      </w:r>
      <w:r>
        <w:rPr>
          <w:rFonts w:hint="default" w:ascii="Times New Roman" w:hAnsi="Times New Roman" w:eastAsia="仿宋_GB2312" w:cs="Times New Roman"/>
          <w:smallCaps/>
          <w:color w:val="000000" w:themeColor="text1"/>
          <w:sz w:val="32"/>
          <w:szCs w:val="32"/>
          <w14:textFill>
            <w14:solidFill>
              <w14:schemeClr w14:val="tx1"/>
            </w14:solidFill>
          </w14:textFill>
        </w:rPr>
        <w:t>加强信用信息交换共享，</w:t>
      </w:r>
      <w:r>
        <w:rPr>
          <w:rFonts w:hint="default" w:ascii="Times New Roman" w:hAnsi="Times New Roman" w:eastAsia="仿宋_GB2312" w:cs="Times New Roman"/>
          <w:color w:val="000000" w:themeColor="text1"/>
          <w:sz w:val="32"/>
          <w:szCs w:val="32"/>
          <w14:textFill>
            <w14:solidFill>
              <w14:schemeClr w14:val="tx1"/>
            </w14:solidFill>
          </w14:textFill>
        </w:rPr>
        <w:t>构建网格化智能化基层治理体系，提高城市管理和社会治理水平。</w:t>
      </w:r>
    </w:p>
    <w:p w14:paraId="5B279B64">
      <w:pPr>
        <w:pStyle w:val="3"/>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default" w:ascii="Times New Roman" w:hAnsi="Times New Roman" w:cs="Times New Roman"/>
          <w:color w:val="000000" w:themeColor="text1"/>
          <w:sz w:val="32"/>
          <w:szCs w:val="32"/>
          <w14:textFill>
            <w14:solidFill>
              <w14:schemeClr w14:val="tx1"/>
            </w14:solidFill>
          </w14:textFill>
        </w:rPr>
      </w:pPr>
      <w:bookmarkStart w:id="131" w:name="_Toc83296409"/>
      <w:bookmarkStart w:id="132" w:name="_Toc30930"/>
    </w:p>
    <w:p w14:paraId="507348C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769DCEB2">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p>
    <w:p w14:paraId="50734D57">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rPr>
      </w:pPr>
    </w:p>
    <w:p w14:paraId="7A118BFC">
      <w:pPr>
        <w:pStyle w:val="4"/>
        <w:rPr>
          <w:rFonts w:hint="default" w:ascii="Times New Roman" w:hAnsi="Times New Roman" w:cs="Times New Roman"/>
        </w:rPr>
      </w:pPr>
    </w:p>
    <w:p w14:paraId="47BC9704">
      <w:pPr>
        <w:rPr>
          <w:rFonts w:hint="default" w:ascii="Times New Roman" w:hAnsi="Times New Roman" w:cs="Times New Roman"/>
        </w:rPr>
      </w:pPr>
    </w:p>
    <w:p w14:paraId="40365C26">
      <w:pPr>
        <w:pStyle w:val="4"/>
        <w:rPr>
          <w:rFonts w:hint="default" w:ascii="Times New Roman" w:hAnsi="Times New Roman" w:cs="Times New Roman"/>
        </w:rPr>
      </w:pPr>
    </w:p>
    <w:p w14:paraId="2F140830">
      <w:pPr>
        <w:rPr>
          <w:rFonts w:hint="default" w:ascii="Times New Roman" w:hAnsi="Times New Roman" w:cs="Times New Roman"/>
        </w:rPr>
      </w:pPr>
    </w:p>
    <w:p w14:paraId="1A395B4B">
      <w:pPr>
        <w:pStyle w:val="4"/>
        <w:rPr>
          <w:rFonts w:hint="default"/>
        </w:rPr>
      </w:pPr>
    </w:p>
    <w:p w14:paraId="774C94F9">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000000" w:themeColor="text1"/>
          <w:sz w:val="32"/>
          <w:szCs w:val="32"/>
          <w14:textFill>
            <w14:solidFill>
              <w14:schemeClr w14:val="tx1"/>
            </w14:solidFill>
          </w14:textFill>
        </w:rPr>
      </w:pPr>
    </w:p>
    <w:p w14:paraId="7A9D99D4">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133" w:name="_Toc31718"/>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第四章  重点工程</w:t>
      </w:r>
      <w:bookmarkEnd w:id="131"/>
      <w:bookmarkEnd w:id="132"/>
      <w:bookmarkEnd w:id="133"/>
    </w:p>
    <w:p w14:paraId="0411F20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134" w:name="_Toc71175363"/>
      <w:bookmarkStart w:id="135" w:name="_Toc71164862"/>
      <w:bookmarkStart w:id="136" w:name="_Toc71708641"/>
      <w:bookmarkStart w:id="137" w:name="_Toc17105"/>
    </w:p>
    <w:p w14:paraId="612DFFB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适应现代服务业发展的新趋势、新要求，大力实施发展环境优化、集聚载体提升、市场主体培育、品牌品质塑造、人力资源保障五大工程，加快实现服务业发展体系化和发展能力现代化。</w:t>
      </w:r>
      <w:bookmarkEnd w:id="134"/>
      <w:bookmarkEnd w:id="135"/>
      <w:bookmarkEnd w:id="136"/>
      <w:bookmarkEnd w:id="137"/>
    </w:p>
    <w:p w14:paraId="465E4947">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38" w:name="_Toc83296410"/>
      <w:bookmarkStart w:id="139" w:name="_Toc9911"/>
      <w:bookmarkStart w:id="140" w:name="_Toc30829"/>
      <w:r>
        <w:rPr>
          <w:rFonts w:hint="default" w:ascii="Times New Roman" w:hAnsi="Times New Roman" w:eastAsia="黑体" w:cs="Times New Roman"/>
          <w:b w:val="0"/>
          <w:bCs w:val="0"/>
          <w:color w:val="000000" w:themeColor="text1"/>
          <w14:textFill>
            <w14:solidFill>
              <w14:schemeClr w14:val="tx1"/>
            </w14:solidFill>
          </w14:textFill>
        </w:rPr>
        <w:t>一、发展环境优化工程</w:t>
      </w:r>
      <w:bookmarkEnd w:id="138"/>
      <w:bookmarkEnd w:id="139"/>
      <w:bookmarkEnd w:id="140"/>
    </w:p>
    <w:p w14:paraId="009B791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吸收应用长三角区域先进经验，深入推进“放管服”改革，组织解放思想学习讨论，深化“一网、一门、一次”改革，聚焦高频政务服务事项，推行线上线下联动办理、异地办理、全网通办，全面提升“互联网+政务服务”水平，打通政策落地“最后一公里”。提高服务业市场开放程度。完善市场准入机制，全面实施市场准入负面清单制度和公平竞争审查制度，凡国家法律法规未明令禁入的服务业领域，全部向外资、民间资本开放。全面规范市场准入程序，除法律法规规定的审查环节外，其他审查环节一律取消。优化服务业企业开办和服务业项目投资审批事项办理流程，精简办事材料，压缩办事时限，提升审批效率和服务质量。持续开展“四送一服”双千工程，为服务业企业提供全流程代办服务，构建亲清新型政商关系。帮助服务业企业、服务业项目解决发展中的困难和问题。加强信用体系建设，推进信用信息共享共用，完善联合奖惩机制，强化“红黑名单”认定使用，营造诚信发展环境。</w:t>
      </w:r>
    </w:p>
    <w:p w14:paraId="69ACA23E">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41" w:name="_Toc83296411"/>
      <w:bookmarkStart w:id="142" w:name="_Toc2166"/>
      <w:bookmarkStart w:id="143" w:name="_Toc3978"/>
      <w:r>
        <w:rPr>
          <w:rFonts w:hint="default" w:ascii="Times New Roman" w:hAnsi="Times New Roman" w:eastAsia="黑体" w:cs="Times New Roman"/>
          <w:b w:val="0"/>
          <w:bCs w:val="0"/>
          <w:color w:val="000000" w:themeColor="text1"/>
          <w14:textFill>
            <w14:solidFill>
              <w14:schemeClr w14:val="tx1"/>
            </w14:solidFill>
          </w14:textFill>
        </w:rPr>
        <w:t>二、集聚载体提升工程</w:t>
      </w:r>
      <w:bookmarkEnd w:id="141"/>
      <w:bookmarkEnd w:id="142"/>
      <w:bookmarkEnd w:id="143"/>
    </w:p>
    <w:p w14:paraId="5097973C">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加快现有濉溪县百善物流园、濉溪县电子商务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产业</w:t>
      </w:r>
      <w:r>
        <w:rPr>
          <w:rFonts w:hint="default" w:ascii="Times New Roman" w:hAnsi="Times New Roman" w:eastAsia="仿宋_GB2312" w:cs="Times New Roman"/>
          <w:color w:val="000000" w:themeColor="text1"/>
          <w:sz w:val="32"/>
          <w:szCs w:val="32"/>
          <w14:textFill>
            <w14:solidFill>
              <w14:schemeClr w14:val="tx1"/>
            </w14:solidFill>
          </w14:textFill>
        </w:rPr>
        <w:t>园、中瑞新型农产品批发市场新型专业市场等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个现有省级服务业集聚区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（示范区）</w:t>
      </w:r>
      <w:r>
        <w:rPr>
          <w:rFonts w:hint="default" w:ascii="Times New Roman" w:hAnsi="Times New Roman" w:eastAsia="仿宋_GB2312" w:cs="Times New Roman"/>
          <w:color w:val="000000" w:themeColor="text1"/>
          <w:sz w:val="32"/>
          <w:szCs w:val="32"/>
          <w14:textFill>
            <w14:solidFill>
              <w14:schemeClr w14:val="tx1"/>
            </w14:solidFill>
          </w14:textFill>
        </w:rPr>
        <w:t>提升，探索</w:t>
      </w:r>
      <w:r>
        <w:rPr>
          <w:rFonts w:hint="default" w:ascii="Times New Roman" w:hAnsi="Times New Roman" w:eastAsia="仿宋_GB2312" w:cs="Times New Roman"/>
          <w:smallCaps/>
          <w:color w:val="000000" w:themeColor="text1"/>
          <w:sz w:val="32"/>
          <w:szCs w:val="32"/>
          <w14:textFill>
            <w14:solidFill>
              <w14:schemeClr w14:val="tx1"/>
            </w14:solidFill>
          </w14:textFill>
        </w:rPr>
        <w:t>园区体制机制改革创新，</w:t>
      </w:r>
      <w:r>
        <w:rPr>
          <w:rFonts w:hint="default" w:ascii="Times New Roman" w:hAnsi="Times New Roman" w:eastAsia="仿宋_GB2312" w:cs="Times New Roman"/>
          <w:color w:val="000000" w:themeColor="text1"/>
          <w:sz w:val="32"/>
          <w:szCs w:val="32"/>
          <w14:textFill>
            <w14:solidFill>
              <w14:schemeClr w14:val="tx1"/>
            </w14:solidFill>
          </w14:textFill>
        </w:rPr>
        <w:t>积极落实省市县相关政策，鼓励各园区制订支持服务业发展的政策措施，持续完善服务业集聚区的公共服务平台和重大项目建设，</w:t>
      </w:r>
      <w:r>
        <w:rPr>
          <w:rFonts w:hint="default" w:ascii="Times New Roman" w:hAnsi="Times New Roman" w:eastAsia="仿宋_GB2312" w:cs="Times New Roman"/>
          <w:smallCaps/>
          <w:color w:val="000000" w:themeColor="text1"/>
          <w:sz w:val="32"/>
          <w:szCs w:val="32"/>
          <w14:textFill>
            <w14:solidFill>
              <w14:schemeClr w14:val="tx1"/>
            </w14:solidFill>
          </w14:textFill>
        </w:rPr>
        <w:t>完善基础设施配套，着力构建面向园区、产业集群的公共平台，涵盖技术研发应用、信息服务、人员培训、质量技术标准和检验检测、产品交易与物流配送等</w:t>
      </w:r>
      <w:r>
        <w:rPr>
          <w:rFonts w:hint="default" w:ascii="Times New Roman" w:hAnsi="Times New Roman" w:eastAsia="仿宋_GB2312" w:cs="Times New Roman"/>
          <w:color w:val="000000" w:themeColor="text1"/>
          <w:sz w:val="32"/>
          <w:szCs w:val="32"/>
          <w14:textFill>
            <w14:solidFill>
              <w14:schemeClr w14:val="tx1"/>
            </w14:solidFill>
          </w14:textFill>
        </w:rPr>
        <w:t>。实施服务发展战略，服务业空间布局依托老城升级、南部次中心建设、服务业集聚区提升，增强完善城市服务功能，形成一批产业集聚、特色鲜明、功能完善的服务业发展集聚区，支持全县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符合条件的</w:t>
      </w:r>
      <w:r>
        <w:rPr>
          <w:rFonts w:hint="default" w:ascii="Times New Roman" w:hAnsi="Times New Roman" w:eastAsia="仿宋_GB2312" w:cs="Times New Roman"/>
          <w:color w:val="000000" w:themeColor="text1"/>
          <w:sz w:val="32"/>
          <w:szCs w:val="32"/>
          <w14:textFill>
            <w14:solidFill>
              <w14:schemeClr w14:val="tx1"/>
            </w14:solidFill>
          </w14:textFill>
        </w:rPr>
        <w:t>服务业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园区</w:t>
      </w:r>
      <w:r>
        <w:rPr>
          <w:rFonts w:hint="default" w:ascii="Times New Roman" w:hAnsi="Times New Roman" w:eastAsia="仿宋_GB2312" w:cs="Times New Roman"/>
          <w:color w:val="000000" w:themeColor="text1"/>
          <w:sz w:val="32"/>
          <w:szCs w:val="32"/>
          <w14:textFill>
            <w14:solidFill>
              <w14:schemeClr w14:val="tx1"/>
            </w14:solidFill>
          </w14:textFill>
        </w:rPr>
        <w:t>争创国家、省级各类服务业集聚示范区（园区），推动中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瑞新型农产品批发市场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能级提升，争创省级服务业集聚示范园区。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因地制宜建设一批服务业特色微型产业集聚区，高标准推进韩村三彩文旅微型产业集聚区、百善运河文化微型产业集聚区等一批省级微型产业集聚区和试验类微型产业集聚区建设。规划建设主城、河西、濉芜产业园区商业综合体。推进海关特殊监管区和“综合保税区”建设。围绕农副产品、工业</w:t>
      </w:r>
      <w:r>
        <w:rPr>
          <w:rFonts w:hint="default" w:ascii="Times New Roman" w:hAnsi="Times New Roman" w:eastAsia="仿宋_GB2312" w:cs="Times New Roman"/>
          <w:color w:val="000000" w:themeColor="text1"/>
          <w:sz w:val="32"/>
          <w:szCs w:val="32"/>
          <w14:textFill>
            <w14:solidFill>
              <w14:schemeClr w14:val="tx1"/>
            </w14:solidFill>
          </w14:textFill>
        </w:rPr>
        <w:t>消费品、生产资料和特种商品市场，完善基础设施配套，打造新型专业市场集聚区和现代物流集聚区。</w:t>
      </w:r>
    </w:p>
    <w:p w14:paraId="0A3FE18C">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44" w:name="_Toc13205"/>
      <w:bookmarkStart w:id="145" w:name="_Toc10457"/>
      <w:bookmarkStart w:id="146" w:name="_Toc83296412"/>
      <w:r>
        <w:rPr>
          <w:rFonts w:hint="default" w:ascii="Times New Roman" w:hAnsi="Times New Roman" w:eastAsia="黑体" w:cs="Times New Roman"/>
          <w:b w:val="0"/>
          <w:bCs w:val="0"/>
          <w:color w:val="000000" w:themeColor="text1"/>
          <w14:textFill>
            <w14:solidFill>
              <w14:schemeClr w14:val="tx1"/>
            </w14:solidFill>
          </w14:textFill>
        </w:rPr>
        <w:t>三、市场主体培育工程</w:t>
      </w:r>
      <w:bookmarkEnd w:id="144"/>
      <w:bookmarkEnd w:id="145"/>
      <w:bookmarkEnd w:id="146"/>
    </w:p>
    <w:p w14:paraId="27445A32">
      <w:pPr>
        <w:pStyle w:val="42"/>
        <w:keepNext w:val="0"/>
        <w:keepLines w:val="0"/>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鼓励升规壮大，推进“个转企”、“小上限”、“小升规”，积极培育现有服务业大个体、产业活动单位转型升级，注册为法人单位，鼓励和培育现有小企业、产业单位、个体经营户发展为规上服务业企业。增加规模以上服务企业数量，提升规上服务企业入库质量。着力培育服务业龙头企业。推进规模以上企业股份制改造和兼并重组。鼓励和支持符合条件的企业在主板、中小板、创业板、科创板、新三板、四板挂牌上市。</w:t>
      </w:r>
      <w:r>
        <w:rPr>
          <w:rFonts w:hint="default" w:ascii="Times New Roman" w:hAnsi="Times New Roman" w:eastAsia="仿宋_GB2312" w:cs="Times New Roman"/>
          <w:sz w:val="32"/>
          <w:szCs w:val="32"/>
        </w:rPr>
        <w:t>依托现有开发区、产业园区和现代服务业集聚区等载体，盘活存量楼宇资源，提升产业集聚、金融商务、科技创新、物流贸易、文化交往、交通服务等功能，</w:t>
      </w:r>
      <w:r>
        <w:rPr>
          <w:rFonts w:hint="default" w:ascii="Times New Roman" w:hAnsi="Times New Roman" w:eastAsia="仿宋_GB2312" w:cs="Times New Roman"/>
          <w:color w:val="000000" w:themeColor="text1"/>
          <w:sz w:val="32"/>
          <w:szCs w:val="32"/>
          <w14:textFill>
            <w14:solidFill>
              <w14:schemeClr w14:val="tx1"/>
            </w14:solidFill>
          </w14:textFill>
        </w:rPr>
        <w:t>大力引进国内外知名商贸等服务业企业，吸引服务业企业总部落户濉溪，</w:t>
      </w:r>
      <w:r>
        <w:rPr>
          <w:rFonts w:hint="default" w:ascii="Times New Roman" w:hAnsi="Times New Roman" w:eastAsia="仿宋_GB2312" w:cs="Times New Roman"/>
          <w:sz w:val="32"/>
          <w:szCs w:val="32"/>
        </w:rPr>
        <w:t>引导总部经济集聚发展</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积极向上争取资金和政策扶持。通过政府引导扶持，吸引更多银行信贷资金和社会资金投入服务业，引导业主通过项目融资、资产重组等各种形式等筹集资金，加快全县服务业发展。引导商业银行在防范资金风险的前提下，放宽物流企业贷款融资条件，降低其融资成本；建立物流业融资担保体系，协助中小物流企业取得贷款。支持服务业企业创新发展，鼓励培育平台经济、创意经济、体验经济和分享经济。推动产业结构优化升级，促进经济发展提质增效。</w:t>
      </w:r>
    </w:p>
    <w:p w14:paraId="496119C7">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47" w:name="_Toc7250"/>
      <w:bookmarkStart w:id="148" w:name="_Toc83296413"/>
      <w:bookmarkStart w:id="149" w:name="_Toc8102"/>
      <w:r>
        <w:rPr>
          <w:rFonts w:hint="default" w:ascii="Times New Roman" w:hAnsi="Times New Roman" w:eastAsia="黑体" w:cs="Times New Roman"/>
          <w:b w:val="0"/>
          <w:bCs w:val="0"/>
          <w:color w:val="000000" w:themeColor="text1"/>
          <w14:textFill>
            <w14:solidFill>
              <w14:schemeClr w14:val="tx1"/>
            </w14:solidFill>
          </w14:textFill>
        </w:rPr>
        <w:t>四、品牌品质塑造工程</w:t>
      </w:r>
      <w:bookmarkEnd w:id="147"/>
      <w:bookmarkEnd w:id="148"/>
      <w:bookmarkEnd w:id="149"/>
    </w:p>
    <w:p w14:paraId="1E933C20">
      <w:pPr>
        <w:widowControl w:val="0"/>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积极推进品牌强县建设，打造一批特色鲜明、示范性强的服务业品牌样板。抓好模式创新及服务业标准化和品牌建设，开展服务质量满意度测评，促进全县服务业发展质量整体上升。坚持品牌化目标，做大做强柳孜运河遗址景区、淮海战役总前委旧址红色景区、临涣历史文化古城品牌，做特做优安徽淮北濉溪柳孜大运河文化艺术节、临涣棒棒</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茶饮文化、民俗踩街展示活动、朱务平故居及纪念馆、蹇叔故里、嵇康故里等品牌。</w:t>
      </w:r>
      <w:r>
        <w:rPr>
          <w:rFonts w:ascii="Times New Roman" w:hAnsi="Times New Roman" w:eastAsia="仿宋_GB2312" w:cs="Times New Roman"/>
          <w:color w:val="000000" w:themeColor="text1"/>
          <w:sz w:val="32"/>
          <w:szCs w:val="32"/>
          <w:highlight w:val="none"/>
          <w14:textFill>
            <w14:solidFill>
              <w14:schemeClr w14:val="tx1"/>
            </w14:solidFill>
          </w14:textFill>
        </w:rPr>
        <w:t>引导企业树立品牌意识，健全品牌</w:t>
      </w:r>
      <w:r>
        <w:rPr>
          <w:rFonts w:hint="default" w:ascii="Times New Roman" w:hAnsi="Times New Roman" w:eastAsia="仿宋_GB2312" w:cs="Times New Roman"/>
          <w:color w:val="000000" w:themeColor="text1"/>
          <w:sz w:val="32"/>
          <w:szCs w:val="32"/>
          <w14:textFill>
            <w14:solidFill>
              <w14:schemeClr w14:val="tx1"/>
            </w14:solidFill>
          </w14:textFill>
        </w:rPr>
        <w:t>管理体系，提升品牌认可度和品牌价值。落实淮北质量品牌升级工程，积极开展区域品牌提升行动</w:t>
      </w:r>
      <w:r>
        <w:rPr>
          <w:rFonts w:hint="default" w:ascii="Times New Roman" w:hAnsi="Times New Roman" w:eastAsia="仿宋_GB2312" w:cs="Times New Roman"/>
          <w:color w:val="000000" w:themeColor="text1"/>
          <w:kern w:val="0"/>
          <w:sz w:val="32"/>
          <w:szCs w:val="32"/>
          <w14:textFill>
            <w14:solidFill>
              <w14:schemeClr w14:val="tx1"/>
            </w14:solidFill>
          </w14:textFill>
        </w:rPr>
        <w:t>，打造一批地理标志性商标和知名品牌，支持创建省、市服务名牌、3A级以上物流企业、3星级以上文明规范市场、国家绿色饭店及钻级酒店等。</w:t>
      </w:r>
    </w:p>
    <w:p w14:paraId="0FD9353E">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50" w:name="_Toc5894"/>
      <w:bookmarkStart w:id="151" w:name="_Toc21056"/>
      <w:bookmarkStart w:id="152" w:name="_Toc83296414"/>
      <w:r>
        <w:rPr>
          <w:rFonts w:hint="default" w:ascii="Times New Roman" w:hAnsi="Times New Roman" w:eastAsia="黑体" w:cs="Times New Roman"/>
          <w:b w:val="0"/>
          <w:bCs w:val="0"/>
          <w:color w:val="000000" w:themeColor="text1"/>
          <w14:textFill>
            <w14:solidFill>
              <w14:schemeClr w14:val="tx1"/>
            </w14:solidFill>
          </w14:textFill>
        </w:rPr>
        <w:t>五、人力资源保障工程</w:t>
      </w:r>
      <w:bookmarkEnd w:id="150"/>
      <w:bookmarkEnd w:id="151"/>
      <w:bookmarkEnd w:id="152"/>
    </w:p>
    <w:p w14:paraId="33287FB9">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创新高端人才引进模式，实施“人才引进”工程，采取高校合作、核心人物带动、高新技术项目开发等多种方式，</w:t>
      </w:r>
      <w:r>
        <w:rPr>
          <w:rFonts w:hint="default" w:ascii="Times New Roman" w:hAnsi="Times New Roman" w:eastAsia="仿宋_GB2312" w:cs="Times New Roman"/>
          <w:smallCaps/>
          <w:color w:val="000000" w:themeColor="text1"/>
          <w:sz w:val="32"/>
          <w:szCs w:val="32"/>
          <w14:textFill>
            <w14:solidFill>
              <w14:schemeClr w14:val="tx1"/>
            </w14:solidFill>
          </w14:textFill>
        </w:rPr>
        <w:t>建立柔性引才引智机制，畅通人才服务绿色通道，</w:t>
      </w:r>
      <w:r>
        <w:rPr>
          <w:rFonts w:hint="default" w:ascii="Times New Roman" w:hAnsi="Times New Roman" w:eastAsia="仿宋_GB2312" w:cs="Times New Roman"/>
          <w:color w:val="000000" w:themeColor="text1"/>
          <w:kern w:val="0"/>
          <w:sz w:val="32"/>
          <w:szCs w:val="32"/>
          <w14:textFill>
            <w14:solidFill>
              <w14:schemeClr w14:val="tx1"/>
            </w14:solidFill>
          </w14:textFill>
        </w:rPr>
        <w:t>发挥高校、科研院所、龙头企业自身及其合作单位以及商会、老乡会等作用，积极引进符合濉溪县服务业发展需要的各类创新人才；积极和知名高校、科研院所、行业专家学者进行战略合作，采用订单式教育、定制式培养等方式，为服务业发展输送高端人才；制定和落实惠及领军人才的优惠政策，对团队优、能力强、技术新、成果好的企业及项目给予支持，扩大领军人才规模，全力促进领军人才企业发展壮大；加强人才服务体系建设，实施开放、灵活的人才流动政策，出台社会保障等生活方面配套政策，加快提升满足外来人才在医疗保健、居住、子女就学、文化等方面消费需求水平，解决引进人才后顾之忧，逐步建立完善的人才配套服务体系；健全人才激励机制，完善自主创新和科技成果转化的激励分配机制，探索建立股权期权激励、创业融资、中介服务、知识产权管理等多元化、复合型的激励发展机制；强化技能人才培养。加强职业教育，加大政府投入，推行职业技能培训制度，广泛开展各种形式的职业技能培训、再就业培训、创业培训；吸引鼓励在外创业的濉溪籍的尖端人才、知名专家、企业家和创业能人回归家乡、创业家乡、置业家乡、投资家乡。</w:t>
      </w:r>
    </w:p>
    <w:p w14:paraId="03CEDE6F">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447D0FCE">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00B7AD22">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670BFB0C">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0E5BC023">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7F042546">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4DA01AB2">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52AFBF92">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66947294">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5988F394">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1CBE4494">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17F881B8">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bookmarkStart w:id="153" w:name="_Toc29118"/>
      <w:bookmarkStart w:id="154" w:name="_Toc83296415"/>
    </w:p>
    <w:p w14:paraId="33D20A32">
      <w:pPr>
        <w:rPr>
          <w:rFonts w:hint="default" w:ascii="Times New Roman" w:hAnsi="Times New Roman" w:cs="Times New Roman"/>
          <w:color w:val="000000" w:themeColor="text1"/>
          <w:sz w:val="32"/>
          <w:szCs w:val="32"/>
          <w14:textFill>
            <w14:solidFill>
              <w14:schemeClr w14:val="tx1"/>
            </w14:solidFill>
          </w14:textFill>
        </w:rPr>
      </w:pPr>
    </w:p>
    <w:p w14:paraId="491CA182">
      <w:pPr>
        <w:pStyle w:val="4"/>
        <w:rPr>
          <w:rFonts w:hint="default"/>
        </w:rPr>
      </w:pPr>
    </w:p>
    <w:p w14:paraId="55021370">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p>
    <w:p w14:paraId="3B2CA36B">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p>
    <w:p w14:paraId="4DA13517">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cs="Times New Roman"/>
          <w:color w:val="000000" w:themeColor="text1"/>
          <w:sz w:val="32"/>
          <w:szCs w:val="32"/>
          <w14:textFill>
            <w14:solidFill>
              <w14:schemeClr w14:val="tx1"/>
            </w14:solidFill>
          </w14:textFill>
        </w:rPr>
      </w:pPr>
    </w:p>
    <w:p w14:paraId="5C0FAFA5">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155" w:name="_Toc5301"/>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第五章  服务业空间布局</w:t>
      </w:r>
      <w:bookmarkEnd w:id="153"/>
      <w:bookmarkEnd w:id="154"/>
      <w:bookmarkEnd w:id="155"/>
    </w:p>
    <w:p w14:paraId="7FC0B54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2149FE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“十四五”时期，濉溪县深度融入长三角一体化发展战略，优化服务业区域分工，形成区域协调发展的服务业格局。</w:t>
      </w:r>
    </w:p>
    <w:p w14:paraId="467F260B">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56" w:name="_Toc83296416"/>
      <w:bookmarkStart w:id="157" w:name="_Toc25209"/>
      <w:bookmarkStart w:id="158" w:name="_Toc17031"/>
      <w:r>
        <w:rPr>
          <w:rFonts w:hint="default" w:ascii="Times New Roman" w:hAnsi="Times New Roman" w:eastAsia="黑体" w:cs="Times New Roman"/>
          <w:b w:val="0"/>
          <w:bCs w:val="0"/>
          <w:color w:val="000000" w:themeColor="text1"/>
          <w14:textFill>
            <w14:solidFill>
              <w14:schemeClr w14:val="tx1"/>
            </w14:solidFill>
          </w14:textFill>
        </w:rPr>
        <w:t>一、总体布局</w:t>
      </w:r>
      <w:bookmarkEnd w:id="156"/>
      <w:bookmarkEnd w:id="157"/>
      <w:bookmarkEnd w:id="158"/>
    </w:p>
    <w:p w14:paraId="25C85A15">
      <w:pPr>
        <w:widowControl w:val="0"/>
        <w:numPr>
          <w:ilvl w:val="255"/>
          <w:numId w:val="0"/>
        </w:numPr>
        <w:shd w:val="clear" w:color="auto" w:fill="FFFFFF"/>
        <w:spacing w:line="560" w:lineRule="exact"/>
        <w:ind w:firstLine="640"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依据全省服务业规划“双核一带三区”和淮北市服务业规划“一主一副、两轴一带”的空间布局和打造“两淮一蚌服务业引领转型区”的要求，遵循“产业集聚、布局集中、资源集约”的原则，基于濉溪县“一心两极多基点”的产业发展、城镇空间格局和各镇区服务业发展基础，依托老城升级、南部次中心建设、双堆集新城建设、临涣古镇建设、省级服务业集聚区提升、园区两业融合发展，增强完善城市服务功能，形成一批产业集聚、特色鲜明、功能完善的服务业发展集聚区，引导商贸商务、文化旅游、现代物流等现代服务业在全县范围内进行科学布局。</w:t>
      </w:r>
    </w:p>
    <w:p w14:paraId="590423C4">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59" w:name="_Toc13232"/>
      <w:bookmarkStart w:id="160" w:name="_Toc83296417"/>
      <w:bookmarkStart w:id="161" w:name="_Toc851"/>
      <w:r>
        <w:rPr>
          <w:rFonts w:hint="default" w:ascii="Times New Roman" w:hAnsi="Times New Roman" w:eastAsia="黑体" w:cs="Times New Roman"/>
          <w:b w:val="0"/>
          <w:bCs w:val="0"/>
          <w:color w:val="000000" w:themeColor="text1"/>
          <w14:textFill>
            <w14:solidFill>
              <w14:schemeClr w14:val="tx1"/>
            </w14:solidFill>
          </w14:textFill>
        </w:rPr>
        <w:t>二、生产性服务业布局</w:t>
      </w:r>
      <w:bookmarkEnd w:id="159"/>
      <w:bookmarkEnd w:id="160"/>
      <w:bookmarkEnd w:id="161"/>
    </w:p>
    <w:p w14:paraId="14E851C3">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围绕现有省级服务业集聚区升级和濉溪经开区、濉芜产业园及各镇区工业园两业融合发展，布局现代服务业。</w:t>
      </w:r>
    </w:p>
    <w:p w14:paraId="6850816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服务业集聚区升级。落实现有省级服务业集聚区的规划定位，濉溪县百善物流园重点发展煤炭、煤化工、农副产品等专业物流；濉溪县电子商务产业园，坚持传统电商、产业电商、电商配套、仓储物流四大电商模块一体，以生产型、农副产品深加工配套电商技术服务、电商项目运营、互联网+酒业创客工厂、智能仓储中心、品牌运营中心于一体的综合电子商务产业聚集区；濉溪县电子商务产业园（淮海壹号），坚持以电子商务产业孵化基地为中心、互联网信息技术研发基地、电子商务、创客空间、濉溪文化创意园区、互联网金融、智能化仓储物流中心与一体的互联网综合型小微企业创业基地，加快基础设施建设，实现集聚区升级发展；中瑞新型农产品批发市场新型专业市场，持续推进农产品交易、仓储物流、冷链物流、加工配送、商务服务、检测检疫、农产品展示等能力建设。争创省级服务业综合改革试点、濉溪县公铁水多式联运现代物流集聚区、农产品冷链现代物流集聚区等，形成一批产业集聚、特色鲜明、功能完善的现代服务业发展集聚区。</w:t>
      </w:r>
    </w:p>
    <w:p w14:paraId="0DC9BA0D">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园区配套发展现代服务业。濉溪经开区聚焦铝基新材料、高端装备制造、新能源新材料、汽车部件等主导产业；濉芜产业园聚焦装备制造、新能源新材料产业；安徽（淮北）新型煤化工合成材料基地聚焦甲醇主导产业，延伸产业链；百善现代农业综合开发示范区聚焦粮食产业；濉溪镇、百善镇、刘桥镇、临涣镇、南坪镇、韩村镇工业园区聚焦主导产业，有序发展现代服务业，尤其是生产性服务业，促进先进制造业、现代农业与现代服务业的深度融合发展。</w:t>
      </w:r>
      <w:bookmarkStart w:id="162" w:name="_Toc490259490"/>
      <w:bookmarkStart w:id="163" w:name="_Toc488224108"/>
      <w:r>
        <w:rPr>
          <w:rFonts w:hint="default" w:ascii="Times New Roman" w:hAnsi="Times New Roman" w:eastAsia="仿宋_GB2312" w:cs="Times New Roman"/>
          <w:color w:val="000000" w:themeColor="text1"/>
          <w:sz w:val="32"/>
          <w:szCs w:val="32"/>
          <w14:textFill>
            <w14:solidFill>
              <w14:schemeClr w14:val="tx1"/>
            </w14:solidFill>
          </w14:textFill>
        </w:rPr>
        <w:t>其他各镇区依据资源禀赋、产业基础、经济发展水平等，立足农副产品、工业消费品、生产资料和特种商品市场，完善基础设施配套，打造新型专业市场集聚区和现代物流集聚区，突出特色、错位发展，有选择、有重点、分层次地推进区域现代服务业重点领域的发展。</w:t>
      </w:r>
    </w:p>
    <w:p w14:paraId="1F47BAE6">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64" w:name="_Toc83296418"/>
      <w:bookmarkStart w:id="165" w:name="_Toc8651"/>
      <w:bookmarkStart w:id="166" w:name="_Toc9876"/>
      <w:r>
        <w:rPr>
          <w:rFonts w:hint="default" w:ascii="Times New Roman" w:hAnsi="Times New Roman" w:eastAsia="黑体" w:cs="Times New Roman"/>
          <w:b w:val="0"/>
          <w:bCs w:val="0"/>
          <w:color w:val="000000" w:themeColor="text1"/>
          <w14:textFill>
            <w14:solidFill>
              <w14:schemeClr w14:val="tx1"/>
            </w14:solidFill>
          </w14:textFill>
        </w:rPr>
        <w:t>三、生活性服务业布局</w:t>
      </w:r>
      <w:bookmarkEnd w:id="164"/>
      <w:bookmarkEnd w:id="165"/>
      <w:bookmarkEnd w:id="166"/>
    </w:p>
    <w:p w14:paraId="74611549">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结合老城改造、新城完善、新区建设，重点围绕河西新区、南部次中心、双堆集新城，以及县城到临涣古镇一线，打造“三片一线”布局，重点布局生活性服务业。</w:t>
      </w:r>
    </w:p>
    <w:p w14:paraId="6C0427BD">
      <w:pPr>
        <w:widowControl w:val="0"/>
        <w:shd w:val="clear" w:color="auto" w:fill="FFFFFF"/>
        <w:spacing w:line="560" w:lineRule="exact"/>
        <w:ind w:firstLine="64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老城河西新区作为濉溪“宜居新城”板块，打造集政务、教育、文体、居住等功能为一体的高品质健康生活区，规划在主城、河西、濉芜产业园区建设商业综合体等。南部次中心地处县域中心位置，实现综合功能、生态绿化、建设品质、文化内涵和服务水平等“五大提升”，打造成为皖北地区以煤化为特色的产业新城、皖北生态文明建设样板、淮北都市区“南下”战略的核心增长极、濉溪县县域新中心，成为淮北南部乐业宜居、创新活力的新型城市，到“十四五”末，南部次中心起步区基本建成，集聚人口超过6万人，同时大力培育新型煤化工、碳科技产业和现代服务业、现代农产品加工业，打造新的人口聚集区、经济增长极，辐射带动县域南部地区全面发展。双堆集新城，依托高铁双堆集站的建设，承担淮北市南部交通枢纽功能，辐射带动双堆集、南坪聚集发展，打造成宜业宜居、创新开放的现代新城。同时从县城到临涣古镇沿线</w:t>
      </w:r>
      <w:r>
        <w:rPr>
          <w:rFonts w:hint="default" w:ascii="Times New Roman" w:hAnsi="Times New Roman" w:eastAsia="宋体"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依托濉溪良好的文化、旅游资源（临涣文昌宫、小李庄前委旧址、双堆集烈士陵园红色旅游线和濉溪老城石板街、乾隆湖风景区、柳孜运河遗址等旅游线），大力发展特色餐饮和旅游业等。</w:t>
      </w:r>
      <w:bookmarkEnd w:id="162"/>
      <w:bookmarkEnd w:id="163"/>
    </w:p>
    <w:p w14:paraId="6558B33F">
      <w:pPr>
        <w:pStyle w:val="3"/>
        <w:keepNext w:val="0"/>
        <w:keepLines w:val="0"/>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eastAsia="方正小标宋简体" w:cs="Times New Roman"/>
          <w:b w:val="0"/>
          <w:bCs w:val="0"/>
          <w:color w:val="000000" w:themeColor="text1"/>
          <w:sz w:val="44"/>
          <w:szCs w:val="44"/>
          <w14:textFill>
            <w14:solidFill>
              <w14:schemeClr w14:val="tx1"/>
            </w14:solidFill>
          </w14:textFill>
        </w:rPr>
      </w:pPr>
      <w:bookmarkStart w:id="167" w:name="_Toc20117"/>
      <w:bookmarkStart w:id="168" w:name="_Toc83296419"/>
      <w:bookmarkStart w:id="169" w:name="_Toc15972"/>
      <w:r>
        <w:rPr>
          <w:rFonts w:hint="default" w:ascii="Times New Roman" w:hAnsi="Times New Roman" w:eastAsia="方正小标宋简体" w:cs="Times New Roman"/>
          <w:b w:val="0"/>
          <w:bCs w:val="0"/>
          <w:color w:val="000000" w:themeColor="text1"/>
          <w:sz w:val="44"/>
          <w:szCs w:val="44"/>
          <w14:textFill>
            <w14:solidFill>
              <w14:schemeClr w14:val="tx1"/>
            </w14:solidFill>
          </w14:textFill>
        </w:rPr>
        <w:t>第六章  保障措施</w:t>
      </w:r>
      <w:bookmarkEnd w:id="167"/>
      <w:bookmarkEnd w:id="168"/>
      <w:bookmarkEnd w:id="169"/>
    </w:p>
    <w:p w14:paraId="6D1E047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3D7EFF0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以习近平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新时代</w:t>
      </w:r>
      <w:r>
        <w:rPr>
          <w:rFonts w:hint="default" w:ascii="Times New Roman" w:hAnsi="Times New Roman" w:eastAsia="仿宋_GB2312" w:cs="Times New Roman"/>
          <w:color w:val="000000" w:themeColor="text1"/>
          <w:sz w:val="32"/>
          <w:szCs w:val="32"/>
          <w14:textFill>
            <w14:solidFill>
              <w14:schemeClr w14:val="tx1"/>
            </w14:solidFill>
          </w14:textFill>
        </w:rPr>
        <w:t>中国特色社会主义思想为指导，建立健全党领导服务业发展的体制机制，确保目标任务顺利完成。</w:t>
      </w:r>
    </w:p>
    <w:p w14:paraId="10E44030">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70" w:name="_Toc28875"/>
      <w:bookmarkStart w:id="171" w:name="_Toc83296420"/>
      <w:bookmarkStart w:id="172" w:name="_Toc30648"/>
      <w:r>
        <w:rPr>
          <w:rFonts w:hint="default" w:ascii="Times New Roman" w:hAnsi="Times New Roman" w:eastAsia="黑体" w:cs="Times New Roman"/>
          <w:b w:val="0"/>
          <w:bCs w:val="0"/>
          <w:color w:val="000000" w:themeColor="text1"/>
          <w14:textFill>
            <w14:solidFill>
              <w14:schemeClr w14:val="tx1"/>
            </w14:solidFill>
          </w14:textFill>
        </w:rPr>
        <w:t>一、加强组织协调</w:t>
      </w:r>
      <w:bookmarkEnd w:id="170"/>
      <w:bookmarkEnd w:id="171"/>
      <w:bookmarkEnd w:id="172"/>
    </w:p>
    <w:p w14:paraId="341D3AB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坚持党总揽全局、协调各方，发挥各级党委（党组）领导核心作用，</w:t>
      </w:r>
      <w:r>
        <w:rPr>
          <w:rFonts w:hint="default" w:ascii="Times New Roman" w:hAnsi="Times New Roman" w:eastAsia="仿宋_GB2312" w:cs="Times New Roman"/>
          <w:color w:val="000000" w:themeColor="text1"/>
          <w:spacing w:val="6"/>
          <w:sz w:val="32"/>
          <w:szCs w:val="32"/>
          <w14:textFill>
            <w14:solidFill>
              <w14:schemeClr w14:val="tx1"/>
            </w14:solidFill>
          </w14:textFill>
        </w:rPr>
        <w:t>将招商引资和服务业发展作为党政“一把手”工程，</w:t>
      </w:r>
      <w:r>
        <w:rPr>
          <w:rFonts w:hint="default" w:ascii="Times New Roman" w:hAnsi="Times New Roman" w:eastAsia="仿宋_GB2312" w:cs="Times New Roman"/>
          <w:color w:val="000000" w:themeColor="text1"/>
          <w:sz w:val="32"/>
          <w:szCs w:val="32"/>
          <w14:textFill>
            <w14:solidFill>
              <w14:schemeClr w14:val="tx1"/>
            </w14:solidFill>
          </w14:textFill>
        </w:rPr>
        <w:t>由县主要领导牵头成立县服务业发展领导小组，统筹推进服务业发展，协调解决发展中存在的主要问题。领导小组各成员单位负责制定各领域发展规划或计划，研究制定相关行业政策，推进服务业集聚区和重大项目建设。领导小组办公室设在县发展改革委，具体负责领导小组的日常工作。各行业主管部门各负其责，加强配合，积极开展工作，积极发挥行业主管优势，加强对服务企业管理。</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充分发挥行业协会等的桥梁纽带作用，做好调查研究、技术推广、标准制修订和宣传推广、信息统计、人才培养等方面工作。</w:t>
      </w:r>
      <w:r>
        <w:rPr>
          <w:rFonts w:hint="default" w:ascii="Times New Roman" w:hAnsi="Times New Roman" w:eastAsia="仿宋_GB2312" w:cs="Times New Roman"/>
          <w:color w:val="000000" w:themeColor="text1"/>
          <w:sz w:val="32"/>
          <w:szCs w:val="32"/>
          <w14:textFill>
            <w14:solidFill>
              <w14:schemeClr w14:val="tx1"/>
            </w14:solidFill>
          </w14:textFill>
        </w:rPr>
        <w:t>加大对服务业企业统计人员的培训</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力度和宣传范围，</w:t>
      </w:r>
      <w:r>
        <w:rPr>
          <w:rFonts w:hint="default" w:ascii="Times New Roman" w:hAnsi="Times New Roman" w:eastAsia="仿宋_GB2312" w:cs="Times New Roman"/>
          <w:sz w:val="32"/>
          <w:szCs w:val="32"/>
        </w:rPr>
        <w:t>充分调动全社会加快发展服务业的积极性、主动性和创造性。</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同时强化考核奖惩，制定并严格落实年度服务业发展任务。</w:t>
      </w:r>
    </w:p>
    <w:p w14:paraId="086EDA30">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73" w:name="_Toc18995"/>
      <w:bookmarkStart w:id="174" w:name="_Toc21896"/>
      <w:bookmarkStart w:id="175" w:name="_Toc83296421"/>
      <w:r>
        <w:rPr>
          <w:rFonts w:hint="default" w:ascii="Times New Roman" w:hAnsi="Times New Roman" w:eastAsia="黑体" w:cs="Times New Roman"/>
          <w:b w:val="0"/>
          <w:bCs w:val="0"/>
          <w:color w:val="000000" w:themeColor="text1"/>
          <w14:textFill>
            <w14:solidFill>
              <w14:schemeClr w14:val="tx1"/>
            </w14:solidFill>
          </w14:textFill>
        </w:rPr>
        <w:t>二、聚焦政策扶持</w:t>
      </w:r>
      <w:bookmarkEnd w:id="173"/>
      <w:bookmarkEnd w:id="174"/>
      <w:bookmarkEnd w:id="175"/>
    </w:p>
    <w:p w14:paraId="2647C68C">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全面梳理并用足用好现有的国家、省、市服务业政策，制定落实符合县服务业发展各项政策措施，</w:t>
      </w:r>
      <w:r>
        <w:rPr>
          <w:rFonts w:hint="default" w:ascii="Times New Roman" w:hAnsi="Times New Roman" w:eastAsia="仿宋_GB2312" w:cs="Times New Roman"/>
          <w:sz w:val="32"/>
          <w:szCs w:val="32"/>
        </w:rPr>
        <w:t>努力形成政策洼地效应，为服务业创造最佳发展环境。</w:t>
      </w:r>
      <w:r>
        <w:rPr>
          <w:rFonts w:hint="default" w:ascii="Times New Roman" w:hAnsi="Times New Roman" w:eastAsia="仿宋_GB2312" w:cs="Times New Roman"/>
          <w:color w:val="000000" w:themeColor="text1"/>
          <w:sz w:val="32"/>
          <w:szCs w:val="32"/>
          <w14:textFill>
            <w14:solidFill>
              <w14:schemeClr w14:val="tx1"/>
            </w14:solidFill>
          </w14:textFill>
        </w:rPr>
        <w:t>加大对服务业集聚区、重点平台、重点项目和创新型企业的扶持力度。加强政策导向，重点支持生产性服务业、新兴服务业、服务业新模式新业态发展。拓宽政府采购范围，加大公共服务、专业服务、环境服务等政府购买服务力度。健全并落实各类所有制主体统一适用的制度政策，切实解决产业发展过程中存在的不平等问题，促进服务业企业公平竞争。出台奖励政策，整合资源，优化组合，鼓励和培育现有小企业、产业单位、个体经营户发展为规上服务业企业，鼓励现有企业主体设立专门的服务业企业，增加规模以上服务企业数量，提升规上服务企业入库质量。拓宽对外开放政策体系，主动融入长江经济带和长三角经济圈。</w:t>
      </w:r>
    </w:p>
    <w:p w14:paraId="10969BF2">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176" w:name="_Toc4240"/>
      <w:bookmarkStart w:id="177" w:name="_Toc14939"/>
      <w:bookmarkStart w:id="178" w:name="_Toc83296422"/>
      <w:r>
        <w:rPr>
          <w:rFonts w:hint="default" w:ascii="Times New Roman" w:hAnsi="Times New Roman" w:eastAsia="黑体" w:cs="Times New Roman"/>
          <w:b w:val="0"/>
          <w:bCs w:val="0"/>
          <w:color w:val="000000" w:themeColor="text1"/>
          <w14:textFill>
            <w14:solidFill>
              <w14:schemeClr w14:val="tx1"/>
            </w14:solidFill>
          </w14:textFill>
        </w:rPr>
        <w:t>三、强化要素保障</w:t>
      </w:r>
      <w:bookmarkEnd w:id="176"/>
      <w:bookmarkEnd w:id="177"/>
      <w:bookmarkEnd w:id="178"/>
    </w:p>
    <w:p w14:paraId="761A8A49">
      <w:pPr>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179" w:name="_Toc3382"/>
      <w:bookmarkStart w:id="180" w:name="_Toc13132"/>
      <w:bookmarkStart w:id="181" w:name="_Toc71728331"/>
      <w:bookmarkStart w:id="182" w:name="_Toc71164876"/>
      <w:bookmarkStart w:id="183" w:name="_Toc71709049"/>
      <w:bookmarkStart w:id="184" w:name="_Toc31792"/>
      <w:bookmarkStart w:id="185" w:name="_Toc6250"/>
      <w:bookmarkStart w:id="186" w:name="_Toc83296423"/>
      <w:bookmarkStart w:id="187" w:name="_Toc71708652"/>
      <w:bookmarkStart w:id="188" w:name="_Toc71175376"/>
      <w:bookmarkStart w:id="189" w:name="_Toc15310"/>
      <w:r>
        <w:rPr>
          <w:rFonts w:hint="default" w:ascii="Times New Roman" w:hAnsi="Times New Roman" w:eastAsia="楷体_GB2312" w:cs="Times New Roman"/>
          <w:b/>
          <w:color w:val="000000" w:themeColor="text1"/>
          <w:sz w:val="32"/>
          <w:szCs w:val="32"/>
          <w14:textFill>
            <w14:solidFill>
              <w14:schemeClr w14:val="tx1"/>
            </w14:solidFill>
          </w14:textFill>
        </w:rPr>
        <w:t>1.保障土地供应</w:t>
      </w:r>
      <w:bookmarkEnd w:id="179"/>
      <w:bookmarkEnd w:id="180"/>
      <w:bookmarkEnd w:id="181"/>
      <w:bookmarkEnd w:id="182"/>
      <w:bookmarkEnd w:id="183"/>
      <w:bookmarkEnd w:id="184"/>
      <w:bookmarkEnd w:id="185"/>
      <w:bookmarkEnd w:id="186"/>
      <w:bookmarkEnd w:id="187"/>
      <w:bookmarkEnd w:id="188"/>
    </w:p>
    <w:p w14:paraId="64643F45">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与国土空间规划充分衔接，加强服务</w:t>
      </w:r>
      <w:r>
        <w:rPr>
          <w:rFonts w:hint="default" w:ascii="Times New Roman" w:hAnsi="Times New Roman" w:eastAsia="仿宋_GB2312" w:cs="Times New Roman"/>
          <w:color w:val="000000" w:themeColor="text1"/>
          <w:sz w:val="32"/>
          <w:szCs w:val="32"/>
          <w14:textFill>
            <w14:solidFill>
              <w14:schemeClr w14:val="tx1"/>
            </w14:solidFill>
          </w14:textFill>
        </w:rPr>
        <w:t>业用地规划、储备和供应保障，建立健全服务业用地保障机制，适度扩大现代服务业发展规划控制范围和预留空间。争取省级预留建设用地指标优先安排解决重大项目建设用地，提高现代服务业规划用地权重，在安排现代服务业重点项目建设用地计划时实行适度倾斜。优先满足现代服务业重大项目的用地需求。落实国家支持新产业新业态发展用地政策，鼓励服务业项目盘活利用存量建设用地，鼓励企业利用现有</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存量房产</w:t>
      </w:r>
      <w:r>
        <w:rPr>
          <w:rFonts w:hint="default" w:ascii="Times New Roman" w:hAnsi="Times New Roman" w:eastAsia="仿宋_GB2312" w:cs="Times New Roman"/>
          <w:color w:val="000000" w:themeColor="text1"/>
          <w:sz w:val="32"/>
          <w:szCs w:val="32"/>
          <w14:textFill>
            <w14:solidFill>
              <w14:schemeClr w14:val="tx1"/>
            </w14:solidFill>
          </w14:textFill>
        </w:rPr>
        <w:t>和土地</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资源</w:t>
      </w:r>
      <w:r>
        <w:rPr>
          <w:rFonts w:hint="default" w:ascii="Times New Roman" w:hAnsi="Times New Roman" w:eastAsia="仿宋_GB2312" w:cs="Times New Roman"/>
          <w:color w:val="000000" w:themeColor="text1"/>
          <w:sz w:val="32"/>
          <w:szCs w:val="32"/>
          <w14:textFill>
            <w14:solidFill>
              <w14:schemeClr w14:val="tx1"/>
            </w14:solidFill>
          </w14:textFill>
        </w:rPr>
        <w:t>，兴办文化创意、科研、健康养老、房屋租赁、工业旅游、众创空间、现代服务业、“互联网+”等新业态。有效整合村级存量集体建设用地，提升现有土地集约利用程度，向土地利用效率高、社会效益好的优质型服务业行业倾斜。推进服务业用地多功能开发和地上地下立体综合开发利用。探索投资者可通过出让、转让、划拨、租赁等方式取得土地使用权。</w:t>
      </w:r>
    </w:p>
    <w:p w14:paraId="07A9B06F">
      <w:pPr>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190" w:name="_Toc25055"/>
      <w:bookmarkStart w:id="191" w:name="_Toc16021"/>
      <w:bookmarkStart w:id="192" w:name="_Toc71728332"/>
      <w:bookmarkStart w:id="193" w:name="_Toc11185"/>
      <w:bookmarkStart w:id="194" w:name="_Toc71708653"/>
      <w:bookmarkStart w:id="195" w:name="_Toc1332"/>
      <w:bookmarkStart w:id="196" w:name="_Toc14329"/>
      <w:bookmarkStart w:id="197" w:name="_Toc71709050"/>
      <w:bookmarkStart w:id="198" w:name="_Toc71164877"/>
      <w:bookmarkStart w:id="199" w:name="_Toc83296424"/>
      <w:bookmarkStart w:id="200" w:name="_Toc71175377"/>
      <w:r>
        <w:rPr>
          <w:rFonts w:hint="default" w:ascii="Times New Roman" w:hAnsi="Times New Roman" w:eastAsia="楷体_GB2312" w:cs="Times New Roman"/>
          <w:b/>
          <w:color w:val="000000" w:themeColor="text1"/>
          <w:sz w:val="32"/>
          <w:szCs w:val="32"/>
          <w14:textFill>
            <w14:solidFill>
              <w14:schemeClr w14:val="tx1"/>
            </w14:solidFill>
          </w14:textFill>
        </w:rPr>
        <w:t>2.落实金融财税政策</w:t>
      </w:r>
      <w:bookmarkEnd w:id="190"/>
      <w:bookmarkEnd w:id="191"/>
      <w:bookmarkEnd w:id="192"/>
      <w:bookmarkEnd w:id="193"/>
      <w:bookmarkEnd w:id="194"/>
      <w:bookmarkEnd w:id="195"/>
      <w:bookmarkEnd w:id="196"/>
      <w:bookmarkEnd w:id="197"/>
      <w:bookmarkEnd w:id="198"/>
      <w:bookmarkEnd w:id="199"/>
      <w:bookmarkEnd w:id="200"/>
    </w:p>
    <w:p w14:paraId="08F22B64">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发挥财政资金的引导带动作用，加大财政资金对服务业各重点行业和领域的支持力度，探索建立现代服务业产业投资基金，培育发展新兴服务业，县财政根据资金使用情况和财力的增长情况逐年予以充实。研究制定具体管理使用办法，落实服务业引导资金采取贴补、贴息以及对国家、省、市有关扶持资金配套等方式对服务业重点企业进行扶持。协调解决企业融资难问题，降低其融资成本，引导社会资本投向服务业，支持服务业企业运用发行债券、股权融资、投贷联动、融资租赁等方式筹集资金，鼓励各类股权投资基金、信托投资机构、金融租赁机构、信用担保机构加大对生产性服务业企业和中小微服务业企业的支持力度。深化跨境人民币业务试点，促进跨境投融资便利化，鼓励服务业企业充分利用境内和境外两种资源、两个市场拓展自身业务。</w:t>
      </w:r>
    </w:p>
    <w:p w14:paraId="228DB39C">
      <w:pPr>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201" w:name="_Toc4285"/>
      <w:bookmarkStart w:id="202" w:name="_Toc28055"/>
      <w:bookmarkStart w:id="203" w:name="_Toc71709051"/>
      <w:bookmarkStart w:id="204" w:name="_Toc83296425"/>
      <w:bookmarkStart w:id="205" w:name="_Toc30100"/>
      <w:bookmarkStart w:id="206" w:name="_Toc71175378"/>
      <w:bookmarkStart w:id="207" w:name="_Toc71728333"/>
      <w:bookmarkStart w:id="208" w:name="_Toc71164878"/>
      <w:bookmarkStart w:id="209" w:name="_Toc71708654"/>
      <w:bookmarkStart w:id="210" w:name="_Toc7206"/>
      <w:bookmarkStart w:id="211" w:name="_Toc19590"/>
      <w:r>
        <w:rPr>
          <w:rFonts w:hint="default" w:ascii="Times New Roman" w:hAnsi="Times New Roman" w:eastAsia="楷体_GB2312" w:cs="Times New Roman"/>
          <w:b/>
          <w:color w:val="000000" w:themeColor="text1"/>
          <w:sz w:val="32"/>
          <w:szCs w:val="32"/>
          <w14:textFill>
            <w14:solidFill>
              <w14:schemeClr w14:val="tx1"/>
            </w14:solidFill>
          </w14:textFill>
        </w:rPr>
        <w:t>3.强化</w:t>
      </w:r>
      <w:bookmarkEnd w:id="201"/>
      <w:bookmarkEnd w:id="202"/>
      <w:bookmarkEnd w:id="203"/>
      <w:bookmarkEnd w:id="204"/>
      <w:bookmarkEnd w:id="205"/>
      <w:bookmarkEnd w:id="206"/>
      <w:bookmarkEnd w:id="207"/>
      <w:bookmarkEnd w:id="208"/>
      <w:bookmarkEnd w:id="209"/>
      <w:bookmarkStart w:id="212" w:name="_Toc71708655"/>
      <w:bookmarkStart w:id="213" w:name="_Toc71728334"/>
      <w:bookmarkStart w:id="214" w:name="_Toc25473"/>
      <w:bookmarkStart w:id="215" w:name="_Toc71709052"/>
      <w:bookmarkStart w:id="216" w:name="_Toc83296426"/>
      <w:bookmarkStart w:id="217" w:name="_Toc24221"/>
      <w:bookmarkStart w:id="218" w:name="_Toc22659"/>
      <w:bookmarkStart w:id="219" w:name="_Toc71164879"/>
      <w:bookmarkStart w:id="220" w:name="_Toc71175379"/>
      <w:r>
        <w:rPr>
          <w:rFonts w:hint="default" w:ascii="Times New Roman" w:hAnsi="Times New Roman" w:eastAsia="楷体_GB2312" w:cs="Times New Roman"/>
          <w:b/>
          <w:color w:val="000000" w:themeColor="text1"/>
          <w:sz w:val="32"/>
          <w:szCs w:val="32"/>
          <w14:textFill>
            <w14:solidFill>
              <w14:schemeClr w14:val="tx1"/>
            </w14:solidFill>
          </w14:textFill>
        </w:rPr>
        <w:t>人才保障</w:t>
      </w:r>
      <w:bookmarkEnd w:id="210"/>
      <w:bookmarkEnd w:id="211"/>
      <w:bookmarkEnd w:id="212"/>
      <w:bookmarkEnd w:id="213"/>
      <w:bookmarkEnd w:id="214"/>
      <w:bookmarkEnd w:id="215"/>
      <w:bookmarkEnd w:id="216"/>
      <w:bookmarkEnd w:id="217"/>
      <w:bookmarkEnd w:id="218"/>
      <w:bookmarkEnd w:id="219"/>
      <w:bookmarkEnd w:id="220"/>
    </w:p>
    <w:p w14:paraId="049A1ABF">
      <w:pPr>
        <w:widowControl w:val="0"/>
        <w:shd w:val="clear" w:color="auto" w:fill="FFFFFF"/>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强化人才支撑和智库引进，推动服务业人才结构战略性调整，实施领军人才引进培养计划，积极引进服务业亟需的高端人才和高技能人才，加强人才服务体系建设，对引进的高层次人才，及时兑现安家、子女入园入学、社会保障等方面政策待遇。强化专业型服务人才培养，鼓励高校、专业培训机构与服务业企业合作，开展各种职业技能培训，建立公共职业训练基地，集成利用政产学研及社会培训资源，提高专业型服务人才培养效率。健全人才激励机制，构筑多样化众创空间，营造“引得来、留得住、用得好、能创业”的人才发展环境，为全县服务业跨越发展提供智力支持和人才支撑。加快建立服务创新发展的科技创新智库，深化智库人才岗位聘用等制度改革。</w:t>
      </w:r>
    </w:p>
    <w:p w14:paraId="400849D8">
      <w:pPr>
        <w:spacing w:line="560" w:lineRule="exact"/>
        <w:ind w:firstLine="643"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221" w:name="_Toc28907"/>
      <w:bookmarkStart w:id="222" w:name="_Toc11902"/>
      <w:r>
        <w:rPr>
          <w:rFonts w:hint="default" w:ascii="Times New Roman" w:hAnsi="Times New Roman" w:eastAsia="楷体_GB2312" w:cs="Times New Roman"/>
          <w:b/>
          <w:color w:val="000000" w:themeColor="text1"/>
          <w:sz w:val="32"/>
          <w:szCs w:val="32"/>
          <w:highlight w:val="none"/>
          <w14:textFill>
            <w14:solidFill>
              <w14:schemeClr w14:val="tx1"/>
            </w14:solidFill>
          </w14:textFill>
        </w:rPr>
        <w:t>4.</w:t>
      </w:r>
      <w:r>
        <w:rPr>
          <w:rFonts w:hint="default" w:ascii="Times New Roman" w:hAnsi="Times New Roman" w:eastAsia="楷体_GB2312" w:cs="Times New Roman"/>
          <w:b/>
          <w:color w:val="000000" w:themeColor="text1"/>
          <w:sz w:val="32"/>
          <w:szCs w:val="32"/>
          <w14:textFill>
            <w14:solidFill>
              <w14:schemeClr w14:val="tx1"/>
            </w14:solidFill>
          </w14:textFill>
        </w:rPr>
        <w:t>优化</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数据资源</w:t>
      </w:r>
      <w:r>
        <w:rPr>
          <w:rFonts w:hint="default" w:ascii="Times New Roman" w:hAnsi="Times New Roman" w:eastAsia="楷体_GB2312" w:cs="Times New Roman"/>
          <w:b/>
          <w:color w:val="000000" w:themeColor="text1"/>
          <w:sz w:val="32"/>
          <w:szCs w:val="32"/>
          <w14:textFill>
            <w14:solidFill>
              <w14:schemeClr w14:val="tx1"/>
            </w14:solidFill>
          </w14:textFill>
        </w:rPr>
        <w:t>应用</w:t>
      </w:r>
      <w:bookmarkEnd w:id="221"/>
      <w:bookmarkEnd w:id="222"/>
    </w:p>
    <w:p w14:paraId="69B871B7">
      <w:pPr>
        <w:widowControl w:val="0"/>
        <w:shd w:val="clear" w:color="auto" w:fill="FFFFFF"/>
        <w:spacing w:line="560" w:lineRule="exact"/>
        <w:ind w:firstLine="640" w:firstLineChars="200"/>
        <w:rPr>
          <w:rFonts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建立服务业数据库，加快培育服务业数据要素市场，培育和引进一批服务经济和社会发展的数据挖掘、数据分析行业的服务业企业，支持构建农业、工业、交通、教育、安防、城市管理、公共资源交易等领域规范化数据开发利用的场景。发挥企业主体和行业协会商会桥梁作用，落实适用于大数据环境下的数据分类分级保护和应用，加强数据资源整合和安全保护，加强对企业商业秘密和个人数据的保护。提高数据质量和规范性，做好数据平台对接，推进政府、部门和企业数据开放共享。</w:t>
      </w:r>
    </w:p>
    <w:bookmarkEnd w:id="189"/>
    <w:p w14:paraId="73583ADC">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223" w:name="_Toc83296427"/>
      <w:bookmarkStart w:id="224" w:name="_Toc16451"/>
      <w:bookmarkStart w:id="225" w:name="_Toc25738"/>
      <w:r>
        <w:rPr>
          <w:rFonts w:hint="default" w:ascii="Times New Roman" w:hAnsi="Times New Roman" w:eastAsia="黑体" w:cs="Times New Roman"/>
          <w:b w:val="0"/>
          <w:bCs w:val="0"/>
          <w:color w:val="000000" w:themeColor="text1"/>
          <w14:textFill>
            <w14:solidFill>
              <w14:schemeClr w14:val="tx1"/>
            </w14:solidFill>
          </w14:textFill>
        </w:rPr>
        <w:t>四、优化发展环境</w:t>
      </w:r>
      <w:bookmarkEnd w:id="223"/>
      <w:bookmarkEnd w:id="224"/>
      <w:bookmarkEnd w:id="225"/>
    </w:p>
    <w:p w14:paraId="5D4EF448">
      <w:pPr>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226" w:name="_Toc71164881"/>
      <w:bookmarkStart w:id="227" w:name="_Toc15897"/>
      <w:bookmarkStart w:id="228" w:name="_Toc71708657"/>
      <w:bookmarkStart w:id="229" w:name="_Toc71728336"/>
      <w:bookmarkStart w:id="230" w:name="_Toc26898"/>
      <w:bookmarkStart w:id="231" w:name="_Toc71709054"/>
      <w:bookmarkStart w:id="232" w:name="_Toc83296428"/>
      <w:bookmarkStart w:id="233" w:name="_Toc16229"/>
      <w:bookmarkStart w:id="234" w:name="_Toc71175381"/>
      <w:bookmarkStart w:id="235" w:name="_Toc11643"/>
      <w:r>
        <w:rPr>
          <w:rFonts w:hint="default" w:ascii="Times New Roman" w:hAnsi="Times New Roman" w:eastAsia="楷体_GB2312" w:cs="Times New Roman"/>
          <w:b/>
          <w:color w:val="000000" w:themeColor="text1"/>
          <w:sz w:val="32"/>
          <w:szCs w:val="32"/>
          <w14:textFill>
            <w14:solidFill>
              <w14:schemeClr w14:val="tx1"/>
            </w14:solidFill>
          </w14:textFill>
        </w:rPr>
        <w:t>1.推进社会信用体系建设</w:t>
      </w:r>
      <w:bookmarkEnd w:id="226"/>
      <w:bookmarkEnd w:id="227"/>
      <w:bookmarkEnd w:id="228"/>
      <w:bookmarkEnd w:id="229"/>
      <w:bookmarkEnd w:id="230"/>
      <w:bookmarkEnd w:id="231"/>
      <w:bookmarkEnd w:id="232"/>
      <w:bookmarkEnd w:id="233"/>
      <w:bookmarkEnd w:id="234"/>
      <w:bookmarkEnd w:id="235"/>
    </w:p>
    <w:p w14:paraId="15F6B9C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诚信自律、守信受益、失信惩戒为导向，以信用之都建设为目标、以信用数据为基础，以信用服务行业为支撑，强化诚信记录查询和信用服务应用，示范推广全过程信用管理模式。大力宣传弘扬契约精神，对符合产业发展方向、信用良好的服务业企业，优先给予政策优惠、资金扶持和信贷支持，健全完善行政、市场、社会综合性信用奖惩机制，充分发挥信用建设规范市场秩序的作用，构建诚信、透明的市场环境。强化知识产权保护，加强对企业服务模式和服务内容等创新的保护，促进知识产权创造和运用，进一步保护创新创业积极性。</w:t>
      </w:r>
      <w:r>
        <w:rPr>
          <w:rFonts w:hint="default" w:ascii="Times New Roman" w:hAnsi="Times New Roman" w:eastAsia="仿宋_GB2312" w:cs="Times New Roman"/>
          <w:color w:val="000000" w:themeColor="text1"/>
          <w:kern w:val="0"/>
          <w:sz w:val="32"/>
          <w:szCs w:val="32"/>
          <w14:textFill>
            <w14:solidFill>
              <w14:schemeClr w14:val="tx1"/>
            </w14:solidFill>
          </w14:textFill>
        </w:rPr>
        <w:t>加快社会信用、经营异常企业名录、执法部门信息共享、知识产权保护等综合监管体系建设，形成国际化、法制化营商环境。</w:t>
      </w:r>
    </w:p>
    <w:p w14:paraId="5FEBD898">
      <w:pPr>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236" w:name="_Toc13697"/>
      <w:r>
        <w:rPr>
          <w:rFonts w:hint="default" w:ascii="Times New Roman" w:hAnsi="Times New Roman" w:eastAsia="楷体_GB2312" w:cs="Times New Roman"/>
          <w:b/>
          <w:color w:val="000000" w:themeColor="text1"/>
          <w:sz w:val="32"/>
          <w:szCs w:val="32"/>
          <w14:textFill>
            <w14:solidFill>
              <w14:schemeClr w14:val="tx1"/>
            </w14:solidFill>
          </w14:textFill>
        </w:rPr>
        <w:t>2.深化服务业领域改革创新</w:t>
      </w:r>
      <w:bookmarkEnd w:id="236"/>
    </w:p>
    <w:p w14:paraId="43BF526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优化政策体制环境，完善服务业政策体系，推动行业规范管理。进一步放宽行业准入限制，放宽服务业企业登记注册条件，简化相关审批手续。进一步规范审批程序，规范市场交易行为，规范市场竞争；加强服务业市场监管，加大工商行政管理、质量技术监督和城管监察力度，发挥消费者、媒体的监督和参与作用；强化社会诚信，引导企业依法经营，倡导公平竞争、透明优质服务。积极对接安徽自贸区建设，借鉴中国（安徽）自由贸易试验区试点经验，用足用好自由贸易试验区政策红利，探索建设联动创新体制机制。培育行业服务平台体系，快推进行业协会商会与行政机关脱钩工作，加大政府职能转移力度，逐步将政府事务性、辅助性等职能，依法转移，充分发挥行业协会在管理中的组织协调指导作用，规范行业秩序，切实加强与国内外相关部门的联系和沟通，更好地为企业服务。加快构建服务业多元化发展格局，推动民间资本参与服务业发展。深化公用事业和社会事业改革，推动非基本公共服务市场化改革，拓展社会资本服务业发展空间。建立服务业创新保障体系，加强信息化管理网络的建设，为服务业的发展提供及时、有效、科学的服务。建立健全服务保障体系，加强市场监管，规范行业秩序和市场行为，营造公平、公正、公开的竞争环境。</w:t>
      </w:r>
    </w:p>
    <w:p w14:paraId="31E05D7C">
      <w:pPr>
        <w:widowControl w:val="0"/>
        <w:shd w:val="clear" w:color="auto" w:fill="auto"/>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237" w:name="_Toc7551"/>
      <w:r>
        <w:rPr>
          <w:rFonts w:hint="default" w:ascii="Times New Roman" w:hAnsi="Times New Roman" w:eastAsia="楷体_GB2312" w:cs="Times New Roman"/>
          <w:b/>
          <w:color w:val="000000" w:themeColor="text1"/>
          <w:sz w:val="32"/>
          <w:szCs w:val="32"/>
          <w14:textFill>
            <w14:solidFill>
              <w14:schemeClr w14:val="tx1"/>
            </w14:solidFill>
          </w14:textFill>
        </w:rPr>
        <w:t>3.改善事中事后监管体制</w:t>
      </w:r>
      <w:bookmarkEnd w:id="237"/>
    </w:p>
    <w:p w14:paraId="32FB57FA">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监管环节上，探索完善“五证合一、一照一码”等机制，从事前审批向事后监管转变。进一步减少行政审批事项，优化工商登记与商事登记制度，放宽准入限制，加强事中事后经营行为对社会影响监管，建立动态监管与信用管理、安全监管及反垄断管理相结合的管理体系。在监管主体上，从政府主导向多元参与转变，加快推进第三方技术、评估、监测、仲裁机构发展，充分发挥社会组织和媒体行业监督职能。</w:t>
      </w:r>
    </w:p>
    <w:p w14:paraId="30D894AC">
      <w:pPr>
        <w:widowControl w:val="0"/>
        <w:shd w:val="clear" w:color="auto" w:fill="auto"/>
        <w:spacing w:line="560" w:lineRule="exact"/>
        <w:ind w:firstLine="643" w:firstLineChars="200"/>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238" w:name="_Toc11158"/>
      <w:r>
        <w:rPr>
          <w:rFonts w:hint="default" w:ascii="Times New Roman" w:hAnsi="Times New Roman" w:eastAsia="楷体_GB2312" w:cs="Times New Roman"/>
          <w:b/>
          <w:color w:val="000000" w:themeColor="text1"/>
          <w:sz w:val="32"/>
          <w:szCs w:val="32"/>
          <w14:textFill>
            <w14:solidFill>
              <w14:schemeClr w14:val="tx1"/>
            </w14:solidFill>
          </w14:textFill>
        </w:rPr>
        <w:t>4.加强市场监督管理和惩罚力度</w:t>
      </w:r>
      <w:bookmarkEnd w:id="238"/>
    </w:p>
    <w:p w14:paraId="2809DD60">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保障服务业市场的良性发展，规范市场监督管理处罚程序，市场监督管理部门对依据监督检查职权或者通过投诉、举报、其他部门移送、上级交办等途径发现的违法行为线索，应当自发现线索或者收到材料之日起十五个工作日内予以核查。市场监督管理部门依照政府信息公开有关规定，及时公开行政处罚案件相关信息，接受社会公众监督。市场监督管理部门实施行政处罚，应当遵循公正、公开的原则，坚持处罚与教育相结合，做到事实清楚、证据确凿、适用依据正确、程序合法、处罚适当。</w:t>
      </w:r>
    </w:p>
    <w:p w14:paraId="2F558E41">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239" w:name="_Toc83296429"/>
      <w:bookmarkStart w:id="240" w:name="_Toc3878"/>
      <w:bookmarkStart w:id="241" w:name="_Toc24548"/>
      <w:bookmarkStart w:id="242" w:name="_Toc25139"/>
      <w:bookmarkStart w:id="243" w:name="_Toc97"/>
      <w:bookmarkStart w:id="244" w:name="_Toc18751"/>
      <w:bookmarkStart w:id="245" w:name="_Toc19791"/>
      <w:bookmarkStart w:id="246" w:name="_Toc62198221"/>
      <w:bookmarkStart w:id="247" w:name="_Toc23817"/>
      <w:bookmarkStart w:id="248" w:name="_Toc4455"/>
      <w:bookmarkStart w:id="249" w:name="_Toc21814"/>
      <w:bookmarkStart w:id="250" w:name="_Toc27878"/>
      <w:bookmarkStart w:id="251" w:name="_Toc13996"/>
      <w:bookmarkStart w:id="252" w:name="_Toc1233"/>
      <w:bookmarkStart w:id="253" w:name="_Toc19984"/>
      <w:bookmarkStart w:id="254" w:name="_Toc19999"/>
      <w:bookmarkStart w:id="255" w:name="_Toc19596"/>
      <w:r>
        <w:rPr>
          <w:rFonts w:hint="default" w:ascii="Times New Roman" w:hAnsi="Times New Roman" w:eastAsia="黑体" w:cs="Times New Roman"/>
          <w:b w:val="0"/>
          <w:bCs w:val="0"/>
          <w:color w:val="000000" w:themeColor="text1"/>
          <w14:textFill>
            <w14:solidFill>
              <w14:schemeClr w14:val="tx1"/>
            </w14:solidFill>
          </w14:textFill>
        </w:rPr>
        <w:t>五、强化项目支撑</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1A502503">
      <w:pPr>
        <w:spacing w:line="560" w:lineRule="exact"/>
        <w:ind w:firstLine="643" w:firstLineChars="200"/>
        <w:outlineLvl w:val="2"/>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pPr>
      <w:bookmarkStart w:id="256" w:name="_Toc27578"/>
      <w:r>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t>1.坚持以项目为抓手</w:t>
      </w:r>
      <w:bookmarkEnd w:id="256"/>
    </w:p>
    <w:p w14:paraId="738AD78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mallCaps/>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将实施项目作为推动服务业发展的抓手，充分发挥项目对规划实施的支撑作用。围绕服务业新业态新模式谋划、研究、论证、储备和建设项目，完善服务业重大项目库，实行动态管理、滚动推进，确保开工一批、建设一批、竣工一批、储备一批。同时加大招商引资力度，</w:t>
      </w:r>
      <w:r>
        <w:rPr>
          <w:rFonts w:hint="default" w:ascii="Times New Roman" w:hAnsi="Times New Roman" w:eastAsia="仿宋_GB2312" w:cs="Times New Roman"/>
          <w:color w:val="000000" w:themeColor="text1"/>
          <w:sz w:val="32"/>
          <w:szCs w:val="32"/>
          <w14:textFill>
            <w14:solidFill>
              <w14:schemeClr w14:val="tx1"/>
            </w14:solidFill>
          </w14:textFill>
        </w:rPr>
        <w:t>吸引现代服务业、零售业等领域服务业企业总部落户，并</w:t>
      </w:r>
      <w:r>
        <w:rPr>
          <w:rFonts w:hint="default" w:ascii="Times New Roman" w:hAnsi="Times New Roman" w:eastAsia="仿宋_GB2312" w:cs="Times New Roman"/>
          <w:smallCaps/>
          <w:color w:val="000000" w:themeColor="text1"/>
          <w:sz w:val="32"/>
          <w:szCs w:val="32"/>
          <w14:textFill>
            <w14:solidFill>
              <w14:schemeClr w14:val="tx1"/>
            </w14:solidFill>
          </w14:textFill>
        </w:rPr>
        <w:t>探索与发达地区园区、基金，以及科研院所，大院大所合作模式，推进产业链招商。</w:t>
      </w:r>
    </w:p>
    <w:p w14:paraId="457DA91D">
      <w:pPr>
        <w:spacing w:line="560" w:lineRule="exact"/>
        <w:ind w:firstLine="643" w:firstLineChars="200"/>
        <w:outlineLvl w:val="2"/>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pPr>
      <w:bookmarkStart w:id="257" w:name="_Toc29693"/>
      <w:r>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t>2.完善项目推进机制</w:t>
      </w:r>
      <w:bookmarkEnd w:id="257"/>
    </w:p>
    <w:p w14:paraId="17B7720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mallCaps/>
          <w:color w:val="000000" w:themeColor="text1"/>
          <w:sz w:val="32"/>
          <w:szCs w:val="32"/>
          <w14:textFill>
            <w14:solidFill>
              <w14:schemeClr w14:val="tx1"/>
            </w14:solidFill>
          </w14:textFill>
        </w:rPr>
        <w:t>实施重大项目目标责任制，严格落实“四督四保”要求，健全项目“载体单位全程代办、窗口单位无权否决”等制度，</w:t>
      </w:r>
      <w:r>
        <w:rPr>
          <w:rFonts w:hint="default" w:ascii="Times New Roman" w:hAnsi="Times New Roman" w:eastAsia="仿宋_GB2312" w:cs="Times New Roman"/>
          <w:color w:val="000000" w:themeColor="text1"/>
          <w:sz w:val="32"/>
          <w:szCs w:val="32"/>
          <w14:textFill>
            <w14:solidFill>
              <w14:schemeClr w14:val="tx1"/>
            </w14:solidFill>
          </w14:textFill>
        </w:rPr>
        <w:t>优化土地资源配置，加强金融支持，</w:t>
      </w:r>
      <w:r>
        <w:rPr>
          <w:rFonts w:hint="default" w:ascii="Times New Roman" w:hAnsi="Times New Roman" w:eastAsia="仿宋_GB2312" w:cs="Times New Roman"/>
          <w:smallCaps/>
          <w:color w:val="000000" w:themeColor="text1"/>
          <w:sz w:val="32"/>
          <w:szCs w:val="32"/>
          <w14:textFill>
            <w14:solidFill>
              <w14:schemeClr w14:val="tx1"/>
            </w14:solidFill>
          </w14:textFill>
        </w:rPr>
        <w:t>切实抓好项目选址、审批等各个环节的前期工作，加大重点项目建设的推进力度，</w:t>
      </w:r>
      <w:r>
        <w:rPr>
          <w:rFonts w:hint="default" w:ascii="Times New Roman" w:hAnsi="Times New Roman" w:eastAsia="仿宋_GB2312" w:cs="Times New Roman"/>
          <w:color w:val="000000" w:themeColor="text1"/>
          <w:sz w:val="32"/>
          <w:szCs w:val="32"/>
          <w14:textFill>
            <w14:solidFill>
              <w14:schemeClr w14:val="tx1"/>
            </w14:solidFill>
          </w14:textFill>
        </w:rPr>
        <w:t>全面提升重大项目要素保障水平</w:t>
      </w:r>
      <w:r>
        <w:rPr>
          <w:rFonts w:hint="default" w:ascii="Times New Roman" w:hAnsi="Times New Roman" w:eastAsia="仿宋_GB2312" w:cs="Times New Roman"/>
          <w:smallCaps/>
          <w:color w:val="000000" w:themeColor="text1"/>
          <w:sz w:val="32"/>
          <w:szCs w:val="32"/>
          <w14:textFill>
            <w14:solidFill>
              <w14:schemeClr w14:val="tx1"/>
            </w14:solidFill>
          </w14:textFill>
        </w:rPr>
        <w:t>。为企业发展提供“全生命周期”的优质服务，有效提高项目建设协调服务水平。</w:t>
      </w:r>
    </w:p>
    <w:p w14:paraId="1A111700">
      <w:pPr>
        <w:pStyle w:val="4"/>
        <w:keepNext w:val="0"/>
        <w:keepLines w:val="0"/>
        <w:spacing w:before="0" w:after="0" w:line="560" w:lineRule="exact"/>
        <w:ind w:firstLine="640" w:firstLineChars="200"/>
        <w:rPr>
          <w:rFonts w:hint="default" w:ascii="Times New Roman" w:hAnsi="Times New Roman" w:eastAsia="黑体" w:cs="Times New Roman"/>
          <w:b w:val="0"/>
          <w:bCs w:val="0"/>
          <w:color w:val="000000" w:themeColor="text1"/>
          <w14:textFill>
            <w14:solidFill>
              <w14:schemeClr w14:val="tx1"/>
            </w14:solidFill>
          </w14:textFill>
        </w:rPr>
      </w:pPr>
      <w:bookmarkStart w:id="258" w:name="_Toc9696"/>
      <w:bookmarkStart w:id="259" w:name="_Toc7938"/>
      <w:bookmarkStart w:id="260" w:name="_Toc83296430"/>
      <w:r>
        <w:rPr>
          <w:rFonts w:hint="default" w:ascii="Times New Roman" w:hAnsi="Times New Roman" w:eastAsia="黑体" w:cs="Times New Roman"/>
          <w:b w:val="0"/>
          <w:bCs w:val="0"/>
          <w:color w:val="000000" w:themeColor="text1"/>
          <w14:textFill>
            <w14:solidFill>
              <w14:schemeClr w14:val="tx1"/>
            </w14:solidFill>
          </w14:textFill>
        </w:rPr>
        <w:t>六、抓好督促落实</w:t>
      </w:r>
      <w:bookmarkEnd w:id="258"/>
      <w:bookmarkEnd w:id="259"/>
      <w:bookmarkEnd w:id="260"/>
    </w:p>
    <w:p w14:paraId="19DD085A">
      <w:pPr>
        <w:spacing w:line="560" w:lineRule="exact"/>
        <w:ind w:firstLine="643" w:firstLineChars="200"/>
        <w:outlineLvl w:val="2"/>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pPr>
      <w:bookmarkStart w:id="261" w:name="_Toc14623"/>
      <w:r>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t>1.加强任务实施管理</w:t>
      </w:r>
      <w:bookmarkEnd w:id="261"/>
    </w:p>
    <w:p w14:paraId="7A753A9F">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服务业发展规划和电商、商业布点等行业专项规划，按年度将主要目标和重大事项分解落实到具体部门，明确工作任务和实施主体责任。加强任务执行的跟踪检查，加强对服务经济财政扶持资金的跟踪，切实保障服务业政策规划的贯彻执行和具体落实。建立切实可行的指标考核体系，真实、全面、客观地反映政策实施效果和财政资金投入绩效，使政策和资金扶持领域更加贴近企业实际需求，更具科学性和绩效性。建立信息共享机制，完善统计信息发布制度，加强对服务业相关重点领域发展态势的监测、预测和分析。</w:t>
      </w:r>
    </w:p>
    <w:p w14:paraId="2B10EC7E">
      <w:pPr>
        <w:spacing w:line="560" w:lineRule="exact"/>
        <w:ind w:firstLine="643" w:firstLineChars="200"/>
        <w:outlineLvl w:val="2"/>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pPr>
      <w:bookmarkStart w:id="262" w:name="_Toc10717"/>
      <w:r>
        <w:rPr>
          <w:rFonts w:hint="default" w:ascii="Times New Roman" w:hAnsi="Times New Roman" w:eastAsia="楷体_GB2312" w:cs="Times New Roman"/>
          <w:b/>
          <w:bCs w:val="0"/>
          <w:smallCaps w:val="0"/>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b/>
          <w:bCs w:val="0"/>
          <w:smallCaps w:val="0"/>
          <w:color w:val="000000" w:themeColor="text1"/>
          <w:sz w:val="32"/>
          <w:szCs w:val="32"/>
          <w14:textFill>
            <w14:solidFill>
              <w14:schemeClr w14:val="tx1"/>
            </w14:solidFill>
          </w14:textFill>
        </w:rPr>
        <w:t>.强化规划实施监测评估</w:t>
      </w:r>
      <w:bookmarkEnd w:id="262"/>
    </w:p>
    <w:p w14:paraId="0B37B5B0">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5" w:type="default"/>
          <w:pgSz w:w="11906" w:h="16838"/>
          <w:pgMar w:top="2098" w:right="1474" w:bottom="1984" w:left="1587" w:header="851" w:footer="1389" w:gutter="0"/>
          <w:pgNumType w:fmt="decimal" w:start="1"/>
          <w:cols w:space="0" w:num="1"/>
          <w:rtlGutter w:val="0"/>
          <w:docGrid w:type="lines" w:linePitch="312" w:charSpace="0"/>
        </w:sectPr>
      </w:pPr>
      <w:r>
        <w:rPr>
          <w:rFonts w:hint="default" w:ascii="Times New Roman" w:hAnsi="Times New Roman" w:eastAsia="仿宋_GB2312" w:cs="Times New Roman"/>
          <w:color w:val="000000" w:themeColor="text1"/>
          <w:sz w:val="32"/>
          <w:szCs w:val="32"/>
          <w14:textFill>
            <w14:solidFill>
              <w14:schemeClr w14:val="tx1"/>
            </w14:solidFill>
          </w14:textFill>
        </w:rPr>
        <w:t>按照规划提出的发展目标、重点任务和推进措施，以及各专项规划，按年度将主要目标和重大事项分解落实到具体部门，明确工作任务和实施主体责任。探索建立第三方考核评价制度，跟踪规划执行情况。组织开展年度执行情况跟踪评估、中期实施情况评估和总结评估工作，并视评估情况，进行动态修订调整。</w:t>
      </w:r>
    </w:p>
    <w:p w14:paraId="68C03AC3">
      <w:pPr>
        <w:pStyle w:val="4"/>
        <w:keepNext/>
        <w:keepLines/>
        <w:pageBreakBefore w:val="0"/>
        <w:widowControl w:val="0"/>
        <w:kinsoku/>
        <w:wordWrap/>
        <w:overflowPunct/>
        <w:topLinePunct w:val="0"/>
        <w:autoSpaceDE/>
        <w:autoSpaceDN/>
        <w:bidi w:val="0"/>
        <w:adjustRightInd w:val="0"/>
        <w:snapToGrid w:val="0"/>
        <w:spacing w:before="0" w:after="0"/>
        <w:textAlignment w:val="auto"/>
        <w:rPr>
          <w:rFonts w:hint="default" w:ascii="Times New Roman" w:hAnsi="Times New Roman" w:cs="Times New Roman"/>
          <w:color w:val="000000" w:themeColor="text1"/>
          <w14:textFill>
            <w14:solidFill>
              <w14:schemeClr w14:val="tx1"/>
            </w14:solidFill>
          </w14:textFill>
        </w:rPr>
      </w:pPr>
      <w:bookmarkStart w:id="263" w:name="_Toc14420"/>
      <w:bookmarkStart w:id="264" w:name="_Toc10405"/>
      <w:bookmarkStart w:id="265" w:name="_Toc83296431"/>
      <w:r>
        <w:rPr>
          <w:rFonts w:hint="default" w:ascii="Times New Roman" w:hAnsi="Times New Roman" w:cs="Times New Roman"/>
          <w:color w:val="000000" w:themeColor="text1"/>
          <w14:textFill>
            <w14:solidFill>
              <w14:schemeClr w14:val="tx1"/>
            </w14:solidFill>
          </w14:textFill>
        </w:rPr>
        <w:t>附件</w:t>
      </w:r>
      <w:bookmarkEnd w:id="263"/>
      <w:bookmarkEnd w:id="264"/>
    </w:p>
    <w:p w14:paraId="07D62D17">
      <w:pPr>
        <w:pStyle w:val="4"/>
        <w:spacing w:before="0"/>
        <w:jc w:val="center"/>
        <w:rPr>
          <w:rFonts w:hint="default" w:ascii="Times New Roman" w:hAnsi="Times New Roman" w:eastAsia="方正小标宋简体" w:cs="Times New Roman"/>
          <w:color w:val="0000FF"/>
          <w:sz w:val="44"/>
          <w:szCs w:val="44"/>
        </w:rPr>
      </w:pPr>
      <w:bookmarkStart w:id="266" w:name="_Toc2034"/>
      <w:bookmarkStart w:id="267" w:name="_Toc25631"/>
      <w:r>
        <w:rPr>
          <w:rFonts w:hint="default" w:ascii="Times New Roman" w:hAnsi="Times New Roman" w:eastAsia="方正小标宋简体" w:cs="Times New Roman"/>
          <w:color w:val="000000" w:themeColor="text1"/>
          <w:sz w:val="44"/>
          <w:szCs w:val="44"/>
          <w14:textFill>
            <w14:solidFill>
              <w14:schemeClr w14:val="tx1"/>
            </w14:solidFill>
          </w14:textFill>
        </w:rPr>
        <w:t>濉溪县“十四五”服务业发展重大项目一览表</w:t>
      </w:r>
      <w:bookmarkEnd w:id="265"/>
      <w:bookmarkEnd w:id="266"/>
      <w:bookmarkEnd w:id="267"/>
    </w:p>
    <w:tbl>
      <w:tblPr>
        <w:tblStyle w:val="16"/>
        <w:tblW w:w="13930" w:type="dxa"/>
        <w:jc w:val="center"/>
        <w:tblLayout w:type="fixed"/>
        <w:tblCellMar>
          <w:top w:w="0" w:type="dxa"/>
          <w:left w:w="0" w:type="dxa"/>
          <w:bottom w:w="0" w:type="dxa"/>
          <w:right w:w="0" w:type="dxa"/>
        </w:tblCellMar>
      </w:tblPr>
      <w:tblGrid>
        <w:gridCol w:w="601"/>
        <w:gridCol w:w="2807"/>
        <w:gridCol w:w="1243"/>
        <w:gridCol w:w="1450"/>
        <w:gridCol w:w="1045"/>
        <w:gridCol w:w="4714"/>
        <w:gridCol w:w="1393"/>
        <w:gridCol w:w="677"/>
      </w:tblGrid>
      <w:tr w14:paraId="1FB2B658">
        <w:tblPrEx>
          <w:tblCellMar>
            <w:top w:w="0" w:type="dxa"/>
            <w:left w:w="0" w:type="dxa"/>
            <w:bottom w:w="0" w:type="dxa"/>
            <w:right w:w="0" w:type="dxa"/>
          </w:tblCellMar>
        </w:tblPrEx>
        <w:trPr>
          <w:trHeight w:val="644" w:hRule="atLeast"/>
          <w:tblHeader/>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3B764">
            <w:pPr>
              <w:jc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14:textFill>
                  <w14:solidFill>
                    <w14:schemeClr w14:val="tx1"/>
                  </w14:solidFill>
                </w14:textFill>
              </w:rPr>
              <w:br w:type="page"/>
            </w: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序号</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F92E6">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项目名称</w:t>
            </w:r>
          </w:p>
        </w:tc>
        <w:tc>
          <w:tcPr>
            <w:tcW w:w="12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49DDC">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建设地点</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7E00E">
            <w:pPr>
              <w:widowControl/>
              <w:jc w:val="center"/>
              <w:textAlignment w:val="cente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建设起止</w:t>
            </w:r>
          </w:p>
          <w:p w14:paraId="2C1F20AB">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年限</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63335">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总投资（亿元）</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79053">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主要建设内容和建设规模</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E4A9A">
            <w:pPr>
              <w:widowControl/>
              <w:jc w:val="center"/>
              <w:textAlignment w:val="center"/>
              <w:rPr>
                <w:rFonts w:hint="default" w:ascii="Times New Roman" w:hAnsi="Times New Roman" w:eastAsia="仿宋_GB2312" w:cs="Times New Roman"/>
                <w:b/>
                <w:bCs/>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责任单位</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3BE07">
            <w:pPr>
              <w:widowControl/>
              <w:jc w:val="center"/>
              <w:textAlignment w:val="cente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bidi="ar"/>
                <w14:textFill>
                  <w14:solidFill>
                    <w14:schemeClr w14:val="tx1"/>
                  </w14:solidFill>
                </w14:textFill>
              </w:rPr>
              <w:t>备注</w:t>
            </w:r>
          </w:p>
        </w:tc>
      </w:tr>
      <w:tr w14:paraId="5AC41F19">
        <w:tblPrEx>
          <w:tblCellMar>
            <w:top w:w="0" w:type="dxa"/>
            <w:left w:w="0" w:type="dxa"/>
            <w:bottom w:w="0" w:type="dxa"/>
            <w:right w:w="0" w:type="dxa"/>
          </w:tblCellMar>
        </w:tblPrEx>
        <w:trPr>
          <w:trHeight w:val="112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FC8F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F199">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淮北港韩村港区孙疃作业区综合码头工程</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B94D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孙疃镇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5953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2021年7月-2022年12月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2384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5.80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842D">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拟建设6个500吨级兼顾1000吨级的综合性泊位，设计年吞吐量540万吨。</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A1E54">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孙疃镇人民政府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F80F6">
            <w:pPr>
              <w:widowControl/>
              <w:jc w:val="center"/>
              <w:textAlignment w:val="center"/>
              <w:rPr>
                <w:rFonts w:hint="default" w:ascii="Times New Roman" w:hAnsi="Times New Roman" w:eastAsia="仿宋_GB2312" w:cs="Times New Roman"/>
                <w:color w:val="000000"/>
                <w:sz w:val="24"/>
                <w:szCs w:val="24"/>
              </w:rPr>
            </w:pPr>
          </w:p>
        </w:tc>
      </w:tr>
      <w:tr w14:paraId="1D3247E7">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4E06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8C7E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临涣闸至李口集段浍河航道项目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A1D3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3EFD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2022年8月-2025年12月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C4274">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20.00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7EA81">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临涣闸至李口集，全长35.5公里，四级航道。</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5E85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70E59">
            <w:pPr>
              <w:widowControl/>
              <w:jc w:val="center"/>
              <w:textAlignment w:val="center"/>
              <w:rPr>
                <w:rFonts w:hint="default" w:ascii="Times New Roman" w:hAnsi="Times New Roman" w:eastAsia="仿宋_GB2312" w:cs="Times New Roman"/>
                <w:color w:val="000000"/>
                <w:sz w:val="24"/>
                <w:szCs w:val="24"/>
              </w:rPr>
            </w:pPr>
          </w:p>
        </w:tc>
      </w:tr>
      <w:tr w14:paraId="3E8D5684">
        <w:tblPrEx>
          <w:tblCellMar>
            <w:top w:w="0" w:type="dxa"/>
            <w:left w:w="0" w:type="dxa"/>
            <w:bottom w:w="0" w:type="dxa"/>
            <w:right w:w="0" w:type="dxa"/>
          </w:tblCellMar>
        </w:tblPrEx>
        <w:trPr>
          <w:trHeight w:val="1606"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63D0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31526">
            <w:pPr>
              <w:pStyle w:val="39"/>
              <w:spacing w:line="240" w:lineRule="auto"/>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沱浍河航道临涣船闸工程</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1FD40">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韩村镇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99CFA">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2020年5月-2023年5月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1689C">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5.68</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C00">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该项目按IV级通航标准建设，设计最大船型为500吨级（兼顾1000吨级）货船。主要建设内容包括闸首，闸室，引航道、导航建筑物、靠船建筑物、桥梁改建及配套工程等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EB295">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韩村镇人民政府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9F062">
            <w:pPr>
              <w:widowControl/>
              <w:jc w:val="center"/>
              <w:textAlignment w:val="center"/>
              <w:rPr>
                <w:rFonts w:hint="default" w:ascii="Times New Roman" w:hAnsi="Times New Roman" w:eastAsia="仿宋_GB2312" w:cs="Times New Roman"/>
                <w:color w:val="000000"/>
                <w:sz w:val="24"/>
                <w:szCs w:val="24"/>
              </w:rPr>
            </w:pPr>
          </w:p>
        </w:tc>
      </w:tr>
      <w:tr w14:paraId="3FE58036">
        <w:tblPrEx>
          <w:tblCellMar>
            <w:top w:w="0" w:type="dxa"/>
            <w:left w:w="0" w:type="dxa"/>
            <w:bottom w:w="0" w:type="dxa"/>
            <w:right w:w="0" w:type="dxa"/>
          </w:tblCellMar>
        </w:tblPrEx>
        <w:trPr>
          <w:trHeight w:val="107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7BA5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14FA0">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韩村散货码头建设项目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B0267">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sz w:val="24"/>
                <w:szCs w:val="24"/>
              </w:rPr>
              <w:t>韩村镇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385DA">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2024年5月-2025年5月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F9578">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2.40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AC968">
            <w:pPr>
              <w:widowControl/>
              <w:jc w:val="left"/>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本项目拟建5个500吨级泊位，泊位长度390m。设计年吞吐量440万吨。建设进港公路一条，长500米，宽15米。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354A8">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韩村镇人民政府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ACAD8">
            <w:pPr>
              <w:widowControl/>
              <w:jc w:val="center"/>
              <w:textAlignment w:val="center"/>
              <w:rPr>
                <w:rFonts w:hint="default" w:ascii="Times New Roman" w:hAnsi="Times New Roman" w:eastAsia="仿宋_GB2312" w:cs="Times New Roman"/>
                <w:color w:val="000000"/>
                <w:sz w:val="24"/>
                <w:szCs w:val="24"/>
              </w:rPr>
            </w:pPr>
          </w:p>
        </w:tc>
      </w:tr>
      <w:tr w14:paraId="0FAEB1C4">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DCA70">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73F57">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淮海中瑞农产品物流中心冷链物流园项目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788D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8ACB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kern w:val="0"/>
                <w:sz w:val="24"/>
                <w:szCs w:val="24"/>
              </w:rPr>
              <w:t>2021年10月-2022年12月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13F5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kern w:val="0"/>
                <w:sz w:val="24"/>
                <w:szCs w:val="24"/>
              </w:rPr>
              <w:t>2.085</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A882E">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kern w:val="0"/>
                <w:sz w:val="24"/>
                <w:szCs w:val="24"/>
              </w:rPr>
              <w:t>占地面积约99.79亩，建设冷链物流用冷库及冻品交易及其他配套用房等。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73459">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ED9B4">
            <w:pPr>
              <w:widowControl/>
              <w:jc w:val="center"/>
              <w:textAlignment w:val="center"/>
              <w:rPr>
                <w:rFonts w:hint="default" w:ascii="Times New Roman" w:hAnsi="Times New Roman" w:eastAsia="仿宋_GB2312" w:cs="Times New Roman"/>
                <w:color w:val="000000"/>
                <w:sz w:val="24"/>
                <w:szCs w:val="24"/>
              </w:rPr>
            </w:pPr>
          </w:p>
        </w:tc>
      </w:tr>
      <w:tr w14:paraId="0831520C">
        <w:tblPrEx>
          <w:tblCellMar>
            <w:top w:w="0" w:type="dxa"/>
            <w:left w:w="0" w:type="dxa"/>
            <w:bottom w:w="0" w:type="dxa"/>
            <w:right w:w="0" w:type="dxa"/>
          </w:tblCellMar>
        </w:tblPrEx>
        <w:trPr>
          <w:trHeight w:val="104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B9C7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6D7E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中德产业园子项目（智能快递物流中心建设项目）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6036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A782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rPr>
              <w:t>2021年5月-2023年5月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87D3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1.50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77DFD">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占地约70亩，总建筑面积约5.2万平方米，包括3栋两层仓储物流仓库、1栋业务综合楼以及其他相关配套设施。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E2FE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FF531">
            <w:pPr>
              <w:widowControl/>
              <w:jc w:val="center"/>
              <w:textAlignment w:val="center"/>
              <w:rPr>
                <w:rFonts w:hint="default" w:ascii="Times New Roman" w:hAnsi="Times New Roman" w:eastAsia="仿宋_GB2312" w:cs="Times New Roman"/>
                <w:color w:val="000000"/>
                <w:sz w:val="24"/>
                <w:szCs w:val="24"/>
              </w:rPr>
            </w:pPr>
          </w:p>
        </w:tc>
      </w:tr>
      <w:tr w14:paraId="608EC40E">
        <w:tblPrEx>
          <w:tblCellMar>
            <w:top w:w="0" w:type="dxa"/>
            <w:left w:w="0" w:type="dxa"/>
            <w:bottom w:w="0" w:type="dxa"/>
            <w:right w:w="0" w:type="dxa"/>
          </w:tblCellMar>
        </w:tblPrEx>
        <w:trPr>
          <w:trHeight w:val="142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4DC6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5A6D0">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淮海京东现代物流产业园</w:t>
            </w:r>
            <w:r>
              <w:rPr>
                <w:rFonts w:hint="default" w:ascii="Times New Roman" w:hAnsi="Times New Roman" w:eastAsia="仿宋_GB2312" w:cs="Times New Roman"/>
                <w:color w:val="000000" w:themeColor="text1"/>
                <w:kern w:val="0"/>
                <w:sz w:val="24"/>
                <w:szCs w:val="24"/>
                <w14:textFill>
                  <w14:solidFill>
                    <w14:schemeClr w14:val="tx1"/>
                  </w14:solidFill>
                </w14:textFill>
              </w:rPr>
              <w:t>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2163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E3C3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2022年3月-2024年3月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6316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9D84C">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引进京东物流运营管理模式，建设集云计算、大数据、智能化于一体的现代物流产业园，全面整合提升濉溪县的物流产业，计划总投资2亿元，占地面积200亩左右。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DB0F5">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F005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highlight w:val="none"/>
                <w:lang w:bidi="ar"/>
              </w:rPr>
              <w:t>洽谈</w:t>
            </w:r>
          </w:p>
        </w:tc>
      </w:tr>
      <w:tr w14:paraId="7A281A3E">
        <w:tblPrEx>
          <w:tblCellMar>
            <w:top w:w="0" w:type="dxa"/>
            <w:left w:w="0" w:type="dxa"/>
            <w:bottom w:w="0" w:type="dxa"/>
            <w:right w:w="0" w:type="dxa"/>
          </w:tblCellMar>
        </w:tblPrEx>
        <w:trPr>
          <w:trHeight w:val="80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3AE0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F1E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濉溪县粮食物流应急保障中心项目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42F83">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A1A3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2022年-2025年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6E84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2.60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E8A21">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项目新增土地仓储用地120亩，新建15万吨粮食和应急物资仓库及配套设施。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10FD5">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县发改委</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E7D81">
            <w:pPr>
              <w:widowControl/>
              <w:jc w:val="center"/>
              <w:textAlignment w:val="center"/>
              <w:rPr>
                <w:rFonts w:hint="default" w:ascii="Times New Roman" w:hAnsi="Times New Roman" w:eastAsia="仿宋_GB2312" w:cs="Times New Roman"/>
                <w:color w:val="000000"/>
                <w:sz w:val="24"/>
                <w:szCs w:val="24"/>
              </w:rPr>
            </w:pPr>
          </w:p>
        </w:tc>
      </w:tr>
      <w:tr w14:paraId="3E026172">
        <w:tblPrEx>
          <w:tblCellMar>
            <w:top w:w="0" w:type="dxa"/>
            <w:left w:w="0" w:type="dxa"/>
            <w:bottom w:w="0" w:type="dxa"/>
            <w:right w:w="0" w:type="dxa"/>
          </w:tblCellMar>
        </w:tblPrEx>
        <w:trPr>
          <w:trHeight w:val="80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ED684">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74BF3">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铁佛镇浍河货运集散区项目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04567">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463C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2023年5月-2025年12月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71EB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0.70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8F6B5">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建立一座占地约200亩，硬化面积39000平方米的物流集散区及相关办公楼等配套设施。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828F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铁佛镇人民政府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36D51">
            <w:pPr>
              <w:widowControl/>
              <w:jc w:val="center"/>
              <w:textAlignment w:val="center"/>
              <w:rPr>
                <w:rFonts w:hint="default" w:ascii="Times New Roman" w:hAnsi="Times New Roman" w:eastAsia="仿宋_GB2312" w:cs="Times New Roman"/>
                <w:color w:val="000000"/>
                <w:sz w:val="24"/>
                <w:szCs w:val="24"/>
              </w:rPr>
            </w:pPr>
          </w:p>
        </w:tc>
      </w:tr>
      <w:tr w14:paraId="402A7F8D">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5DAD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DC2CF">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铁佛镇茂铺物流园建设项目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C26B0">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BDD6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2023年5月-2025年10月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BF02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0.80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0E893">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地面硬化6000平方米，管理办公区和配套功能区500平方米以及附属工程。节能型机械冷库：根据贮藏规模、自然气候和地质条件等，采用砖混结构或组装式建筑结构，配备机械制冷设备，新建保温隔热性能良好、低温环境适宜的冷库；配备必要的称量、除土、清洗、分级、愈伤、检测、干制、包装、移动式皮带输送、信息采集等设备以及立体式货架，配套设施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7353">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铁佛镇人民政府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F60A1">
            <w:pPr>
              <w:widowControl/>
              <w:jc w:val="center"/>
              <w:textAlignment w:val="center"/>
              <w:rPr>
                <w:rFonts w:hint="default" w:ascii="Times New Roman" w:hAnsi="Times New Roman" w:eastAsia="仿宋_GB2312" w:cs="Times New Roman"/>
                <w:color w:val="000000"/>
                <w:sz w:val="24"/>
                <w:szCs w:val="24"/>
              </w:rPr>
            </w:pPr>
          </w:p>
        </w:tc>
      </w:tr>
      <w:tr w14:paraId="167AFF68">
        <w:tblPrEx>
          <w:tblCellMar>
            <w:top w:w="0" w:type="dxa"/>
            <w:left w:w="0" w:type="dxa"/>
            <w:bottom w:w="0" w:type="dxa"/>
            <w:right w:w="0" w:type="dxa"/>
          </w:tblCellMar>
        </w:tblPrEx>
        <w:trPr>
          <w:trHeight w:val="85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BF600">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CCDD7">
            <w:pPr>
              <w:pStyle w:val="39"/>
              <w:spacing w:line="240" w:lineRule="auto"/>
              <w:ind w:firstLine="0" w:firstLineChars="0"/>
              <w:jc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濉溪县南坪镇临港现代</w:t>
            </w:r>
          </w:p>
          <w:p w14:paraId="3342E6FB">
            <w:pPr>
              <w:pStyle w:val="39"/>
              <w:spacing w:line="240" w:lineRule="auto"/>
              <w:ind w:firstLine="0" w:firstLineChars="0"/>
              <w:jc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物流园建设项目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FA3B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ADCB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2022年10月-2025年12月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34D7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20.00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2A9E1">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园区道路、下水管网，绿化、亮化、农贸商城、综合交易中心、现货交易中心、物流仓储、冷链物流、商场超市、电子商务创意文化园等。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06373">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0833E">
            <w:pPr>
              <w:widowControl/>
              <w:jc w:val="center"/>
              <w:textAlignment w:val="center"/>
              <w:rPr>
                <w:rFonts w:hint="default" w:ascii="Times New Roman" w:hAnsi="Times New Roman" w:eastAsia="仿宋_GB2312" w:cs="Times New Roman"/>
                <w:color w:val="000000"/>
                <w:sz w:val="24"/>
                <w:szCs w:val="24"/>
              </w:rPr>
            </w:pPr>
          </w:p>
        </w:tc>
      </w:tr>
      <w:tr w14:paraId="5A42D39F">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4AE2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03A5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孙疃港建材物流园项目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29EE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孙疃镇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AA77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2023年1月-2025年12月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8C4C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96A67">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占地1000亩，分三期完成。一期项目计划投资0.7亿元，占地约70亩。主要建设物流园写字楼、员工宿舍、客户商务宾馆等，总建筑面积约45000平方米。二期为建材交易集散中心，计划投资4.3亿元，总占地面积约430亩。三期主要为建材成品来料加工存放区，总占地面积约500亩，投资约5亿元。</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6CF12">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孙疃镇人民政府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85533">
            <w:pPr>
              <w:widowControl/>
              <w:jc w:val="center"/>
              <w:textAlignment w:val="center"/>
              <w:rPr>
                <w:rFonts w:hint="default" w:ascii="Times New Roman" w:hAnsi="Times New Roman" w:eastAsia="仿宋_GB2312" w:cs="Times New Roman"/>
                <w:color w:val="000000"/>
                <w:sz w:val="24"/>
                <w:szCs w:val="24"/>
              </w:rPr>
            </w:pPr>
          </w:p>
        </w:tc>
      </w:tr>
      <w:tr w14:paraId="440714F5">
        <w:tblPrEx>
          <w:tblCellMar>
            <w:top w:w="0" w:type="dxa"/>
            <w:left w:w="0" w:type="dxa"/>
            <w:bottom w:w="0" w:type="dxa"/>
            <w:right w:w="0" w:type="dxa"/>
          </w:tblCellMar>
        </w:tblPrEx>
        <w:trPr>
          <w:trHeight w:val="64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3601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r>
              <w:rPr>
                <w:rFonts w:hint="default" w:ascii="Times New Roman" w:hAnsi="Times New Roman" w:eastAsia="仿宋_GB2312" w:cs="Times New Roman"/>
                <w:color w:val="000000"/>
                <w:kern w:val="0"/>
                <w:sz w:val="24"/>
                <w:szCs w:val="24"/>
                <w:lang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80FA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泽源物流项目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EABB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A785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rPr>
              <w:t>2022年5月-2025年5月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CE1A5">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3.00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9AC82">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由国安能源投资建设，进行货物运输、仓储服务和建材、机械设备、零部件的销售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8816B">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AEA91">
            <w:pPr>
              <w:widowControl/>
              <w:jc w:val="center"/>
              <w:textAlignment w:val="center"/>
              <w:rPr>
                <w:rFonts w:hint="default" w:ascii="Times New Roman" w:hAnsi="Times New Roman" w:eastAsia="仿宋_GB2312" w:cs="Times New Roman"/>
                <w:color w:val="000000"/>
                <w:sz w:val="24"/>
                <w:szCs w:val="24"/>
              </w:rPr>
            </w:pPr>
          </w:p>
        </w:tc>
      </w:tr>
      <w:tr w14:paraId="4124252C">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929C6">
            <w:pPr>
              <w:widowControl/>
              <w:jc w:val="center"/>
              <w:textAlignment w:val="center"/>
              <w:rPr>
                <w:rFonts w:hint="default" w:ascii="Times New Roman" w:hAnsi="Times New Roman" w:eastAsia="仿宋_GB2312" w:cs="Times New Roman"/>
                <w:color w:val="000000"/>
                <w:kern w:val="0"/>
                <w:sz w:val="24"/>
                <w:szCs w:val="24"/>
                <w:highlight w:val="none"/>
                <w:lang w:bidi="ar"/>
              </w:rPr>
            </w:pPr>
            <w:r>
              <w:rPr>
                <w:rFonts w:hint="default" w:ascii="Times New Roman" w:hAnsi="Times New Roman" w:eastAsia="仿宋_GB2312" w:cs="Times New Roman"/>
                <w:color w:val="000000"/>
                <w:kern w:val="0"/>
                <w:sz w:val="24"/>
                <w:szCs w:val="24"/>
                <w:highlight w:val="none"/>
                <w:lang w:bidi="ar"/>
              </w:rPr>
              <w:t>1</w:t>
            </w:r>
            <w:r>
              <w:rPr>
                <w:rFonts w:hint="default" w:ascii="Times New Roman" w:hAnsi="Times New Roman" w:eastAsia="仿宋_GB2312" w:cs="Times New Roman"/>
                <w:color w:val="000000"/>
                <w:kern w:val="0"/>
                <w:sz w:val="24"/>
                <w:szCs w:val="24"/>
                <w:highlight w:val="none"/>
                <w:lang w:eastAsia="zh-CN"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A7C24">
            <w:pPr>
              <w:widowControl/>
              <w:jc w:val="center"/>
              <w:textAlignment w:val="cente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t>物流产业园项目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6F324">
            <w:pPr>
              <w:widowControl/>
              <w:jc w:val="center"/>
              <w:textAlignment w:val="center"/>
              <w:rPr>
                <w:rFonts w:hint="default" w:ascii="Times New Roman" w:hAnsi="Times New Roman" w:eastAsia="仿宋_GB2312" w:cs="Times New Roman"/>
                <w:color w:val="000000"/>
                <w:kern w:val="0"/>
                <w:sz w:val="24"/>
                <w:szCs w:val="24"/>
                <w:highlight w:val="none"/>
                <w:lang w:bidi="ar"/>
              </w:rPr>
            </w:pPr>
            <w:r>
              <w:rPr>
                <w:rFonts w:hint="default" w:ascii="Times New Roman" w:hAnsi="Times New Roman" w:eastAsia="仿宋_GB2312" w:cs="Times New Roman"/>
                <w:color w:val="000000"/>
                <w:kern w:val="0"/>
                <w:sz w:val="24"/>
                <w:szCs w:val="24"/>
                <w:highlight w:val="none"/>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6667C">
            <w:pPr>
              <w:widowControl/>
              <w:jc w:val="center"/>
              <w:textAlignment w:val="center"/>
              <w:rPr>
                <w:rFonts w:hint="default" w:ascii="Times New Roman" w:hAnsi="Times New Roman" w:eastAsia="仿宋_GB2312" w:cs="Times New Roman"/>
                <w:color w:val="000000"/>
                <w:kern w:val="0"/>
                <w:sz w:val="24"/>
                <w:szCs w:val="24"/>
                <w:highlight w:val="none"/>
                <w:lang w:bidi="ar"/>
              </w:rPr>
            </w:pPr>
            <w:r>
              <w:rPr>
                <w:rFonts w:hint="default" w:ascii="Times New Roman" w:hAnsi="Times New Roman" w:eastAsia="仿宋_GB2312" w:cs="Times New Roman"/>
                <w:color w:val="000000"/>
                <w:kern w:val="0"/>
                <w:sz w:val="24"/>
                <w:szCs w:val="24"/>
                <w:highlight w:val="none"/>
                <w:lang w:bidi="ar"/>
              </w:rPr>
              <w:t>2022年9月-2024年8月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801D0">
            <w:pPr>
              <w:widowControl/>
              <w:jc w:val="center"/>
              <w:textAlignment w:val="cente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t>3.00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2A0AD">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_GB2312" w:cs="Times New Roman"/>
                <w:color w:val="000000" w:themeColor="text1"/>
                <w:kern w:val="0"/>
                <w:sz w:val="24"/>
                <w:szCs w:val="24"/>
                <w:highlight w:val="none"/>
                <w14:textFill>
                  <w14:solidFill>
                    <w14:schemeClr w14:val="tx1"/>
                  </w14:solidFill>
                </w14:textFill>
              </w:rPr>
              <w:t>占地90亩，建设物流产业园，打造以顺达商贸、恒信物流为主，集仓储物流、贸易及配送的物流集散中心</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67BF6">
            <w:pPr>
              <w:widowControl/>
              <w:jc w:val="center"/>
              <w:textAlignment w:val="center"/>
              <w:rPr>
                <w:rFonts w:hint="default" w:ascii="Times New Roman" w:hAnsi="Times New Roman" w:eastAsia="仿宋_GB2312" w:cs="Times New Roman"/>
                <w:color w:val="000000"/>
                <w:kern w:val="0"/>
                <w:sz w:val="24"/>
                <w:szCs w:val="24"/>
                <w:highlight w:val="none"/>
                <w:lang w:bidi="ar"/>
              </w:rPr>
            </w:pPr>
            <w:r>
              <w:rPr>
                <w:rFonts w:hint="default" w:ascii="Times New Roman" w:hAnsi="Times New Roman" w:eastAsia="仿宋_GB2312" w:cs="Times New Roman"/>
                <w:color w:val="000000"/>
                <w:kern w:val="0"/>
                <w:sz w:val="24"/>
                <w:szCs w:val="24"/>
                <w:highlight w:val="none"/>
                <w:lang w:bidi="ar"/>
              </w:rPr>
              <w:t>濉芜产业园</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412CC">
            <w:pPr>
              <w:widowControl/>
              <w:jc w:val="center"/>
              <w:textAlignment w:val="center"/>
              <w:rPr>
                <w:rFonts w:hint="default" w:ascii="Times New Roman" w:hAnsi="Times New Roman" w:eastAsia="仿宋_GB2312" w:cs="Times New Roman"/>
                <w:color w:val="000000"/>
                <w:kern w:val="0"/>
                <w:sz w:val="24"/>
                <w:szCs w:val="24"/>
                <w:highlight w:val="none"/>
                <w:lang w:bidi="ar"/>
              </w:rPr>
            </w:pPr>
            <w:r>
              <w:rPr>
                <w:rFonts w:hint="default" w:ascii="Times New Roman" w:hAnsi="Times New Roman" w:eastAsia="仿宋_GB2312" w:cs="Times New Roman"/>
                <w:color w:val="000000"/>
                <w:kern w:val="0"/>
                <w:sz w:val="24"/>
                <w:szCs w:val="24"/>
                <w:highlight w:val="none"/>
                <w:lang w:bidi="ar"/>
              </w:rPr>
              <w:t>洽谈</w:t>
            </w:r>
          </w:p>
        </w:tc>
      </w:tr>
      <w:tr w14:paraId="65909298">
        <w:tblPrEx>
          <w:tblCellMar>
            <w:top w:w="0" w:type="dxa"/>
            <w:left w:w="0" w:type="dxa"/>
            <w:bottom w:w="0" w:type="dxa"/>
            <w:right w:w="0" w:type="dxa"/>
          </w:tblCellMar>
        </w:tblPrEx>
        <w:trPr>
          <w:trHeight w:val="17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17A3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r>
              <w:rPr>
                <w:rFonts w:hint="default" w:ascii="Times New Roman" w:hAnsi="Times New Roman" w:eastAsia="仿宋_GB2312" w:cs="Times New Roman"/>
                <w:color w:val="000000"/>
                <w:kern w:val="0"/>
                <w:sz w:val="24"/>
                <w:szCs w:val="24"/>
                <w:lang w:eastAsia="zh-CN" w:bidi="ar"/>
              </w:rPr>
              <w:t>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0185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孙疃镇冷链物流园项目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A4AB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孙疃镇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0137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2023年1月-2025年12月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7EB5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8F2DE">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位于宿涡路及尤沟村东大李三岔路口东，占地600亩，园区道路硬化、下水道、路面绿化、亮化、电力设施等基础配套，将众多冷链物流企业聚集在一起，实行专业化和规模化经营，作为城市物流功能区，物流园区包括物流中心、配送中心、运输枢纽设施、运输组织及管理中心和物流信息中心，以及适应城市物流管理与运作需要的物流基础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55AF0">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孙疃镇人民政府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C61E8">
            <w:pPr>
              <w:widowControl/>
              <w:jc w:val="center"/>
              <w:textAlignment w:val="center"/>
              <w:rPr>
                <w:rFonts w:hint="default" w:ascii="Times New Roman" w:hAnsi="Times New Roman" w:eastAsia="仿宋_GB2312" w:cs="Times New Roman"/>
                <w:color w:val="000000"/>
                <w:sz w:val="24"/>
                <w:szCs w:val="24"/>
              </w:rPr>
            </w:pPr>
          </w:p>
        </w:tc>
      </w:tr>
      <w:tr w14:paraId="6C5F9187">
        <w:tblPrEx>
          <w:tblCellMar>
            <w:top w:w="0" w:type="dxa"/>
            <w:left w:w="0" w:type="dxa"/>
            <w:bottom w:w="0" w:type="dxa"/>
            <w:right w:w="0" w:type="dxa"/>
          </w:tblCellMar>
        </w:tblPrEx>
        <w:trPr>
          <w:trHeight w:val="176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B007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r>
              <w:rPr>
                <w:rFonts w:hint="default" w:ascii="Times New Roman" w:hAnsi="Times New Roman" w:eastAsia="仿宋_GB2312" w:cs="Times New Roman"/>
                <w:color w:val="000000"/>
                <w:kern w:val="0"/>
                <w:sz w:val="24"/>
                <w:szCs w:val="24"/>
                <w:lang w:eastAsia="zh-CN" w:bidi="ar"/>
              </w:rPr>
              <w:t>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85104">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濉溪县电子商务产业园（淮海壹号）二期</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6A8C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2ED61">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2022年9月-2023年9月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6ABF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186E3">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规划建设濉溪数字经济产业园，拟打造以电商产业、信息科技、现代服务、健康养老、科研教育、文化创意等为主的现代服务业集聚区二期。</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DDE6D">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EB826">
            <w:pPr>
              <w:widowControl/>
              <w:jc w:val="center"/>
              <w:textAlignment w:val="center"/>
              <w:rPr>
                <w:rFonts w:hint="default" w:ascii="Times New Roman" w:hAnsi="Times New Roman" w:eastAsia="仿宋_GB2312" w:cs="Times New Roman"/>
                <w:color w:val="000000"/>
                <w:sz w:val="24"/>
                <w:szCs w:val="24"/>
              </w:rPr>
            </w:pPr>
          </w:p>
        </w:tc>
      </w:tr>
      <w:tr w14:paraId="4CBEF3EF">
        <w:tblPrEx>
          <w:tblCellMar>
            <w:top w:w="0" w:type="dxa"/>
            <w:left w:w="0" w:type="dxa"/>
            <w:bottom w:w="0" w:type="dxa"/>
            <w:right w:w="0" w:type="dxa"/>
          </w:tblCellMar>
        </w:tblPrEx>
        <w:trPr>
          <w:trHeight w:val="195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9B9C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r>
              <w:rPr>
                <w:rFonts w:hint="default" w:ascii="Times New Roman" w:hAnsi="Times New Roman" w:eastAsia="仿宋_GB2312" w:cs="Times New Roman"/>
                <w:color w:val="000000"/>
                <w:kern w:val="0"/>
                <w:sz w:val="24"/>
                <w:szCs w:val="24"/>
                <w:lang w:eastAsia="zh-CN" w:bidi="ar"/>
              </w:rPr>
              <w:t>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41E0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综合保税区建设项目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F9C7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ECA6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2023年2月-2024年12月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A960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A028F">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建设2.5平方公里保税加工、保税物流、保税服务等设施建设，并拓展研发、维修、检测、商品展示、国际中转、国际采购、跨境电子商务等业务，重点打造特色加工制造基地、高新技术产品研发生产基地、保税物流基地</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1676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县商务局</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D6CD9">
            <w:pPr>
              <w:widowControl/>
              <w:jc w:val="center"/>
              <w:textAlignment w:val="center"/>
              <w:rPr>
                <w:rFonts w:hint="default" w:ascii="Times New Roman" w:hAnsi="Times New Roman" w:eastAsia="仿宋_GB2312" w:cs="Times New Roman"/>
                <w:color w:val="000000"/>
                <w:sz w:val="24"/>
                <w:szCs w:val="24"/>
              </w:rPr>
            </w:pPr>
          </w:p>
        </w:tc>
      </w:tr>
      <w:tr w14:paraId="73BC0E02">
        <w:tblPrEx>
          <w:tblCellMar>
            <w:top w:w="0" w:type="dxa"/>
            <w:left w:w="0" w:type="dxa"/>
            <w:bottom w:w="0" w:type="dxa"/>
            <w:right w:w="0" w:type="dxa"/>
          </w:tblCellMar>
        </w:tblPrEx>
        <w:trPr>
          <w:trHeight w:val="309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EBA6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w:t>
            </w:r>
            <w:r>
              <w:rPr>
                <w:rFonts w:hint="default" w:ascii="Times New Roman" w:hAnsi="Times New Roman" w:eastAsia="仿宋_GB2312" w:cs="Times New Roman"/>
                <w:color w:val="000000"/>
                <w:kern w:val="0"/>
                <w:sz w:val="24"/>
                <w:szCs w:val="24"/>
                <w:lang w:eastAsia="zh-CN" w:bidi="ar"/>
              </w:rPr>
              <w:t>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9AD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濉芜现代产业园双创孵化园</w:t>
            </w:r>
            <w:r>
              <w:rPr>
                <w:rFonts w:hint="default" w:ascii="Times New Roman" w:hAnsi="Times New Roman" w:eastAsia="仿宋_GB2312" w:cs="Times New Roman"/>
                <w:color w:val="000000" w:themeColor="text1"/>
                <w:kern w:val="0"/>
                <w:sz w:val="24"/>
                <w:szCs w:val="24"/>
                <w14:textFill>
                  <w14:solidFill>
                    <w14:schemeClr w14:val="tx1"/>
                  </w14:solidFill>
                </w14:textFill>
              </w:rPr>
              <w:t>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DA23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D174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2020年7月-2024年12月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307A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31.60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70A78">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主要建设一、综合服务中心建设项目，占地107亩，建设双创孵化园综合服务中心，总建筑面积12.5万平方米；二、氢能源产业园及配套建设项目。占地1800亩，建设标准化厂房115万平方米，主要包括仓储中心、生产、展示交易中心等三大功能区;三、生态及交通提升建设项目，建设3条人工渠道连接巴河及沱河，建设提升泵站，采购100辆氢能源公交车辆。</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56781">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濉芜产业园</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4CFF7">
            <w:pPr>
              <w:widowControl/>
              <w:jc w:val="center"/>
              <w:textAlignment w:val="center"/>
              <w:rPr>
                <w:rFonts w:hint="default" w:ascii="Times New Roman" w:hAnsi="Times New Roman" w:eastAsia="仿宋_GB2312" w:cs="Times New Roman"/>
                <w:color w:val="000000"/>
                <w:sz w:val="24"/>
                <w:szCs w:val="24"/>
              </w:rPr>
            </w:pPr>
          </w:p>
        </w:tc>
      </w:tr>
      <w:tr w14:paraId="272A91A8">
        <w:tblPrEx>
          <w:tblCellMar>
            <w:top w:w="0" w:type="dxa"/>
            <w:left w:w="0" w:type="dxa"/>
            <w:bottom w:w="0" w:type="dxa"/>
            <w:right w:w="0" w:type="dxa"/>
          </w:tblCellMar>
        </w:tblPrEx>
        <w:trPr>
          <w:trHeight w:val="1682"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8C86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1</w:t>
            </w:r>
            <w:r>
              <w:rPr>
                <w:rFonts w:hint="default" w:ascii="Times New Roman" w:hAnsi="Times New Roman" w:eastAsia="仿宋_GB2312" w:cs="Times New Roman"/>
                <w:color w:val="000000"/>
                <w:kern w:val="0"/>
                <w:sz w:val="24"/>
                <w:szCs w:val="24"/>
                <w:lang w:val="en-US" w:eastAsia="zh-CN" w:bidi="ar"/>
              </w:rPr>
              <w:t>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97050">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新型金属铝材料公共服务平台项目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F824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0088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rPr>
              <w:t>2021年11月-2023年11月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4DF6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5.60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0D0C7">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占地约144亩，总建筑面积约10万平方米，包含院士工作站、铝产业研发中心、国家级铝制品检测中心、产业孵化期、众创空间、会展中心、科创中心及其他相关配套设施。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961D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66F22">
            <w:pPr>
              <w:widowControl/>
              <w:jc w:val="center"/>
              <w:textAlignment w:val="center"/>
              <w:rPr>
                <w:rFonts w:hint="default" w:ascii="Times New Roman" w:hAnsi="Times New Roman" w:eastAsia="仿宋_GB2312" w:cs="Times New Roman"/>
                <w:color w:val="000000"/>
                <w:sz w:val="24"/>
                <w:szCs w:val="24"/>
              </w:rPr>
            </w:pPr>
          </w:p>
        </w:tc>
      </w:tr>
      <w:tr w14:paraId="30CD4B5E">
        <w:tblPrEx>
          <w:tblCellMar>
            <w:top w:w="0" w:type="dxa"/>
            <w:left w:w="0" w:type="dxa"/>
            <w:bottom w:w="0" w:type="dxa"/>
            <w:right w:w="0" w:type="dxa"/>
          </w:tblCellMar>
        </w:tblPrEx>
        <w:trPr>
          <w:trHeight w:val="143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B145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93EF4">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企业安全培训基地项目(应急安全城）</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E6E5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45F8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rPr>
              <w:t>2021年11月-2023年6月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FD28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3.00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739E8">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占地约76亩。总建筑面积约3万平方米，包含应急体验馆、应急指挥中心、应急物资储备库以及其他相关配套设施。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66662">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96C5A">
            <w:pPr>
              <w:widowControl/>
              <w:jc w:val="center"/>
              <w:textAlignment w:val="center"/>
              <w:rPr>
                <w:rFonts w:hint="default" w:ascii="Times New Roman" w:hAnsi="Times New Roman" w:eastAsia="仿宋_GB2312" w:cs="Times New Roman"/>
                <w:color w:val="000000"/>
                <w:sz w:val="24"/>
                <w:szCs w:val="24"/>
              </w:rPr>
            </w:pPr>
          </w:p>
        </w:tc>
      </w:tr>
      <w:tr w14:paraId="0490E041">
        <w:tblPrEx>
          <w:tblCellMar>
            <w:top w:w="0" w:type="dxa"/>
            <w:left w:w="0" w:type="dxa"/>
            <w:bottom w:w="0" w:type="dxa"/>
            <w:right w:w="0" w:type="dxa"/>
          </w:tblCellMar>
        </w:tblPrEx>
        <w:trPr>
          <w:trHeight w:val="145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3FF2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F404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知俐科技创新产业园项目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70A66">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E3574">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2022</w:t>
            </w:r>
            <w:r>
              <w:rPr>
                <w:rFonts w:hint="default" w:ascii="Times New Roman" w:hAnsi="Times New Roman" w:eastAsia="仿宋_GB2312" w:cs="Times New Roman"/>
                <w:color w:val="000000"/>
                <w:kern w:val="0"/>
                <w:sz w:val="24"/>
                <w:szCs w:val="24"/>
                <w:lang w:bidi="ar"/>
              </w:rPr>
              <w:t>年</w:t>
            </w:r>
            <w:r>
              <w:rPr>
                <w:rFonts w:hint="default" w:ascii="Times New Roman" w:hAnsi="Times New Roman" w:eastAsia="仿宋_GB2312" w:cs="Times New Roman"/>
                <w:color w:val="000000"/>
                <w:kern w:val="0"/>
                <w:sz w:val="24"/>
                <w:szCs w:val="24"/>
              </w:rPr>
              <w:t>9月-2023</w:t>
            </w:r>
            <w:r>
              <w:rPr>
                <w:rFonts w:hint="default" w:ascii="Times New Roman" w:hAnsi="Times New Roman" w:eastAsia="仿宋_GB2312" w:cs="Times New Roman"/>
                <w:color w:val="000000"/>
                <w:kern w:val="0"/>
                <w:sz w:val="24"/>
                <w:szCs w:val="24"/>
                <w:lang w:bidi="ar"/>
              </w:rPr>
              <w:t>年</w:t>
            </w:r>
            <w:r>
              <w:rPr>
                <w:rFonts w:hint="default" w:ascii="Times New Roman" w:hAnsi="Times New Roman" w:eastAsia="仿宋_GB2312" w:cs="Times New Roman"/>
                <w:color w:val="000000"/>
                <w:kern w:val="0"/>
                <w:sz w:val="24"/>
                <w:szCs w:val="24"/>
              </w:rPr>
              <w:t>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3D7E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1.06</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9E4B1">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科创孵化器，目前拟入驻淮北维迪亚斯电子科技有限公司、淮北市速讯电子科技有限公司、安徽极讯自动化仪表有限公司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3B245">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51967">
            <w:pPr>
              <w:widowControl/>
              <w:jc w:val="center"/>
              <w:textAlignment w:val="center"/>
              <w:rPr>
                <w:rFonts w:hint="default" w:ascii="Times New Roman" w:hAnsi="Times New Roman" w:eastAsia="仿宋_GB2312" w:cs="Times New Roman"/>
                <w:color w:val="000000"/>
                <w:sz w:val="24"/>
                <w:szCs w:val="24"/>
              </w:rPr>
            </w:pPr>
          </w:p>
        </w:tc>
      </w:tr>
      <w:tr w14:paraId="09DC17F1">
        <w:tblPrEx>
          <w:tblCellMar>
            <w:top w:w="0" w:type="dxa"/>
            <w:left w:w="0" w:type="dxa"/>
            <w:bottom w:w="0" w:type="dxa"/>
            <w:right w:w="0" w:type="dxa"/>
          </w:tblCellMar>
        </w:tblPrEx>
        <w:trPr>
          <w:trHeight w:val="1258"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A1FF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4D953">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濉溪镇失地农民创业园项目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15C1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CA62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2022年12月-2025年12月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5F2DC">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D1667">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占地面积约500亩，建设标准化工业厂房4万平方米，以及园区路网、地下管网等配套工程，以及承载乾隆湖园区的搬迁安置。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3DC6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r>
              <w:rPr>
                <w:rFonts w:hint="default" w:ascii="Times New Roman" w:hAnsi="Times New Roman" w:eastAsia="仿宋_GB2312" w:cs="Times New Roman"/>
                <w:color w:val="000000"/>
                <w:sz w:val="24"/>
                <w:szCs w:val="24"/>
              </w:rPr>
              <w:t>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DE2C1">
            <w:pPr>
              <w:widowControl/>
              <w:jc w:val="center"/>
              <w:textAlignment w:val="center"/>
              <w:rPr>
                <w:rFonts w:hint="default" w:ascii="Times New Roman" w:hAnsi="Times New Roman" w:eastAsia="仿宋_GB2312" w:cs="Times New Roman"/>
                <w:color w:val="000000"/>
                <w:sz w:val="24"/>
                <w:szCs w:val="24"/>
              </w:rPr>
            </w:pPr>
          </w:p>
        </w:tc>
      </w:tr>
      <w:tr w14:paraId="3E8C4FCF">
        <w:tblPrEx>
          <w:tblCellMar>
            <w:top w:w="0" w:type="dxa"/>
            <w:left w:w="0" w:type="dxa"/>
            <w:bottom w:w="0" w:type="dxa"/>
            <w:right w:w="0" w:type="dxa"/>
          </w:tblCellMar>
        </w:tblPrEx>
        <w:trPr>
          <w:trHeight w:val="1194"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DF1F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A55CE">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汽车零部件综合提升工程项目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6F25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94CC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2024年3月-2025年12月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D866D">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9442B">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利用商贸基础现有办公楼，建设集园区汽车零部件研发中心、物流配套、公共服务及自主知识产权提升工程于一体的孵化基地。</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A4C6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5D58F">
            <w:pPr>
              <w:widowControl/>
              <w:jc w:val="center"/>
              <w:textAlignment w:val="center"/>
              <w:rPr>
                <w:rFonts w:hint="default" w:ascii="Times New Roman" w:hAnsi="Times New Roman" w:eastAsia="仿宋_GB2312" w:cs="Times New Roman"/>
                <w:color w:val="000000"/>
                <w:sz w:val="24"/>
                <w:szCs w:val="24"/>
              </w:rPr>
            </w:pPr>
          </w:p>
        </w:tc>
      </w:tr>
      <w:tr w14:paraId="63056385">
        <w:tblPrEx>
          <w:tblCellMar>
            <w:top w:w="0" w:type="dxa"/>
            <w:left w:w="0" w:type="dxa"/>
            <w:bottom w:w="0" w:type="dxa"/>
            <w:right w:w="0" w:type="dxa"/>
          </w:tblCellMar>
        </w:tblPrEx>
        <w:trPr>
          <w:trHeight w:val="7782"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9363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81AFB">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濉溪县城市智慧超脑运营中心项目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027B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南部次中心</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6997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kern w:val="0"/>
                <w:sz w:val="24"/>
                <w:szCs w:val="24"/>
                <w:lang w:bidi="ar"/>
              </w:rPr>
              <w:t>2022年10月-2027年2月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764DC">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6.00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CE656">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基础设施部分，濉溪县城市智慧超脑运营中心项目场地使用土地面积约30亩，包括云数据中心，运营指挥中心、智慧政务服务中心，城市大脑展示中心；（2）城市大脑部分，濉溪县城市智慧超脑运营中心中城市大脑建设内容主要包括：数据中台、智慧中枢、业务中台、数字孪生城市，通过数据中台实现全县数据采集、治理、共享交换、可视化等；通过智慧中枢实现视频、图像、语音、NLP等能力的总集合，为智慧超脑提供能力服务；业务中台实现全县协同类场景事件协同处置能力；数字孪生城市实现濉溪县现实世界向虚拟事件精准映射的过程，同时依托数字孪生平台的建设，实现数字化操作界面，方便业务人员精准聚焦事件，领导决策方面更加精准；（3）场景应用部分，濉溪县城市智慧超脑运营中心N个场景应用主要包括：城市治理场景、社区治理场景、环境保护场景、民生服务场景、宏观决策场景等；通过城市大脑中数据能力、AI能力、数字孪生能力等实现城市运营过程中遇到的各类问题，总结成为具体的业务场景；（4）行业应用部分，濉溪县城市智慧超脑运营中心X个行业应用主要包括：智慧政务、智慧城管、智慧警务、智慧交通、智慧司法、智慧教育、智慧园区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F6359">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濉溪县数据资源管理局</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5CEDA">
            <w:pPr>
              <w:widowControl/>
              <w:jc w:val="center"/>
              <w:textAlignment w:val="center"/>
              <w:rPr>
                <w:rFonts w:hint="default" w:ascii="Times New Roman" w:hAnsi="Times New Roman" w:eastAsia="仿宋_GB2312" w:cs="Times New Roman"/>
                <w:color w:val="000000"/>
                <w:sz w:val="24"/>
                <w:szCs w:val="24"/>
              </w:rPr>
            </w:pPr>
          </w:p>
        </w:tc>
      </w:tr>
      <w:tr w14:paraId="16DC27CF">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AA19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BE86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濉溪县大数据产业投资有限责任公司项目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87FB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南部次中心</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0C04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2022年6月-2023年5月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71DC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5.00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DF7C1">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成立濉溪数投公司，构建以数据价值化为基础、数字产业化和产业数字化为核心、数字化治理为保障的协同发展生态，建设超大规模存储和超大规模计算的数字中心，重点围绕数字经济产业“建、投、扶”三个方面持续发力，完善数字经济产业链。</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CC11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濉溪县数据资源管理局</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3076D">
            <w:pPr>
              <w:widowControl/>
              <w:jc w:val="center"/>
              <w:textAlignment w:val="center"/>
              <w:rPr>
                <w:rFonts w:hint="default" w:ascii="Times New Roman" w:hAnsi="Times New Roman" w:eastAsia="仿宋_GB2312" w:cs="Times New Roman"/>
                <w:color w:val="000000"/>
                <w:sz w:val="24"/>
                <w:szCs w:val="24"/>
              </w:rPr>
            </w:pPr>
          </w:p>
        </w:tc>
      </w:tr>
      <w:tr w14:paraId="70D07F94">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B986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8D4F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猎鹰人力资源产业园项目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D28D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A14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2021年6月-2022年6月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0A1E0">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0.20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E5FAB">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5年营业收入不低于42亿元企业管理顾问服务</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A694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濉芜产业园</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CB9B7">
            <w:pPr>
              <w:widowControl/>
              <w:jc w:val="center"/>
              <w:textAlignment w:val="center"/>
              <w:rPr>
                <w:rFonts w:hint="default" w:ascii="Times New Roman" w:hAnsi="Times New Roman" w:eastAsia="仿宋_GB2312" w:cs="Times New Roman"/>
                <w:color w:val="000000"/>
                <w:kern w:val="0"/>
                <w:sz w:val="24"/>
                <w:szCs w:val="24"/>
                <w:lang w:bidi="ar"/>
              </w:rPr>
            </w:pPr>
          </w:p>
        </w:tc>
      </w:tr>
      <w:tr w14:paraId="1FC8097B">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2FB2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84F85">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国才人力资源服务项目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047E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2328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2022年5月-2023年6月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18B37">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781AE">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占地10亩，投资2000万元，建设人力资源服务项目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B863">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濉芜产业园</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4CF87">
            <w:pPr>
              <w:widowControl/>
              <w:jc w:val="center"/>
              <w:textAlignment w:val="center"/>
              <w:rPr>
                <w:rFonts w:hint="default" w:ascii="Times New Roman" w:hAnsi="Times New Roman" w:eastAsia="仿宋_GB2312" w:cs="Times New Roman"/>
                <w:color w:val="000000"/>
                <w:kern w:val="0"/>
                <w:sz w:val="24"/>
                <w:szCs w:val="24"/>
                <w:lang w:bidi="ar"/>
              </w:rPr>
            </w:pPr>
          </w:p>
        </w:tc>
      </w:tr>
      <w:tr w14:paraId="1683306F">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F805E">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w:t>
            </w:r>
            <w:r>
              <w:rPr>
                <w:rFonts w:hint="default" w:ascii="Times New Roman" w:hAnsi="Times New Roman" w:eastAsia="仿宋_GB2312" w:cs="Times New Roman"/>
                <w:color w:val="000000"/>
                <w:kern w:val="0"/>
                <w:sz w:val="24"/>
                <w:szCs w:val="24"/>
                <w:lang w:eastAsia="zh-CN" w:bidi="ar"/>
              </w:rPr>
              <w:t>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85F55">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濉溪县口子中等专业学校</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C46D9">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color w:val="000000"/>
                <w:kern w:val="0"/>
                <w:sz w:val="24"/>
                <w:szCs w:val="24"/>
                <w:lang w:bidi="ar"/>
              </w:rPr>
              <w:t>濉芜产业园</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C3F2C">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color w:val="000000"/>
                <w:kern w:val="0"/>
                <w:sz w:val="24"/>
                <w:szCs w:val="24"/>
                <w:lang w:val="en-US" w:eastAsia="zh-CN" w:bidi="ar"/>
              </w:rPr>
              <w:t>2022年3月-2023年8月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9D129">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lang w:val="en-US" w:eastAsia="zh-CN" w:bidi="ar"/>
              </w:rPr>
              <w:t>1.50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CCF59">
            <w:pPr>
              <w:widowControl/>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lang w:eastAsia="zh-CN" w:bidi="ar"/>
              </w:rPr>
              <w:t>项目占地共计</w:t>
            </w:r>
            <w:r>
              <w:rPr>
                <w:rFonts w:hint="default" w:ascii="Times New Roman" w:hAnsi="Times New Roman" w:eastAsia="仿宋_GB2312" w:cs="Times New Roman"/>
                <w:color w:val="000000"/>
                <w:kern w:val="0"/>
                <w:sz w:val="24"/>
                <w:szCs w:val="24"/>
                <w:lang w:val="en-US" w:eastAsia="zh-CN" w:bidi="ar"/>
              </w:rPr>
              <w:t>308.71亩，建筑面积9.9万平方米，建设项目包括</w:t>
            </w:r>
            <w:r>
              <w:rPr>
                <w:rFonts w:hint="default" w:ascii="Times New Roman" w:hAnsi="Times New Roman" w:eastAsia="仿宋_GB2312" w:cs="Times New Roman"/>
                <w:color w:val="000000"/>
                <w:kern w:val="0"/>
                <w:sz w:val="24"/>
                <w:szCs w:val="24"/>
                <w:lang w:eastAsia="zh-CN" w:bidi="ar"/>
              </w:rPr>
              <w:t>装修老校区、建设食堂、宿舍、装修教学楼、实验办公楼、实训大楼等。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FE677">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themeColor="text1"/>
                <w:kern w:val="0"/>
                <w:sz w:val="24"/>
                <w:szCs w:val="24"/>
                <w:lang w:eastAsia="zh-CN"/>
                <w14:textFill>
                  <w14:solidFill>
                    <w14:schemeClr w14:val="tx1"/>
                  </w14:solidFill>
                </w14:textFill>
              </w:rPr>
              <w:t>县教育局</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778D0">
            <w:pPr>
              <w:widowControl/>
              <w:jc w:val="center"/>
              <w:textAlignment w:val="center"/>
              <w:rPr>
                <w:rFonts w:hint="default" w:ascii="Times New Roman" w:hAnsi="Times New Roman" w:eastAsia="仿宋_GB2312" w:cs="Times New Roman"/>
                <w:color w:val="000000"/>
                <w:kern w:val="0"/>
                <w:sz w:val="24"/>
                <w:szCs w:val="24"/>
                <w:lang w:bidi="ar"/>
              </w:rPr>
            </w:pPr>
          </w:p>
        </w:tc>
      </w:tr>
      <w:tr w14:paraId="12293623">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9C4D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2</w:t>
            </w:r>
            <w:r>
              <w:rPr>
                <w:rFonts w:hint="default" w:ascii="Times New Roman" w:hAnsi="Times New Roman" w:eastAsia="仿宋_GB2312" w:cs="Times New Roman"/>
                <w:color w:val="000000"/>
                <w:kern w:val="0"/>
                <w:sz w:val="24"/>
                <w:szCs w:val="24"/>
                <w:lang w:val="en-US" w:eastAsia="zh-CN" w:bidi="ar"/>
              </w:rPr>
              <w:t>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8C9B5">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濉溪县凤栖湖湿地生态保护(采煤沉陷区生态保护)项目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9E69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刘桥镇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41B6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2019年2月至2022年10月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B00E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2.10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C0B95">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湿地恢复与保护工程总规划用地约12100亩（含水体）；交通工程总规划用地约420亩，主要建设内容包括环湖路、游步道、湿地栈道、码头、桥梁等。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9DC3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刘桥镇</w:t>
            </w:r>
            <w:r>
              <w:rPr>
                <w:rFonts w:hint="default" w:ascii="Times New Roman" w:hAnsi="Times New Roman" w:eastAsia="仿宋_GB2312" w:cs="Times New Roman"/>
                <w:color w:val="000000"/>
                <w:sz w:val="24"/>
                <w:szCs w:val="24"/>
              </w:rPr>
              <w:t>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F0943">
            <w:pPr>
              <w:widowControl/>
              <w:jc w:val="center"/>
              <w:textAlignment w:val="center"/>
              <w:rPr>
                <w:rFonts w:hint="default" w:ascii="Times New Roman" w:hAnsi="Times New Roman" w:eastAsia="仿宋_GB2312" w:cs="Times New Roman"/>
                <w:color w:val="000000"/>
                <w:sz w:val="24"/>
                <w:szCs w:val="24"/>
              </w:rPr>
            </w:pPr>
          </w:p>
        </w:tc>
      </w:tr>
      <w:tr w14:paraId="5BA1ED88">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55A5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E8A69">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安徽淮北濉溪县老城石板街历史街区保护与更新项目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AFF6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A130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2020年1月-2023年6月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1493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5.72</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C9630">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修复老城石板街长1000米，沿街门面400多间恢复旧时景象和重要景点十处，建设博物馆、公园以及基础配套设施等。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B4B">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eastAsia="zh-CN" w:bidi="ar"/>
              </w:rPr>
              <w:t>县</w:t>
            </w:r>
            <w:r>
              <w:rPr>
                <w:rFonts w:hint="default" w:ascii="Times New Roman" w:hAnsi="Times New Roman" w:eastAsia="仿宋_GB2312" w:cs="Times New Roman"/>
                <w:color w:val="000000"/>
                <w:kern w:val="0"/>
                <w:sz w:val="24"/>
                <w:szCs w:val="24"/>
                <w:lang w:bidi="ar"/>
              </w:rPr>
              <w:t>建投集团</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59E6E">
            <w:pPr>
              <w:widowControl/>
              <w:jc w:val="center"/>
              <w:textAlignment w:val="center"/>
              <w:rPr>
                <w:rFonts w:hint="default" w:ascii="Times New Roman" w:hAnsi="Times New Roman" w:eastAsia="仿宋_GB2312" w:cs="Times New Roman"/>
                <w:color w:val="000000"/>
                <w:sz w:val="24"/>
                <w:szCs w:val="24"/>
              </w:rPr>
            </w:pPr>
          </w:p>
        </w:tc>
      </w:tr>
      <w:tr w14:paraId="18836519">
        <w:tblPrEx>
          <w:tblCellMar>
            <w:top w:w="0" w:type="dxa"/>
            <w:left w:w="0" w:type="dxa"/>
            <w:bottom w:w="0" w:type="dxa"/>
            <w:right w:w="0" w:type="dxa"/>
          </w:tblCellMar>
        </w:tblPrEx>
        <w:trPr>
          <w:trHeight w:val="55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FE98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1E0C8">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淮海战役双堆集战场遗址旅游发展项目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25D2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双堆集镇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2F55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2021年-2023年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D14C9">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21.22</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1EF5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开发建设淮海战役双堆集战场红色旅游资源，打造5A级红色旅游及爱国主义教育基地。</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5440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双堆集镇</w:t>
            </w:r>
            <w:r>
              <w:rPr>
                <w:rFonts w:hint="default" w:ascii="Times New Roman" w:hAnsi="Times New Roman" w:eastAsia="仿宋_GB2312" w:cs="Times New Roman"/>
                <w:color w:val="000000"/>
                <w:sz w:val="24"/>
                <w:szCs w:val="24"/>
              </w:rPr>
              <w:t>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B771A">
            <w:pPr>
              <w:widowControl/>
              <w:jc w:val="center"/>
              <w:textAlignment w:val="center"/>
              <w:rPr>
                <w:rFonts w:hint="default" w:ascii="Times New Roman" w:hAnsi="Times New Roman" w:eastAsia="仿宋_GB2312" w:cs="Times New Roman"/>
                <w:color w:val="000000"/>
                <w:sz w:val="24"/>
                <w:szCs w:val="24"/>
              </w:rPr>
            </w:pPr>
          </w:p>
        </w:tc>
      </w:tr>
      <w:tr w14:paraId="2EBC72EF">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E4E4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6130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临涣文化旅游休闲街区项目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A3E54">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D76D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2021年8月—2022年10月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33B3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0.14</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9942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建设蹇叔墓（石板街）、老街、南阁街三条街区石板街、社区便民商圈、特色文化旅游购物场所及消费聚集区配套基础</w:t>
            </w: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设</w:t>
            </w:r>
            <w:r>
              <w:rPr>
                <w:rFonts w:hint="default" w:ascii="Times New Roman" w:hAnsi="Times New Roman" w:eastAsia="仿宋_GB2312" w:cs="Times New Roman"/>
                <w:color w:val="000000" w:themeColor="text1"/>
                <w:kern w:val="0"/>
                <w:sz w:val="24"/>
                <w:szCs w:val="24"/>
                <w14:textFill>
                  <w14:solidFill>
                    <w14:schemeClr w14:val="tx1"/>
                  </w14:solidFill>
                </w14:textFill>
              </w:rPr>
              <w:t>施建设。</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7AF08">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0990B">
            <w:pPr>
              <w:widowControl/>
              <w:jc w:val="center"/>
              <w:textAlignment w:val="center"/>
              <w:rPr>
                <w:rFonts w:hint="default" w:ascii="Times New Roman" w:hAnsi="Times New Roman" w:eastAsia="仿宋_GB2312" w:cs="Times New Roman"/>
                <w:color w:val="000000"/>
                <w:sz w:val="24"/>
                <w:szCs w:val="24"/>
              </w:rPr>
            </w:pPr>
          </w:p>
        </w:tc>
      </w:tr>
      <w:tr w14:paraId="0E1DCFE5">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728A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9DE30">
            <w:pPr>
              <w:pStyle w:val="39"/>
              <w:spacing w:line="240" w:lineRule="auto"/>
              <w:ind w:firstLine="0" w:firstLineChars="0"/>
              <w:jc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临涣古镇保护与展示及基础设施提升项目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6292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6788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2021年8月—2024年12月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AB59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22.60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12793">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古镇道路及配套工程、古镇旅游基础设施及配套项目、临涣古城墙保护与环境提升项目、古镇四大名泉保护与利用项目、古镇研学游乐体验项目、古镇游客服务设施建设项目、古镇遗存保护与展示项目。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02114">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临涣镇人民政府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E8D2B">
            <w:pPr>
              <w:widowControl/>
              <w:jc w:val="center"/>
              <w:textAlignment w:val="center"/>
              <w:rPr>
                <w:rFonts w:hint="default" w:ascii="Times New Roman" w:hAnsi="Times New Roman" w:eastAsia="仿宋_GB2312" w:cs="Times New Roman"/>
                <w:color w:val="000000"/>
                <w:sz w:val="24"/>
                <w:szCs w:val="24"/>
              </w:rPr>
            </w:pPr>
          </w:p>
        </w:tc>
      </w:tr>
      <w:tr w14:paraId="50890869">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55A1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B3101">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濉溪县铁佛镇文化旅游环境综合治理项目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8939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FB10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2022年1月-2025年8月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9E58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1.85</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B801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邹楼村银杏树开发环境综合治理项目、古汉墓国保单位周边环境综合治理项目、卧龙湖人民公社文化旅游周边环境综合提升项目、铁佛寺周边环境综合治理项目及崔楼村农民文化园综合开发项目。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155F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铁佛镇人民政府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5D7C4">
            <w:pPr>
              <w:widowControl/>
              <w:jc w:val="center"/>
              <w:textAlignment w:val="center"/>
              <w:rPr>
                <w:rFonts w:hint="default" w:ascii="Times New Roman" w:hAnsi="Times New Roman" w:eastAsia="仿宋_GB2312" w:cs="Times New Roman"/>
                <w:color w:val="000000"/>
                <w:sz w:val="24"/>
                <w:szCs w:val="24"/>
              </w:rPr>
            </w:pPr>
          </w:p>
        </w:tc>
      </w:tr>
      <w:tr w14:paraId="66E4D56C">
        <w:tblPrEx>
          <w:tblCellMar>
            <w:top w:w="0" w:type="dxa"/>
            <w:left w:w="0" w:type="dxa"/>
            <w:bottom w:w="0" w:type="dxa"/>
            <w:right w:w="0" w:type="dxa"/>
          </w:tblCellMar>
        </w:tblPrEx>
        <w:trPr>
          <w:trHeight w:val="25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88B2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A2E1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color w:val="000000"/>
                <w:kern w:val="0"/>
                <w:sz w:val="24"/>
                <w:szCs w:val="24"/>
                <w:lang w:bidi="ar"/>
              </w:rPr>
              <w:t xml:space="preserve">濉溪县百善特色旅游微型产业集聚区  </w:t>
            </w:r>
            <w:r>
              <w:rPr>
                <w:rFonts w:hint="default" w:ascii="Times New Roman" w:hAnsi="Times New Roman" w:eastAsia="仿宋_GB2312" w:cs="Times New Roman"/>
                <w:sz w:val="24"/>
                <w:szCs w:val="24"/>
              </w:rPr>
              <w:t xml:space="preserve">             </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07FA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百善镇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19CB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2021年5月-2024年10月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12010">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24.79</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E0B1B">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总建设用地：3183亩 已利用土地：2128亩。柳孜大运河遗址博物馆、大运河瓷器展览馆、柳孜文化村、小镇客厅、运河花海、运河冰雕馆、运河航天博览园、创意花卉体验馆、隋唐风情街、百善社区、 双创孵化中心、运河故事馆、茶酒文化馆、运河书画馆、隋唐风情街、荷塘月色、耕读学院、萌宠家园、乐活采摘园、基础设施建设、环境整治提升工程等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BDF74">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百善镇人民政府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07B56">
            <w:pPr>
              <w:widowControl/>
              <w:jc w:val="center"/>
              <w:textAlignment w:val="center"/>
              <w:rPr>
                <w:rFonts w:hint="default" w:ascii="Times New Roman" w:hAnsi="Times New Roman" w:eastAsia="仿宋_GB2312" w:cs="Times New Roman"/>
                <w:color w:val="000000"/>
                <w:sz w:val="24"/>
                <w:szCs w:val="24"/>
              </w:rPr>
            </w:pPr>
          </w:p>
        </w:tc>
      </w:tr>
      <w:tr w14:paraId="0DC57793">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44F6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E4680">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kern w:val="0"/>
                <w:sz w:val="24"/>
                <w:szCs w:val="24"/>
                <w:lang w:bidi="ar"/>
              </w:rPr>
              <w:t>百善镇乡村振兴文旅融合—隋唐</w:t>
            </w:r>
            <w:r>
              <w:rPr>
                <w:rFonts w:hint="default" w:ascii="Times New Roman" w:hAnsi="Times New Roman" w:eastAsia="仿宋_GB2312" w:cs="Times New Roman"/>
                <w:color w:val="000000"/>
                <w:kern w:val="0"/>
                <w:sz w:val="24"/>
                <w:szCs w:val="24"/>
                <w:lang w:eastAsia="zh-CN" w:bidi="ar"/>
              </w:rPr>
              <w:t>微型产业集聚区</w:t>
            </w:r>
            <w:r>
              <w:rPr>
                <w:rFonts w:hint="default" w:ascii="Times New Roman" w:hAnsi="Times New Roman" w:eastAsia="仿宋_GB2312" w:cs="Times New Roman"/>
                <w:color w:val="000000"/>
                <w:kern w:val="0"/>
                <w:sz w:val="24"/>
                <w:szCs w:val="24"/>
                <w:lang w:bidi="ar"/>
              </w:rPr>
              <w:t>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6E5C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百善镇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E1F6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2022年10月-2023年10月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7F22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13.00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9118F">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占地480亩，拆迁安置1000户，隋唐</w:t>
            </w:r>
            <w:r>
              <w:rPr>
                <w:rFonts w:hint="default" w:ascii="Times New Roman" w:hAnsi="Times New Roman" w:eastAsia="仿宋_GB2312" w:cs="Times New Roman"/>
                <w:color w:val="000000"/>
                <w:kern w:val="0"/>
                <w:sz w:val="24"/>
                <w:szCs w:val="24"/>
                <w:lang w:eastAsia="zh-CN" w:bidi="ar"/>
              </w:rPr>
              <w:t>微型产业集聚区</w:t>
            </w:r>
            <w:r>
              <w:rPr>
                <w:rFonts w:hint="default" w:ascii="Times New Roman" w:hAnsi="Times New Roman" w:eastAsia="仿宋_GB2312" w:cs="Times New Roman"/>
                <w:color w:val="000000"/>
                <w:kern w:val="0"/>
                <w:sz w:val="24"/>
                <w:szCs w:val="24"/>
                <w:lang w:bidi="ar"/>
              </w:rPr>
              <w:t>特色建筑150000平方米，并建设各项配套设施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F0CA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百善镇人民政府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5C2F6">
            <w:pPr>
              <w:widowControl/>
              <w:jc w:val="center"/>
              <w:textAlignment w:val="center"/>
              <w:rPr>
                <w:rFonts w:hint="default" w:ascii="Times New Roman" w:hAnsi="Times New Roman" w:eastAsia="仿宋_GB2312" w:cs="Times New Roman"/>
                <w:color w:val="000000"/>
                <w:sz w:val="24"/>
                <w:szCs w:val="24"/>
              </w:rPr>
            </w:pPr>
          </w:p>
        </w:tc>
      </w:tr>
      <w:tr w14:paraId="632144D5">
        <w:tblPrEx>
          <w:tblCellMar>
            <w:top w:w="0" w:type="dxa"/>
            <w:left w:w="0" w:type="dxa"/>
            <w:bottom w:w="0" w:type="dxa"/>
            <w:right w:w="0" w:type="dxa"/>
          </w:tblCellMar>
        </w:tblPrEx>
        <w:trPr>
          <w:trHeight w:val="140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3E6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F3C9E">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濉溪县小李家红色文化基地</w:t>
            </w:r>
            <w:r>
              <w:rPr>
                <w:rFonts w:hint="default" w:ascii="Times New Roman" w:hAnsi="Times New Roman" w:eastAsia="仿宋_GB2312" w:cs="Times New Roman"/>
                <w:color w:val="000000" w:themeColor="text1"/>
                <w:kern w:val="0"/>
                <w:sz w:val="24"/>
                <w:szCs w:val="24"/>
                <w14:textFill>
                  <w14:solidFill>
                    <w14:schemeClr w14:val="tx1"/>
                  </w14:solidFill>
                </w14:textFill>
              </w:rPr>
              <w:t>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29151">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韩村镇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13892">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2022年3月-2024年12月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E2C96">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E982C">
            <w:pPr>
              <w:widowControl/>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总规划用地1800亩，主要进行濉溪县小李家红色文化基地建设，建设内容主要包括生态采摘园、游客接待中心以及配套工程、旅游购物一条街和旅游景点提升工程、土地整理等。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FA4B9">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韩村镇人民政府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F04E4">
            <w:pPr>
              <w:widowControl/>
              <w:jc w:val="center"/>
              <w:textAlignment w:val="center"/>
              <w:rPr>
                <w:rFonts w:hint="default" w:ascii="Times New Roman" w:hAnsi="Times New Roman" w:eastAsia="仿宋_GB2312" w:cs="Times New Roman"/>
                <w:color w:val="000000"/>
                <w:sz w:val="24"/>
                <w:szCs w:val="24"/>
              </w:rPr>
            </w:pPr>
          </w:p>
        </w:tc>
      </w:tr>
      <w:tr w14:paraId="1F026898">
        <w:tblPrEx>
          <w:tblCellMar>
            <w:top w:w="0" w:type="dxa"/>
            <w:left w:w="0" w:type="dxa"/>
            <w:bottom w:w="0" w:type="dxa"/>
            <w:right w:w="0" w:type="dxa"/>
          </w:tblCellMar>
        </w:tblPrEx>
        <w:trPr>
          <w:trHeight w:val="1108"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C0F8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3</w:t>
            </w:r>
            <w:r>
              <w:rPr>
                <w:rFonts w:hint="default" w:ascii="Times New Roman" w:hAnsi="Times New Roman" w:eastAsia="仿宋_GB2312" w:cs="Times New Roman"/>
                <w:color w:val="000000"/>
                <w:kern w:val="0"/>
                <w:sz w:val="24"/>
                <w:szCs w:val="24"/>
                <w:lang w:eastAsia="zh-CN" w:bidi="ar"/>
              </w:rPr>
              <w:t>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82E2D">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淮北濉溪县淮海红色观游影视文化基地项目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8286D">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5DFC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2022年10月-2024年1月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17B1B">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A1655">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建设红色革命史和红色教育、观光、拍摄、文化、旅游影视城，包含中华传统民居影视城、和淮海战场动漫园。</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94540">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472A0">
            <w:pPr>
              <w:widowControl/>
              <w:jc w:val="center"/>
              <w:textAlignment w:val="center"/>
              <w:rPr>
                <w:rFonts w:hint="default" w:ascii="Times New Roman" w:hAnsi="Times New Roman" w:eastAsia="仿宋_GB2312" w:cs="Times New Roman"/>
                <w:color w:val="000000"/>
                <w:sz w:val="24"/>
                <w:szCs w:val="24"/>
              </w:rPr>
            </w:pPr>
          </w:p>
        </w:tc>
      </w:tr>
      <w:tr w14:paraId="6D388B8A">
        <w:tblPrEx>
          <w:tblCellMar>
            <w:top w:w="0" w:type="dxa"/>
            <w:left w:w="0" w:type="dxa"/>
            <w:bottom w:w="0" w:type="dxa"/>
            <w:right w:w="0" w:type="dxa"/>
          </w:tblCellMar>
        </w:tblPrEx>
        <w:trPr>
          <w:trHeight w:val="222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27A1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3</w:t>
            </w:r>
            <w:r>
              <w:rPr>
                <w:rFonts w:hint="default" w:ascii="Times New Roman" w:hAnsi="Times New Roman" w:eastAsia="仿宋_GB2312" w:cs="Times New Roman"/>
                <w:color w:val="000000"/>
                <w:kern w:val="0"/>
                <w:sz w:val="24"/>
                <w:szCs w:val="24"/>
                <w:lang w:val="en-US" w:eastAsia="zh-CN" w:bidi="ar"/>
              </w:rPr>
              <w:t>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6BCB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黄沟村压煤塌陷区休闲观光基地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D8A37">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9EA9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2022年8月-2023年8月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90AE">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0.36</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BB03F">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项目挖建鱼塘垂钓中心，建立护坡、绿化、投喂鱼苗投资共600万，新增观光道路3公里投资300万，1700亩莲藕种植挖建、藕种、肥料、塑料膜的等相关设施投资1360万，建设油菜特色采摘、观赏基地投资300万，观光长廊、停车场、民宿、绿化等其他配套措施共投资1000万。</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20288">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53499">
            <w:pPr>
              <w:widowControl/>
              <w:jc w:val="center"/>
              <w:textAlignment w:val="center"/>
              <w:rPr>
                <w:rFonts w:hint="default" w:ascii="Times New Roman" w:hAnsi="Times New Roman" w:eastAsia="仿宋_GB2312" w:cs="Times New Roman"/>
                <w:color w:val="000000"/>
                <w:sz w:val="24"/>
                <w:szCs w:val="24"/>
              </w:rPr>
            </w:pPr>
          </w:p>
        </w:tc>
      </w:tr>
      <w:tr w14:paraId="369A22CF">
        <w:tblPrEx>
          <w:tblCellMar>
            <w:top w:w="0" w:type="dxa"/>
            <w:left w:w="0" w:type="dxa"/>
            <w:bottom w:w="0" w:type="dxa"/>
            <w:right w:w="0" w:type="dxa"/>
          </w:tblCellMar>
        </w:tblPrEx>
        <w:trPr>
          <w:trHeight w:val="121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0A21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r>
              <w:rPr>
                <w:rFonts w:hint="default" w:ascii="Times New Roman" w:hAnsi="Times New Roman" w:eastAsia="仿宋_GB2312" w:cs="Times New Roman"/>
                <w:color w:val="000000"/>
                <w:kern w:val="0"/>
                <w:sz w:val="24"/>
                <w:szCs w:val="24"/>
                <w:lang w:eastAsia="zh-CN" w:bidi="ar"/>
              </w:rPr>
              <w:t>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1ABA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南坪狙击战纪念馆项目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D216C">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F8BC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2022年11月-2024年2月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96D8D">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F21B4">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项目占地约100亩，建设内容包括纪念馆、纪念塔、文化馆、民俗馆、农村大舞台、文明实践中心、广场、停车场等其他相关配套设施。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9AB4E">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E3651">
            <w:pPr>
              <w:widowControl/>
              <w:jc w:val="center"/>
              <w:textAlignment w:val="center"/>
              <w:rPr>
                <w:rFonts w:hint="default" w:ascii="Times New Roman" w:hAnsi="Times New Roman" w:eastAsia="仿宋_GB2312" w:cs="Times New Roman"/>
                <w:color w:val="000000"/>
                <w:sz w:val="24"/>
                <w:szCs w:val="24"/>
              </w:rPr>
            </w:pPr>
          </w:p>
        </w:tc>
      </w:tr>
      <w:tr w14:paraId="14151046">
        <w:tblPrEx>
          <w:tblCellMar>
            <w:top w:w="0" w:type="dxa"/>
            <w:left w:w="0" w:type="dxa"/>
            <w:bottom w:w="0" w:type="dxa"/>
            <w:right w:w="0" w:type="dxa"/>
          </w:tblCellMar>
        </w:tblPrEx>
        <w:trPr>
          <w:trHeight w:val="1804"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8844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r>
              <w:rPr>
                <w:rFonts w:hint="default" w:ascii="Times New Roman" w:hAnsi="Times New Roman" w:eastAsia="仿宋_GB2312" w:cs="Times New Roman"/>
                <w:color w:val="000000"/>
                <w:kern w:val="0"/>
                <w:sz w:val="24"/>
                <w:szCs w:val="24"/>
                <w:lang w:eastAsia="zh-CN" w:bidi="ar"/>
              </w:rPr>
              <w:t>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EABC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双堆集镇乡村振兴培训服务中心建设项目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BC36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双堆集镇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856B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2022年3月-2023年5月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D99B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3.00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4E59F">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拟选址在淮海战役陵园东侧建设，计划占地263亩，投资2亿元，设计接待能力600人，院内规划有多媒体教室、餐厅、宿舍、拓展基地等教育及周边配套。服务对象包括淮、徐、宿、蚌、亳、永等1小时车程地区的团体学员和个体游客。</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A9AFF">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县农投</w:t>
            </w:r>
          </w:p>
          <w:p w14:paraId="722D7CCE">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公司</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463D1">
            <w:pPr>
              <w:widowControl/>
              <w:jc w:val="center"/>
              <w:textAlignment w:val="center"/>
              <w:rPr>
                <w:rFonts w:hint="default" w:ascii="Times New Roman" w:hAnsi="Times New Roman" w:eastAsia="仿宋_GB2312" w:cs="Times New Roman"/>
                <w:color w:val="000000"/>
                <w:sz w:val="24"/>
                <w:szCs w:val="24"/>
              </w:rPr>
            </w:pPr>
          </w:p>
        </w:tc>
      </w:tr>
      <w:tr w14:paraId="7D5F9DF2">
        <w:tblPrEx>
          <w:tblCellMar>
            <w:top w:w="0" w:type="dxa"/>
            <w:left w:w="0" w:type="dxa"/>
            <w:bottom w:w="0" w:type="dxa"/>
            <w:right w:w="0" w:type="dxa"/>
          </w:tblCellMar>
        </w:tblPrEx>
        <w:trPr>
          <w:trHeight w:val="104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6744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r>
              <w:rPr>
                <w:rFonts w:hint="default" w:ascii="Times New Roman" w:hAnsi="Times New Roman" w:eastAsia="仿宋_GB2312" w:cs="Times New Roman"/>
                <w:color w:val="000000"/>
                <w:kern w:val="0"/>
                <w:sz w:val="24"/>
                <w:szCs w:val="24"/>
                <w:lang w:eastAsia="zh-CN" w:bidi="ar"/>
              </w:rPr>
              <w:t>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A266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虹桥商业广场</w:t>
            </w:r>
            <w:r>
              <w:rPr>
                <w:rFonts w:hint="default" w:ascii="Times New Roman" w:hAnsi="Times New Roman" w:eastAsia="仿宋_GB2312" w:cs="Times New Roman"/>
                <w:color w:val="000000" w:themeColor="text1"/>
                <w:kern w:val="0"/>
                <w:sz w:val="24"/>
                <w:szCs w:val="24"/>
                <w14:textFill>
                  <w14:solidFill>
                    <w14:schemeClr w14:val="tx1"/>
                  </w14:solidFill>
                </w14:textFill>
              </w:rPr>
              <w:t>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7D3A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5C9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2022年5月-2025年12月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9B8D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10.00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CFEA1">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占地面积300亩左右，建设集汽车交易、建材家居销售、文体娱乐设施等于一体的大型综合性商业综合体。</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2686D">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AFDB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highlight w:val="none"/>
                <w:lang w:bidi="ar"/>
              </w:rPr>
              <w:t>洽谈</w:t>
            </w:r>
          </w:p>
        </w:tc>
      </w:tr>
      <w:tr w14:paraId="09422BFE">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24E14">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r>
              <w:rPr>
                <w:rFonts w:hint="default" w:ascii="Times New Roman" w:hAnsi="Times New Roman" w:eastAsia="仿宋_GB2312" w:cs="Times New Roman"/>
                <w:color w:val="000000"/>
                <w:kern w:val="0"/>
                <w:sz w:val="24"/>
                <w:szCs w:val="24"/>
                <w:lang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1BAB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闸河路商业综合体项目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24FD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600A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2020年8月-2022年3月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13754">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A7E7F">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建筑面积约2.68万平方米，建设生鲜超市（标准化菜市场）、蔬菜副食品检疫检验中心、社区生活设施配套、商务酒店、餐饮、娱乐等项目。</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98E0D">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2A3AB">
            <w:pPr>
              <w:widowControl/>
              <w:jc w:val="center"/>
              <w:textAlignment w:val="center"/>
              <w:rPr>
                <w:rFonts w:hint="default" w:ascii="Times New Roman" w:hAnsi="Times New Roman" w:eastAsia="仿宋_GB2312" w:cs="Times New Roman"/>
                <w:color w:val="000000"/>
                <w:kern w:val="0"/>
                <w:sz w:val="24"/>
                <w:szCs w:val="24"/>
                <w:lang w:bidi="ar"/>
              </w:rPr>
            </w:pPr>
          </w:p>
        </w:tc>
      </w:tr>
      <w:tr w14:paraId="50CB0926">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70C2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w:t>
            </w:r>
            <w:r>
              <w:rPr>
                <w:rFonts w:hint="default" w:ascii="Times New Roman" w:hAnsi="Times New Roman" w:eastAsia="仿宋_GB2312" w:cs="Times New Roman"/>
                <w:color w:val="000000"/>
                <w:kern w:val="0"/>
                <w:sz w:val="24"/>
                <w:szCs w:val="24"/>
                <w:lang w:eastAsia="zh-CN" w:bidi="ar"/>
              </w:rPr>
              <w:t>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A01A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二关路商贸综合体项目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87935">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9BD6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2021年5月-2022年12月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A802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1.00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A080F">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建筑面积约3万平方米，其中新型菜市场建筑面积约6千平方米。办公商铺及超市约1.2万平方米，休闲娱乐及酒店约5千平方米，地下建筑面积约7千平方米。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F6F5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B8F3E">
            <w:pPr>
              <w:widowControl/>
              <w:jc w:val="center"/>
              <w:textAlignment w:val="center"/>
              <w:rPr>
                <w:rFonts w:hint="default" w:ascii="Times New Roman" w:hAnsi="Times New Roman" w:eastAsia="仿宋_GB2312" w:cs="Times New Roman"/>
                <w:color w:val="000000"/>
                <w:sz w:val="24"/>
                <w:szCs w:val="24"/>
              </w:rPr>
            </w:pPr>
          </w:p>
        </w:tc>
      </w:tr>
      <w:tr w14:paraId="312CF976">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0A628">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45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D231C">
            <w:pPr>
              <w:widowControl/>
              <w:jc w:val="center"/>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中瑞农产品批发市场项目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9A149">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E0DF2">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rPr>
              <w:t>2023年1月-2026年3月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8A137">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4</w:t>
            </w:r>
            <w:r>
              <w:rPr>
                <w:rFonts w:hint="default" w:ascii="Times New Roman" w:hAnsi="Times New Roman" w:eastAsia="仿宋_GB2312" w:cs="Times New Roman"/>
                <w:color w:val="000000" w:themeColor="text1"/>
                <w:kern w:val="0"/>
                <w:sz w:val="24"/>
                <w:szCs w:val="24"/>
                <w14:textFill>
                  <w14:solidFill>
                    <w14:schemeClr w14:val="tx1"/>
                  </w14:solidFill>
                </w14:textFill>
              </w:rPr>
              <w:t>.00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2BFB0">
            <w:pPr>
              <w:widowControl/>
              <w:jc w:val="left"/>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建设农副产品9大交易区，以及配套仓储物流、加工配送、检测检疫等服务中心，开展农副产品批发零售、电子商务、生鲜配送等业务</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E925A">
            <w:pPr>
              <w:widowControl/>
              <w:jc w:val="center"/>
              <w:textAlignment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39573">
            <w:pPr>
              <w:widowControl/>
              <w:jc w:val="center"/>
              <w:textAlignment w:val="center"/>
              <w:rPr>
                <w:rFonts w:hint="default" w:ascii="Times New Roman" w:hAnsi="Times New Roman" w:eastAsia="仿宋_GB2312" w:cs="Times New Roman"/>
                <w:color w:val="000000"/>
                <w:kern w:val="2"/>
                <w:sz w:val="24"/>
                <w:szCs w:val="24"/>
                <w:lang w:val="en-US" w:eastAsia="zh-CN" w:bidi="ar-SA"/>
              </w:rPr>
            </w:pPr>
          </w:p>
        </w:tc>
      </w:tr>
      <w:tr w14:paraId="4B0145BC">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9DE7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77BE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河西区城市综合体项目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D3EB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92EFC">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2022年6月-2023年12月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BD1D6">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35.00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95683">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规划用地</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60</w:t>
            </w:r>
            <w:r>
              <w:rPr>
                <w:rFonts w:hint="default" w:ascii="Times New Roman" w:hAnsi="Times New Roman" w:eastAsia="仿宋_GB2312" w:cs="Times New Roman"/>
                <w:color w:val="000000" w:themeColor="text1"/>
                <w:kern w:val="0"/>
                <w:sz w:val="24"/>
                <w:szCs w:val="24"/>
                <w14:textFill>
                  <w14:solidFill>
                    <w14:schemeClr w14:val="tx1"/>
                  </w14:solidFill>
                </w14:textFill>
              </w:rPr>
              <w:t>亩，建设新型购物中心、社区生活服务、商务酒店、娱乐、餐饮、特色文化商业街（濉溪历史文化街区）、商务办公、商务公寓等。</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049C1">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县商务局</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D89A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洽谈</w:t>
            </w:r>
          </w:p>
        </w:tc>
      </w:tr>
      <w:tr w14:paraId="43D6E6EE">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9C1ED">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47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1609E">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铁佛综合商贸服务一体化建设项目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0E51F">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铁佛镇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3A54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2021年3月-2022年9月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60F8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0.60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63E21">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项目建筑面积约10000平方米。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E8FC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铁佛镇人民政府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4C47">
            <w:pPr>
              <w:widowControl/>
              <w:jc w:val="center"/>
              <w:textAlignment w:val="center"/>
              <w:rPr>
                <w:rFonts w:hint="default" w:ascii="Times New Roman" w:hAnsi="Times New Roman" w:eastAsia="仿宋_GB2312" w:cs="Times New Roman"/>
                <w:color w:val="000000"/>
                <w:sz w:val="24"/>
                <w:szCs w:val="24"/>
              </w:rPr>
            </w:pPr>
          </w:p>
        </w:tc>
      </w:tr>
      <w:tr w14:paraId="30930256">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47E5A">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48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636E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五沟镇综合商贸服务一体化建设项目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E118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五沟镇新街</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2745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2022年6月-2023年6月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20C7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0.35</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9C1DA">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打造全新的商业综合体，构筑新商业业态，项目建筑面积约5000平方米。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FEB3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五沟镇人民政府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50E">
            <w:pPr>
              <w:widowControl/>
              <w:jc w:val="center"/>
              <w:textAlignment w:val="center"/>
              <w:rPr>
                <w:rFonts w:hint="default" w:ascii="Times New Roman" w:hAnsi="Times New Roman" w:eastAsia="仿宋_GB2312" w:cs="Times New Roman"/>
                <w:color w:val="000000"/>
                <w:sz w:val="24"/>
                <w:szCs w:val="24"/>
              </w:rPr>
            </w:pPr>
          </w:p>
        </w:tc>
      </w:tr>
      <w:tr w14:paraId="71F174E6">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CF309">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49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241DC">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韩村镇商业综合体建设项目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3F569">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sz w:val="24"/>
                <w:szCs w:val="24"/>
              </w:rPr>
              <w:t>韩村镇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DA149">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2023年10月-2024年10月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E2205">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0.38</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DE3E5">
            <w:pPr>
              <w:widowControl/>
              <w:jc w:val="left"/>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占地面积12561平方米，约合18.83亩，对原韩建金朋酒店维修改造，总建筑面积18900平方米。</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ED717">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韩村镇人民政府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8E635">
            <w:pPr>
              <w:widowControl/>
              <w:jc w:val="center"/>
              <w:textAlignment w:val="center"/>
              <w:rPr>
                <w:rFonts w:hint="default" w:ascii="Times New Roman" w:hAnsi="Times New Roman" w:eastAsia="仿宋_GB2312" w:cs="Times New Roman"/>
                <w:color w:val="000000"/>
                <w:sz w:val="24"/>
                <w:szCs w:val="24"/>
              </w:rPr>
            </w:pPr>
          </w:p>
        </w:tc>
      </w:tr>
      <w:tr w14:paraId="0900E82F">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9122F">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5DF02">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四铺镇菊花产业园项目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BA13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四铺镇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855D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2021年5月-2023年12月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4F03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4.07</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A31B1">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1.5公里菊花大道、400亩花卉展览交易温室区、100亩菊花花海及观景台、菊花文化广场；配套建设生态停车场、生态公共厕所；完善道路、水利等基础设施。（1）生产、服务基础设施(道路、水利、电力、绿化亮化、厕所、停车场和入口设计等)；（2）标准化温室生产大棚；（3）科研及技术展示中心、花海游览区等；（4）菊花、半夏等新品种引种示范园区；（5）菊花加工厂和电子商务平台。</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DCEE5">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四铺镇</w:t>
            </w:r>
            <w:r>
              <w:rPr>
                <w:rFonts w:hint="default" w:ascii="Times New Roman" w:hAnsi="Times New Roman" w:eastAsia="仿宋_GB2312" w:cs="Times New Roman"/>
                <w:color w:val="000000"/>
                <w:sz w:val="24"/>
                <w:szCs w:val="24"/>
              </w:rPr>
              <w:t>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6179B">
            <w:pPr>
              <w:widowControl/>
              <w:jc w:val="center"/>
              <w:textAlignment w:val="center"/>
              <w:rPr>
                <w:rFonts w:hint="default" w:ascii="Times New Roman" w:hAnsi="Times New Roman" w:eastAsia="仿宋_GB2312" w:cs="Times New Roman"/>
                <w:color w:val="000000"/>
                <w:sz w:val="24"/>
                <w:szCs w:val="24"/>
              </w:rPr>
            </w:pPr>
          </w:p>
        </w:tc>
      </w:tr>
      <w:tr w14:paraId="77936003">
        <w:tblPrEx>
          <w:tblCellMar>
            <w:top w:w="0" w:type="dxa"/>
            <w:left w:w="0" w:type="dxa"/>
            <w:bottom w:w="0" w:type="dxa"/>
            <w:right w:w="0" w:type="dxa"/>
          </w:tblCellMar>
        </w:tblPrEx>
        <w:trPr>
          <w:trHeight w:val="108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A287E">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51</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A93A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南坪镇商业消费集聚区建设项目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73AFB">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1930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2022年10月-2025年10月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738B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2.00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DED01">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建设特色美食街、城镇商业步行街、商业综合体、社区便民商业圈、农贸商城等便民商业圈及其互联互通配套基础设施建设。</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6F6FC">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7A6A2">
            <w:pPr>
              <w:widowControl/>
              <w:jc w:val="center"/>
              <w:textAlignment w:val="center"/>
              <w:rPr>
                <w:rFonts w:hint="default" w:ascii="Times New Roman" w:hAnsi="Times New Roman" w:eastAsia="仿宋_GB2312" w:cs="Times New Roman"/>
                <w:color w:val="000000"/>
                <w:sz w:val="24"/>
                <w:szCs w:val="24"/>
              </w:rPr>
            </w:pPr>
          </w:p>
        </w:tc>
      </w:tr>
      <w:tr w14:paraId="3BC24482">
        <w:tblPrEx>
          <w:tblCellMar>
            <w:top w:w="0" w:type="dxa"/>
            <w:left w:w="0" w:type="dxa"/>
            <w:bottom w:w="0" w:type="dxa"/>
            <w:right w:w="0" w:type="dxa"/>
          </w:tblCellMar>
        </w:tblPrEx>
        <w:trPr>
          <w:trHeight w:val="886"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06BE2">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52</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7B94F">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濉溪县汽车文化产业园项目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5CF3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刘桥镇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ED88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2020年7月-2022年8月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80D63">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5.00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E221">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建设面积20000平方米现代汽车文化产业园。</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5226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刘桥镇</w:t>
            </w:r>
            <w:r>
              <w:rPr>
                <w:rFonts w:hint="default" w:ascii="Times New Roman" w:hAnsi="Times New Roman" w:eastAsia="仿宋_GB2312" w:cs="Times New Roman"/>
                <w:color w:val="000000"/>
                <w:sz w:val="24"/>
                <w:szCs w:val="24"/>
              </w:rPr>
              <w:t>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46123">
            <w:pPr>
              <w:widowControl/>
              <w:jc w:val="center"/>
              <w:textAlignment w:val="center"/>
              <w:rPr>
                <w:rFonts w:hint="default" w:ascii="Times New Roman" w:hAnsi="Times New Roman" w:eastAsia="仿宋_GB2312" w:cs="Times New Roman"/>
                <w:color w:val="000000"/>
                <w:sz w:val="24"/>
                <w:szCs w:val="24"/>
              </w:rPr>
            </w:pPr>
          </w:p>
        </w:tc>
      </w:tr>
      <w:tr w14:paraId="0E070D60">
        <w:tblPrEx>
          <w:tblCellMar>
            <w:top w:w="0" w:type="dxa"/>
            <w:left w:w="0" w:type="dxa"/>
            <w:bottom w:w="0" w:type="dxa"/>
            <w:right w:w="0" w:type="dxa"/>
          </w:tblCellMar>
        </w:tblPrEx>
        <w:trPr>
          <w:trHeight w:val="387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E91C">
            <w:pPr>
              <w:widowControl/>
              <w:jc w:val="center"/>
              <w:textAlignment w:val="center"/>
              <w:rPr>
                <w:rFonts w:hint="default" w:ascii="Times New Roman" w:hAnsi="Times New Roman" w:eastAsia="仿宋_GB2312" w:cs="Times New Roman"/>
                <w:color w:val="000000"/>
                <w:kern w:val="0"/>
                <w:sz w:val="24"/>
                <w:szCs w:val="24"/>
                <w:lang w:eastAsia="zh-CN" w:bidi="ar"/>
              </w:rPr>
            </w:pPr>
            <w:r>
              <w:rPr>
                <w:rFonts w:hint="default" w:ascii="Times New Roman" w:hAnsi="Times New Roman" w:eastAsia="仿宋_GB2312" w:cs="Times New Roman"/>
                <w:color w:val="000000"/>
                <w:kern w:val="0"/>
                <w:sz w:val="24"/>
                <w:szCs w:val="24"/>
                <w:lang w:bidi="ar"/>
              </w:rPr>
              <w:t>5</w:t>
            </w:r>
            <w:r>
              <w:rPr>
                <w:rFonts w:hint="default" w:ascii="Times New Roman" w:hAnsi="Times New Roman" w:eastAsia="仿宋_GB2312" w:cs="Times New Roman"/>
                <w:color w:val="000000"/>
                <w:kern w:val="0"/>
                <w:sz w:val="24"/>
                <w:szCs w:val="24"/>
                <w:lang w:val="en-US" w:eastAsia="zh-CN" w:bidi="ar"/>
              </w:rPr>
              <w:t>3</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807B6">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淮北银华康养综合服务中心一期、二期项目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EDD9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E593D">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2019年6月-2022年6月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5A2B1">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9.50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2B243">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一期项目总规划用地64,334.81平方米（约合96.50亩），总建筑面积153,555.35平方米，其中地上包括康复医院、养老公寓，地下建筑主要为地下停车库，绿地，以及电气工程、给排水工程、消防工程、暖通工程等基础设施；二期为一期的配套设施建设，项目总规划用地66,447.89平方米（约合99.67亩），总建筑面积63,117.01平方米，其中地上包括配套服务楼、文化中心、休闲中心、接待中心、幼儿园、中小学校等，地下主要为地下停车库，绿地，以及电气工程、给排水工程、消防工程、暖通工程等基础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D52CD">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濉溪镇人民政府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078B9">
            <w:pPr>
              <w:widowControl/>
              <w:jc w:val="center"/>
              <w:textAlignment w:val="center"/>
              <w:rPr>
                <w:rFonts w:hint="default" w:ascii="Times New Roman" w:hAnsi="Times New Roman" w:eastAsia="仿宋_GB2312" w:cs="Times New Roman"/>
                <w:color w:val="000000"/>
                <w:sz w:val="24"/>
                <w:szCs w:val="24"/>
              </w:rPr>
            </w:pPr>
          </w:p>
        </w:tc>
      </w:tr>
      <w:tr w14:paraId="4CE51B7B">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9221">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54</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AB0DE">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濉溪县乡村医养结合项目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8D626">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各镇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753A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themeColor="text1"/>
                <w:kern w:val="0"/>
                <w:sz w:val="24"/>
                <w:szCs w:val="24"/>
                <w14:textFill>
                  <w14:solidFill>
                    <w14:schemeClr w14:val="tx1"/>
                  </w14:solidFill>
                </w14:textFill>
              </w:rPr>
              <w:t>2019年-2022年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E7B97">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3.75</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8D686">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总改扩建建筑面积约91464.8平方米；新增医疗设备约239台、套；信息化建设。</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CB552">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县卫</w:t>
            </w:r>
            <w:r>
              <w:rPr>
                <w:rFonts w:hint="eastAsia" w:ascii="Times New Roman" w:hAnsi="Times New Roman" w:eastAsia="仿宋_GB2312" w:cs="Times New Roman"/>
                <w:color w:val="000000"/>
                <w:sz w:val="24"/>
                <w:szCs w:val="24"/>
                <w:lang w:val="en-US" w:eastAsia="zh-CN"/>
              </w:rPr>
              <w:t>健</w:t>
            </w:r>
            <w:r>
              <w:rPr>
                <w:rFonts w:hint="default" w:ascii="Times New Roman" w:hAnsi="Times New Roman" w:eastAsia="仿宋_GB2312" w:cs="Times New Roman"/>
                <w:color w:val="000000"/>
                <w:sz w:val="24"/>
                <w:szCs w:val="24"/>
              </w:rPr>
              <w:t>委</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09E90">
            <w:pPr>
              <w:widowControl/>
              <w:jc w:val="center"/>
              <w:textAlignment w:val="center"/>
              <w:rPr>
                <w:rFonts w:hint="default" w:ascii="Times New Roman" w:hAnsi="Times New Roman" w:eastAsia="仿宋_GB2312" w:cs="Times New Roman"/>
                <w:color w:val="000000"/>
                <w:sz w:val="24"/>
                <w:szCs w:val="24"/>
              </w:rPr>
            </w:pPr>
          </w:p>
        </w:tc>
      </w:tr>
      <w:tr w14:paraId="6F9CB91C">
        <w:tblPrEx>
          <w:tblCellMar>
            <w:top w:w="0" w:type="dxa"/>
            <w:left w:w="0" w:type="dxa"/>
            <w:bottom w:w="0" w:type="dxa"/>
            <w:right w:w="0" w:type="dxa"/>
          </w:tblCellMar>
        </w:tblPrEx>
        <w:trPr>
          <w:trHeight w:val="299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6BC13">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55</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10B9B">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杏康血液透析中心项目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A998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33120">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rPr>
              <w:t>2022年1月-2022年5月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49FA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0.30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D12C7">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本项目占地493平方米，拟接收非传染病人与传染病人进行血液透析，其中一期：共设立透析诊疗单元38个，其中普通透析单元28个，隔离（传染病）透析单元10个，二期：共设立透析诊疗单元50个，其中普通透析单元35个，隔离（传染病）透析单元15个，每天规划接待患者150人，年营业天数为300天。</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38855">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02506">
            <w:pPr>
              <w:widowControl/>
              <w:jc w:val="center"/>
              <w:textAlignment w:val="center"/>
              <w:rPr>
                <w:rFonts w:hint="default" w:ascii="Times New Roman" w:hAnsi="Times New Roman" w:eastAsia="仿宋_GB2312" w:cs="Times New Roman"/>
                <w:color w:val="000000"/>
                <w:sz w:val="24"/>
                <w:szCs w:val="24"/>
              </w:rPr>
            </w:pPr>
          </w:p>
        </w:tc>
      </w:tr>
      <w:tr w14:paraId="7A67BBD8">
        <w:tblPrEx>
          <w:tblCellMar>
            <w:top w:w="0" w:type="dxa"/>
            <w:left w:w="0" w:type="dxa"/>
            <w:bottom w:w="0" w:type="dxa"/>
            <w:right w:w="0" w:type="dxa"/>
          </w:tblCellMar>
        </w:tblPrEx>
        <w:trPr>
          <w:trHeight w:val="3952"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FBD2C">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56</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4FD8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濉溪县河西片区和乾隆湖片区综合开发项目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21B5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4D57F">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2022年1月-2024年1月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1AFE2">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64.00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A2AB5">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项目总占地 5264.55 亩，其中居住用地 2393.85 亩，商业服务设施用地 396 亩，公共管理与公共服务用地 517.2 亩，绿地与广场用849.45 亩，交通设施用地 1050.3 亩，公共设施用地 35.25 亩，水域 22.5 亩；乾隆湖片区总占地 4693.41 亩，其中居住用地 1410.00 亩，公共服务与公共管理用地 245.76 亩，商业服务设施用地 159.79 亩，绿地与广场用地 936.96 亩，交通设施用地355.72亩，公共设施用地 85.18 亩，水域面积 1500 亩</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D184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县建投集团</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5A54C">
            <w:pPr>
              <w:widowControl/>
              <w:jc w:val="center"/>
              <w:textAlignment w:val="center"/>
              <w:rPr>
                <w:rFonts w:hint="default" w:ascii="Times New Roman" w:hAnsi="Times New Roman" w:eastAsia="仿宋_GB2312" w:cs="Times New Roman"/>
                <w:color w:val="000000"/>
                <w:sz w:val="24"/>
                <w:szCs w:val="24"/>
              </w:rPr>
            </w:pPr>
          </w:p>
        </w:tc>
      </w:tr>
      <w:tr w14:paraId="7771508A">
        <w:tblPrEx>
          <w:tblCellMar>
            <w:top w:w="0" w:type="dxa"/>
            <w:left w:w="0" w:type="dxa"/>
            <w:bottom w:w="0" w:type="dxa"/>
            <w:right w:w="0" w:type="dxa"/>
          </w:tblCellMar>
        </w:tblPrEx>
        <w:trPr>
          <w:trHeight w:val="3567"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1B407">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57</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ABCB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 xml:space="preserve">淮北市濉溪县智慧停车项目 </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3E587">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 xml:space="preserve"> 濉溪镇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5992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 xml:space="preserve"> 2022年1月-2024年12月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C9F68">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6.30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9013F">
            <w:pP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（1）公共停车场55个，总停车位约14260个，其中新建30个公共停车场，共8990个停车泊位(其中地面停车位4497个，地下停车位4493个)； 改造25个公共停车场，共5270个停车泊位(其中地面停车位 2877个，地下停车位2393个)；路边划线泊车位4602个；</w:t>
            </w:r>
          </w:p>
          <w:p w14:paraId="7242D2BC">
            <w:pP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（2）附属工程建设：3000个新能源汽车充电桩和7200套(10充电座/套)非机动车充电桩设备的建设工程；</w:t>
            </w:r>
          </w:p>
          <w:p w14:paraId="73AD8DB4">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kern w:val="0"/>
                <w:sz w:val="24"/>
                <w:szCs w:val="24"/>
                <w:lang w:bidi="ar"/>
              </w:rPr>
              <w:t>（3）配套工程建设：停车场智能管理系统工程及相对应的广告设施工程。</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65A0">
            <w:pPr>
              <w:widowControl/>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县建投集团</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107B8">
            <w:pPr>
              <w:widowControl/>
              <w:jc w:val="center"/>
              <w:textAlignment w:val="center"/>
              <w:rPr>
                <w:rFonts w:hint="default" w:ascii="Times New Roman" w:hAnsi="Times New Roman" w:eastAsia="仿宋_GB2312" w:cs="Times New Roman"/>
                <w:color w:val="000000"/>
                <w:sz w:val="24"/>
                <w:szCs w:val="24"/>
              </w:rPr>
            </w:pPr>
          </w:p>
        </w:tc>
      </w:tr>
      <w:tr w14:paraId="6DB783DB">
        <w:tblPrEx>
          <w:tblCellMar>
            <w:top w:w="0" w:type="dxa"/>
            <w:left w:w="0" w:type="dxa"/>
            <w:bottom w:w="0" w:type="dxa"/>
            <w:right w:w="0" w:type="dxa"/>
          </w:tblCellMar>
        </w:tblPrEx>
        <w:trPr>
          <w:trHeight w:val="77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FF66B">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58</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CE119">
            <w:pPr>
              <w:widowControl/>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韩村镇祁集农贸市场建设项目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2303A">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sz w:val="24"/>
                <w:szCs w:val="24"/>
              </w:rPr>
              <w:t>韩村镇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4FDAE">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2022年2月-2022年8月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66EBE">
            <w:pPr>
              <w:widowControl/>
              <w:jc w:val="center"/>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0.04</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4779E">
            <w:pPr>
              <w:widowControl/>
              <w:jc w:val="left"/>
              <w:textAlignment w:val="center"/>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rPr>
              <w:t>建设钢构交易大棚5200平方米，设置摊位，以及道路、排水管网等配套设施。</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4E627">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韩村镇人民政府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96963">
            <w:pPr>
              <w:widowControl/>
              <w:jc w:val="center"/>
              <w:textAlignment w:val="center"/>
              <w:rPr>
                <w:rFonts w:hint="default" w:ascii="Times New Roman" w:hAnsi="Times New Roman" w:eastAsia="仿宋_GB2312" w:cs="Times New Roman"/>
                <w:color w:val="000000"/>
                <w:kern w:val="0"/>
                <w:sz w:val="24"/>
                <w:szCs w:val="24"/>
                <w:lang w:bidi="ar"/>
              </w:rPr>
            </w:pPr>
          </w:p>
        </w:tc>
      </w:tr>
      <w:tr w14:paraId="058DDD96">
        <w:tblPrEx>
          <w:tblCellMar>
            <w:top w:w="0" w:type="dxa"/>
            <w:left w:w="0" w:type="dxa"/>
            <w:bottom w:w="0" w:type="dxa"/>
            <w:right w:w="0" w:type="dxa"/>
          </w:tblCellMar>
        </w:tblPrEx>
        <w:trPr>
          <w:trHeight w:val="701"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6C51B">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59</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9EC00">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液化气石油气钢瓶项目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33D35">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濉溪经开区</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0803">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2021</w:t>
            </w:r>
            <w:r>
              <w:rPr>
                <w:rFonts w:hint="default" w:ascii="Times New Roman" w:hAnsi="Times New Roman" w:eastAsia="仿宋_GB2312" w:cs="Times New Roman"/>
                <w:color w:val="000000"/>
                <w:kern w:val="0"/>
                <w:sz w:val="24"/>
                <w:szCs w:val="24"/>
                <w:lang w:bidi="ar"/>
              </w:rPr>
              <w:t>年</w:t>
            </w:r>
            <w:r>
              <w:rPr>
                <w:rFonts w:hint="default" w:ascii="Times New Roman" w:hAnsi="Times New Roman" w:eastAsia="仿宋_GB2312" w:cs="Times New Roman"/>
                <w:color w:val="000000"/>
                <w:kern w:val="0"/>
                <w:sz w:val="24"/>
                <w:szCs w:val="24"/>
              </w:rPr>
              <w:t>9月-2022</w:t>
            </w:r>
            <w:r>
              <w:rPr>
                <w:rFonts w:hint="default" w:ascii="Times New Roman" w:hAnsi="Times New Roman" w:eastAsia="仿宋_GB2312" w:cs="Times New Roman"/>
                <w:color w:val="000000"/>
                <w:kern w:val="0"/>
                <w:sz w:val="24"/>
                <w:szCs w:val="24"/>
                <w:lang w:bidi="ar"/>
              </w:rPr>
              <w:t>年</w:t>
            </w:r>
            <w:r>
              <w:rPr>
                <w:rFonts w:hint="default" w:ascii="Times New Roman" w:hAnsi="Times New Roman" w:eastAsia="仿宋_GB2312" w:cs="Times New Roman"/>
                <w:color w:val="000000"/>
                <w:kern w:val="0"/>
                <w:sz w:val="24"/>
                <w:szCs w:val="24"/>
              </w:rPr>
              <w:t>5月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DA11A">
            <w:pPr>
              <w:widowControl/>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0.4</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ECEC7">
            <w:pPr>
              <w:widowControl/>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液化气钢瓶检测、生产、报废回收等业务</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615A7">
            <w:pPr>
              <w:widowControl/>
              <w:jc w:val="center"/>
              <w:textAlignment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濉溪经开区</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CDCDD">
            <w:pPr>
              <w:widowControl/>
              <w:jc w:val="center"/>
              <w:textAlignment w:val="center"/>
              <w:rPr>
                <w:rFonts w:hint="default" w:ascii="Times New Roman" w:hAnsi="Times New Roman" w:eastAsia="仿宋_GB2312" w:cs="Times New Roman"/>
                <w:color w:val="000000"/>
                <w:kern w:val="0"/>
                <w:sz w:val="24"/>
                <w:szCs w:val="24"/>
                <w:lang w:bidi="ar"/>
              </w:rPr>
            </w:pPr>
          </w:p>
        </w:tc>
      </w:tr>
      <w:tr w14:paraId="1C1D7444">
        <w:tblPrEx>
          <w:tblCellMar>
            <w:top w:w="0" w:type="dxa"/>
            <w:left w:w="0" w:type="dxa"/>
            <w:bottom w:w="0" w:type="dxa"/>
            <w:right w:w="0" w:type="dxa"/>
          </w:tblCellMar>
        </w:tblPrEx>
        <w:trPr>
          <w:trHeight w:val="95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EBCAF">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val="en-US" w:eastAsia="zh-CN" w:bidi="ar"/>
              </w:rPr>
              <w:t>60</w:t>
            </w:r>
          </w:p>
        </w:tc>
        <w:tc>
          <w:tcPr>
            <w:tcW w:w="2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7F01C">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上海电气储能项目</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F9DD9">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南坪镇</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E675A">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2022</w:t>
            </w:r>
            <w:r>
              <w:rPr>
                <w:rFonts w:hint="default" w:ascii="Times New Roman" w:hAnsi="Times New Roman" w:eastAsia="仿宋_GB2312" w:cs="Times New Roman"/>
                <w:color w:val="000000"/>
                <w:kern w:val="0"/>
                <w:sz w:val="24"/>
                <w:szCs w:val="24"/>
                <w:lang w:eastAsia="zh-CN" w:bidi="ar"/>
              </w:rPr>
              <w:t>年</w:t>
            </w:r>
            <w:r>
              <w:rPr>
                <w:rFonts w:hint="default" w:ascii="Times New Roman" w:hAnsi="Times New Roman" w:eastAsia="仿宋_GB2312" w:cs="Times New Roman"/>
                <w:color w:val="000000"/>
                <w:kern w:val="0"/>
                <w:sz w:val="24"/>
                <w:szCs w:val="24"/>
                <w:lang w:bidi="ar"/>
              </w:rPr>
              <w:t>6</w:t>
            </w:r>
            <w:r>
              <w:rPr>
                <w:rFonts w:hint="default" w:ascii="Times New Roman" w:hAnsi="Times New Roman" w:eastAsia="仿宋_GB2312" w:cs="Times New Roman"/>
                <w:color w:val="000000"/>
                <w:kern w:val="0"/>
                <w:sz w:val="24"/>
                <w:szCs w:val="24"/>
                <w:lang w:eastAsia="zh-CN" w:bidi="ar"/>
              </w:rPr>
              <w:t>月</w:t>
            </w:r>
            <w:r>
              <w:rPr>
                <w:rFonts w:hint="default" w:ascii="Times New Roman" w:hAnsi="Times New Roman" w:eastAsia="仿宋_GB2312" w:cs="Times New Roman"/>
                <w:color w:val="000000"/>
                <w:kern w:val="0"/>
                <w:sz w:val="24"/>
                <w:szCs w:val="24"/>
                <w:lang w:bidi="ar"/>
              </w:rPr>
              <w:t>-2023</w:t>
            </w:r>
            <w:r>
              <w:rPr>
                <w:rFonts w:hint="default" w:ascii="Times New Roman" w:hAnsi="Times New Roman" w:eastAsia="仿宋_GB2312" w:cs="Times New Roman"/>
                <w:color w:val="000000"/>
                <w:kern w:val="0"/>
                <w:sz w:val="24"/>
                <w:szCs w:val="24"/>
                <w:lang w:eastAsia="zh-CN" w:bidi="ar"/>
              </w:rPr>
              <w:t>年</w:t>
            </w:r>
            <w:r>
              <w:rPr>
                <w:rFonts w:hint="default" w:ascii="Times New Roman" w:hAnsi="Times New Roman" w:eastAsia="仿宋_GB2312" w:cs="Times New Roman"/>
                <w:color w:val="000000"/>
                <w:kern w:val="0"/>
                <w:sz w:val="24"/>
                <w:szCs w:val="24"/>
                <w:lang w:bidi="ar"/>
              </w:rPr>
              <w:t>12</w:t>
            </w:r>
            <w:r>
              <w:rPr>
                <w:rFonts w:hint="default" w:ascii="Times New Roman" w:hAnsi="Times New Roman" w:eastAsia="仿宋_GB2312" w:cs="Times New Roman"/>
                <w:color w:val="000000"/>
                <w:kern w:val="0"/>
                <w:sz w:val="24"/>
                <w:szCs w:val="24"/>
                <w:lang w:eastAsia="zh-CN" w:bidi="ar"/>
              </w:rPr>
              <w:t>月</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96483">
            <w:pPr>
              <w:widowControl/>
              <w:jc w:val="center"/>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4.00</w:t>
            </w:r>
          </w:p>
        </w:tc>
        <w:tc>
          <w:tcPr>
            <w:tcW w:w="4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20F30">
            <w:pPr>
              <w:widowControl/>
              <w:jc w:val="left"/>
              <w:textAlignment w:val="center"/>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新能源产业。建设100MW/200MWh规模储能电站,配套建设1座110KV升压站，2台63MVA变压器。生产能力7290万千瓦时。</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9F25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南坪镇人民政府</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EFEFD">
            <w:pPr>
              <w:widowControl/>
              <w:jc w:val="center"/>
              <w:textAlignment w:val="center"/>
              <w:rPr>
                <w:rFonts w:hint="default" w:ascii="Times New Roman" w:hAnsi="Times New Roman" w:eastAsia="仿宋_GB2312" w:cs="Times New Roman"/>
                <w:color w:val="000000"/>
                <w:sz w:val="24"/>
                <w:szCs w:val="24"/>
              </w:rPr>
            </w:pPr>
          </w:p>
        </w:tc>
      </w:tr>
    </w:tbl>
    <w:p w14:paraId="6282FB03">
      <w:pPr>
        <w:rPr>
          <w:rFonts w:hint="default" w:ascii="Times New Roman" w:hAnsi="Times New Roman" w:cs="Times New Roman"/>
        </w:rPr>
        <w:sectPr>
          <w:pgSz w:w="16838" w:h="11906" w:orient="landscape"/>
          <w:pgMar w:top="2098" w:right="1474" w:bottom="1984" w:left="1587" w:header="851" w:footer="1219" w:gutter="0"/>
          <w:pgNumType w:fmt="decimal"/>
          <w:cols w:space="0" w:num="1"/>
          <w:rtlGutter w:val="0"/>
          <w:docGrid w:type="lines" w:linePitch="312" w:charSpace="0"/>
        </w:sectPr>
      </w:pPr>
    </w:p>
    <w:p w14:paraId="00AA1B8B">
      <w:pPr>
        <w:pStyle w:val="4"/>
        <w:rPr>
          <w:rFonts w:hint="default"/>
        </w:rPr>
      </w:pPr>
    </w:p>
    <w:p w14:paraId="44509499">
      <w:pPr>
        <w:rPr>
          <w:rFonts w:hint="default"/>
        </w:rPr>
      </w:pPr>
    </w:p>
    <w:p w14:paraId="6021CAB6">
      <w:pPr>
        <w:pStyle w:val="4"/>
        <w:rPr>
          <w:rFonts w:hint="default"/>
        </w:rPr>
      </w:pPr>
    </w:p>
    <w:p w14:paraId="3DFD7C53">
      <w:pPr>
        <w:rPr>
          <w:rFonts w:hint="default"/>
        </w:rPr>
      </w:pPr>
    </w:p>
    <w:p w14:paraId="4A7D3917">
      <w:pPr>
        <w:pStyle w:val="4"/>
        <w:rPr>
          <w:rFonts w:hint="default"/>
        </w:rPr>
      </w:pPr>
    </w:p>
    <w:p w14:paraId="3E3FBFFF">
      <w:pPr>
        <w:rPr>
          <w:rFonts w:hint="default"/>
        </w:rPr>
      </w:pPr>
    </w:p>
    <w:p w14:paraId="1F45F29C">
      <w:pPr>
        <w:pStyle w:val="4"/>
        <w:rPr>
          <w:rFonts w:hint="default"/>
        </w:rPr>
      </w:pPr>
    </w:p>
    <w:p w14:paraId="359C78F8">
      <w:pPr>
        <w:rPr>
          <w:rFonts w:hint="default"/>
        </w:rPr>
      </w:pPr>
    </w:p>
    <w:p w14:paraId="228AE647">
      <w:pPr>
        <w:pStyle w:val="4"/>
        <w:rPr>
          <w:rFonts w:hint="default"/>
        </w:rPr>
      </w:pPr>
    </w:p>
    <w:p w14:paraId="7BD13AAB">
      <w:pPr>
        <w:rPr>
          <w:rFonts w:hint="default"/>
        </w:rPr>
      </w:pPr>
    </w:p>
    <w:p w14:paraId="1BEFBF78">
      <w:pPr>
        <w:pStyle w:val="4"/>
        <w:rPr>
          <w:rFonts w:hint="default"/>
        </w:rPr>
      </w:pPr>
    </w:p>
    <w:p w14:paraId="01FE9505">
      <w:pPr>
        <w:rPr>
          <w:rFonts w:hint="default"/>
        </w:rPr>
      </w:pPr>
    </w:p>
    <w:p w14:paraId="00EAFEDA">
      <w:pPr>
        <w:pStyle w:val="4"/>
        <w:rPr>
          <w:rFonts w:hint="default"/>
        </w:rPr>
      </w:pPr>
    </w:p>
    <w:p w14:paraId="53575104">
      <w:pPr>
        <w:rPr>
          <w:rFonts w:hint="default"/>
        </w:rPr>
      </w:pPr>
    </w:p>
    <w:p w14:paraId="06BECC0B">
      <w:pPr>
        <w:pStyle w:val="4"/>
        <w:rPr>
          <w:rFonts w:hint="default"/>
        </w:rPr>
      </w:pPr>
    </w:p>
    <w:p w14:paraId="2E52B454">
      <w:pPr>
        <w:rPr>
          <w:rFonts w:hint="default"/>
        </w:rPr>
      </w:pPr>
    </w:p>
    <w:p w14:paraId="1B577512">
      <w:pPr>
        <w:pStyle w:val="4"/>
        <w:rPr>
          <w:rFonts w:hint="default"/>
        </w:rPr>
      </w:pPr>
    </w:p>
    <w:p w14:paraId="36EBC745">
      <w:pPr>
        <w:rPr>
          <w:rFonts w:hint="default"/>
        </w:rPr>
      </w:pPr>
    </w:p>
    <w:p w14:paraId="39E3AE15">
      <w:pPr>
        <w:pStyle w:val="4"/>
        <w:rPr>
          <w:rFonts w:hint="default"/>
        </w:rPr>
      </w:pPr>
    </w:p>
    <w:p w14:paraId="0D9C6339">
      <w:pPr>
        <w:rPr>
          <w:rFonts w:hint="default"/>
        </w:rPr>
      </w:pPr>
    </w:p>
    <w:p w14:paraId="3585CF3C">
      <w:pPr>
        <w:pStyle w:val="2"/>
        <w:rPr>
          <w:rFonts w:hint="default"/>
        </w:rPr>
      </w:pPr>
    </w:p>
    <w:p w14:paraId="2A65896F">
      <w:pPr>
        <w:rPr>
          <w:rFonts w:hint="eastAsia"/>
          <w:lang w:val="en-US" w:eastAsia="zh-CN"/>
        </w:rPr>
      </w:pPr>
    </w:p>
    <w:p w14:paraId="7928AEBB">
      <w:pPr>
        <w:keepNext w:val="0"/>
        <w:keepLines w:val="0"/>
        <w:pageBreakBefore w:val="0"/>
        <w:widowControl/>
        <w:pBdr>
          <w:top w:val="single" w:color="auto" w:sz="4" w:space="0"/>
          <w:bottom w:val="single" w:color="auto" w:sz="4" w:space="0"/>
        </w:pBdr>
        <w:kinsoku/>
        <w:wordWrap/>
        <w:overflowPunct/>
        <w:topLinePunct w:val="0"/>
        <w:autoSpaceDE/>
        <w:autoSpaceDN/>
        <w:bidi w:val="0"/>
        <w:adjustRightInd w:val="0"/>
        <w:snapToGrid w:val="0"/>
        <w:spacing w:after="0" w:line="580" w:lineRule="exact"/>
        <w:jc w:val="center"/>
        <w:textAlignment w:val="auto"/>
        <w:rPr>
          <w:rFonts w:hint="default"/>
        </w:rPr>
      </w:pPr>
      <w:r>
        <w:rPr>
          <w:rFonts w:hint="default" w:ascii="Times New Roman" w:hAnsi="Times New Roman" w:eastAsia="仿宋_GB2312" w:cs="Times New Roman"/>
          <w:sz w:val="28"/>
          <w:szCs w:val="28"/>
          <w:lang w:val="en-US" w:eastAsia="zh-CN"/>
        </w:rPr>
        <w:t>中共濉溪县委办公室</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20</w:t>
      </w:r>
      <w:r>
        <w:rPr>
          <w:rFonts w:hint="eastAsia" w:ascii="Times New Roman" w:hAnsi="Times New Roman" w:eastAsia="仿宋_GB2312" w:cs="Times New Roman"/>
          <w:sz w:val="28"/>
          <w:szCs w:val="28"/>
          <w:lang w:val="en-US" w:eastAsia="zh-CN"/>
        </w:rPr>
        <w:t>22</w:t>
      </w:r>
      <w:r>
        <w:rPr>
          <w:rFonts w:hint="default" w:ascii="Times New Roman" w:hAnsi="Times New Roman" w:eastAsia="仿宋_GB2312" w:cs="Times New Roman"/>
          <w:sz w:val="28"/>
          <w:szCs w:val="28"/>
          <w:lang w:val="en-US" w:eastAsia="zh-CN"/>
        </w:rPr>
        <w:t>年5月</w:t>
      </w:r>
      <w:r>
        <w:rPr>
          <w:rFonts w:hint="eastAsia"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val="en-US" w:eastAsia="zh-CN"/>
        </w:rPr>
        <w:t>日印发</w:t>
      </w:r>
    </w:p>
    <w:sectPr>
      <w:pgSz w:w="11906" w:h="16838"/>
      <w:pgMar w:top="2098" w:right="1474" w:bottom="1984" w:left="1587" w:header="851" w:footer="1219"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E-BZ">
    <w:altName w:val="Times New Roman"/>
    <w:panose1 w:val="00000000000000000000"/>
    <w:charset w:val="00"/>
    <w:family w:val="roman"/>
    <w:pitch w:val="default"/>
    <w:sig w:usb0="00000000" w:usb1="00000000" w:usb2="00000000" w:usb3="00000000" w:csb0="00000000" w:csb1="00000000"/>
  </w:font>
  <w:font w:name="FZFSK--GBK1-0">
    <w:altName w:val="Times New Roman"/>
    <w:panose1 w:val="00000000000000000000"/>
    <w:charset w:val="00"/>
    <w:family w:val="roman"/>
    <w:pitch w:val="default"/>
    <w:sig w:usb0="00000000" w:usb1="00000000" w:usb2="00000000" w:usb3="00000000" w:csb0="00000000" w:csb1="00000000"/>
  </w:font>
  <w:font w:name="E-BX">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3D65">
    <w:pPr>
      <w:pStyle w:val="11"/>
      <w:jc w:val="center"/>
    </w:pPr>
  </w:p>
  <w:p w14:paraId="705D978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B5DC">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13972">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8313972">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p w14:paraId="2BFA889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1490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F197">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F197">
                    <w:pPr>
                      <w:pStyle w:val="1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D1222"/>
    <w:multiLevelType w:val="singleLevel"/>
    <w:tmpl w:val="DDCD1222"/>
    <w:lvl w:ilvl="0" w:tentative="0">
      <w:start w:val="1"/>
      <w:numFmt w:val="bullet"/>
      <w:lvlText w:val=""/>
      <w:lvlJc w:val="left"/>
      <w:pPr>
        <w:ind w:left="420" w:hanging="420"/>
      </w:pPr>
      <w:rPr>
        <w:rFonts w:hint="default" w:ascii="Wingdings" w:hAnsi="Wingdings"/>
      </w:rPr>
    </w:lvl>
  </w:abstractNum>
  <w:abstractNum w:abstractNumId="1">
    <w:nsid w:val="3B5D173D"/>
    <w:multiLevelType w:val="multilevel"/>
    <w:tmpl w:val="3B5D17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YTljMjdhYTBiZDQxMzc3YWMzODlmM2VlOWYyMDgifQ=="/>
  </w:docVars>
  <w:rsids>
    <w:rsidRoot w:val="004B3528"/>
    <w:rsid w:val="00000CC9"/>
    <w:rsid w:val="00002F69"/>
    <w:rsid w:val="0000586D"/>
    <w:rsid w:val="000104B9"/>
    <w:rsid w:val="000149A1"/>
    <w:rsid w:val="00015155"/>
    <w:rsid w:val="000201F6"/>
    <w:rsid w:val="00020A8A"/>
    <w:rsid w:val="0002771B"/>
    <w:rsid w:val="00030258"/>
    <w:rsid w:val="00031E3A"/>
    <w:rsid w:val="000325CF"/>
    <w:rsid w:val="00036F04"/>
    <w:rsid w:val="0004202F"/>
    <w:rsid w:val="00043F8B"/>
    <w:rsid w:val="00045D3E"/>
    <w:rsid w:val="00045FFD"/>
    <w:rsid w:val="00046A92"/>
    <w:rsid w:val="0005018E"/>
    <w:rsid w:val="0005253C"/>
    <w:rsid w:val="00052833"/>
    <w:rsid w:val="0005495B"/>
    <w:rsid w:val="00054DD5"/>
    <w:rsid w:val="000555C8"/>
    <w:rsid w:val="00056B69"/>
    <w:rsid w:val="0005731F"/>
    <w:rsid w:val="00060DCD"/>
    <w:rsid w:val="00062CDC"/>
    <w:rsid w:val="00063BF3"/>
    <w:rsid w:val="00067A5F"/>
    <w:rsid w:val="00070AE1"/>
    <w:rsid w:val="000749AB"/>
    <w:rsid w:val="00076418"/>
    <w:rsid w:val="00077C3C"/>
    <w:rsid w:val="000949A1"/>
    <w:rsid w:val="000956AD"/>
    <w:rsid w:val="00095963"/>
    <w:rsid w:val="00096C50"/>
    <w:rsid w:val="000A3FA8"/>
    <w:rsid w:val="000A6AAD"/>
    <w:rsid w:val="000A713F"/>
    <w:rsid w:val="000A76FA"/>
    <w:rsid w:val="000A78F0"/>
    <w:rsid w:val="000B2540"/>
    <w:rsid w:val="000B44D3"/>
    <w:rsid w:val="000B5254"/>
    <w:rsid w:val="000B56E6"/>
    <w:rsid w:val="000C00AA"/>
    <w:rsid w:val="000C0542"/>
    <w:rsid w:val="000C075B"/>
    <w:rsid w:val="000C5AE4"/>
    <w:rsid w:val="000E1DA8"/>
    <w:rsid w:val="000E3033"/>
    <w:rsid w:val="000E53BD"/>
    <w:rsid w:val="000E56B9"/>
    <w:rsid w:val="000E60A1"/>
    <w:rsid w:val="000F1E34"/>
    <w:rsid w:val="00103068"/>
    <w:rsid w:val="00110612"/>
    <w:rsid w:val="001106BC"/>
    <w:rsid w:val="00110D3D"/>
    <w:rsid w:val="0011354B"/>
    <w:rsid w:val="00114999"/>
    <w:rsid w:val="0011583C"/>
    <w:rsid w:val="00116BB2"/>
    <w:rsid w:val="00121C09"/>
    <w:rsid w:val="0012216B"/>
    <w:rsid w:val="00125825"/>
    <w:rsid w:val="001316AA"/>
    <w:rsid w:val="00134020"/>
    <w:rsid w:val="001354BA"/>
    <w:rsid w:val="0013654B"/>
    <w:rsid w:val="00140DB0"/>
    <w:rsid w:val="001438B1"/>
    <w:rsid w:val="00145284"/>
    <w:rsid w:val="00151A78"/>
    <w:rsid w:val="00156398"/>
    <w:rsid w:val="00157BCA"/>
    <w:rsid w:val="00157D2E"/>
    <w:rsid w:val="0016141F"/>
    <w:rsid w:val="00165735"/>
    <w:rsid w:val="0016625D"/>
    <w:rsid w:val="001713B9"/>
    <w:rsid w:val="00177308"/>
    <w:rsid w:val="001836D8"/>
    <w:rsid w:val="00192F1A"/>
    <w:rsid w:val="001949AF"/>
    <w:rsid w:val="001951A7"/>
    <w:rsid w:val="001A087D"/>
    <w:rsid w:val="001A5AB6"/>
    <w:rsid w:val="001A6E7A"/>
    <w:rsid w:val="001B697F"/>
    <w:rsid w:val="001B736D"/>
    <w:rsid w:val="001B7422"/>
    <w:rsid w:val="001C0179"/>
    <w:rsid w:val="001C1453"/>
    <w:rsid w:val="001C2398"/>
    <w:rsid w:val="001C4124"/>
    <w:rsid w:val="001C5014"/>
    <w:rsid w:val="001C58A5"/>
    <w:rsid w:val="001C6D35"/>
    <w:rsid w:val="001D24DB"/>
    <w:rsid w:val="001D5FDE"/>
    <w:rsid w:val="001E0E0E"/>
    <w:rsid w:val="001E42D1"/>
    <w:rsid w:val="001E44E9"/>
    <w:rsid w:val="001E4F5E"/>
    <w:rsid w:val="001E6BEC"/>
    <w:rsid w:val="001E71E6"/>
    <w:rsid w:val="001F54FA"/>
    <w:rsid w:val="001F70AD"/>
    <w:rsid w:val="001F78AD"/>
    <w:rsid w:val="00203AC8"/>
    <w:rsid w:val="0020723A"/>
    <w:rsid w:val="002163F5"/>
    <w:rsid w:val="002215DD"/>
    <w:rsid w:val="00224C35"/>
    <w:rsid w:val="00232FEA"/>
    <w:rsid w:val="00237C0A"/>
    <w:rsid w:val="0024027E"/>
    <w:rsid w:val="00244675"/>
    <w:rsid w:val="002460AA"/>
    <w:rsid w:val="0024661C"/>
    <w:rsid w:val="0024665A"/>
    <w:rsid w:val="00252BFF"/>
    <w:rsid w:val="00252C8D"/>
    <w:rsid w:val="0025338E"/>
    <w:rsid w:val="00254D07"/>
    <w:rsid w:val="0026094B"/>
    <w:rsid w:val="0026130D"/>
    <w:rsid w:val="002631B7"/>
    <w:rsid w:val="00265B90"/>
    <w:rsid w:val="00271BEA"/>
    <w:rsid w:val="00275101"/>
    <w:rsid w:val="0029102B"/>
    <w:rsid w:val="00294C44"/>
    <w:rsid w:val="00296D12"/>
    <w:rsid w:val="002A07C4"/>
    <w:rsid w:val="002B5416"/>
    <w:rsid w:val="002C07EF"/>
    <w:rsid w:val="002C2021"/>
    <w:rsid w:val="002C2084"/>
    <w:rsid w:val="002D34B1"/>
    <w:rsid w:val="002D6854"/>
    <w:rsid w:val="002E5A37"/>
    <w:rsid w:val="002F0D10"/>
    <w:rsid w:val="002F1E62"/>
    <w:rsid w:val="002F34ED"/>
    <w:rsid w:val="002F4815"/>
    <w:rsid w:val="00300E7C"/>
    <w:rsid w:val="003029CB"/>
    <w:rsid w:val="00302CCE"/>
    <w:rsid w:val="003053B5"/>
    <w:rsid w:val="00311A4B"/>
    <w:rsid w:val="00311A5F"/>
    <w:rsid w:val="00312BBA"/>
    <w:rsid w:val="0031677F"/>
    <w:rsid w:val="00317212"/>
    <w:rsid w:val="00321B3D"/>
    <w:rsid w:val="0032201C"/>
    <w:rsid w:val="0032293D"/>
    <w:rsid w:val="003252CD"/>
    <w:rsid w:val="003277A4"/>
    <w:rsid w:val="0032799F"/>
    <w:rsid w:val="00331A7F"/>
    <w:rsid w:val="003322BD"/>
    <w:rsid w:val="00332665"/>
    <w:rsid w:val="00333B23"/>
    <w:rsid w:val="00336CFD"/>
    <w:rsid w:val="0034734D"/>
    <w:rsid w:val="00350B92"/>
    <w:rsid w:val="00350C6E"/>
    <w:rsid w:val="003546D4"/>
    <w:rsid w:val="00354921"/>
    <w:rsid w:val="00357D75"/>
    <w:rsid w:val="003600D0"/>
    <w:rsid w:val="00363D89"/>
    <w:rsid w:val="00380A6D"/>
    <w:rsid w:val="003909CE"/>
    <w:rsid w:val="00390D0C"/>
    <w:rsid w:val="003910DC"/>
    <w:rsid w:val="00392D42"/>
    <w:rsid w:val="003931FF"/>
    <w:rsid w:val="0039458A"/>
    <w:rsid w:val="0039558E"/>
    <w:rsid w:val="00396BD8"/>
    <w:rsid w:val="003979EC"/>
    <w:rsid w:val="003A00D2"/>
    <w:rsid w:val="003A0DDE"/>
    <w:rsid w:val="003A1AF8"/>
    <w:rsid w:val="003A62C3"/>
    <w:rsid w:val="003B0B18"/>
    <w:rsid w:val="003B74FE"/>
    <w:rsid w:val="003B7BAC"/>
    <w:rsid w:val="003C46E8"/>
    <w:rsid w:val="003C6A2D"/>
    <w:rsid w:val="003D2C13"/>
    <w:rsid w:val="003D4DB6"/>
    <w:rsid w:val="003D5A9C"/>
    <w:rsid w:val="003E6113"/>
    <w:rsid w:val="003F1C16"/>
    <w:rsid w:val="003F1CF2"/>
    <w:rsid w:val="003F422F"/>
    <w:rsid w:val="0040590E"/>
    <w:rsid w:val="004062E2"/>
    <w:rsid w:val="00407988"/>
    <w:rsid w:val="004116F0"/>
    <w:rsid w:val="004179C4"/>
    <w:rsid w:val="00417B3C"/>
    <w:rsid w:val="0042199A"/>
    <w:rsid w:val="00425000"/>
    <w:rsid w:val="004266AB"/>
    <w:rsid w:val="00427634"/>
    <w:rsid w:val="00432AEE"/>
    <w:rsid w:val="0043379B"/>
    <w:rsid w:val="00435429"/>
    <w:rsid w:val="00444387"/>
    <w:rsid w:val="004457D3"/>
    <w:rsid w:val="00451AA6"/>
    <w:rsid w:val="00452B7C"/>
    <w:rsid w:val="0045390A"/>
    <w:rsid w:val="0046139F"/>
    <w:rsid w:val="00462D04"/>
    <w:rsid w:val="00462F55"/>
    <w:rsid w:val="004638BF"/>
    <w:rsid w:val="00465810"/>
    <w:rsid w:val="0046631A"/>
    <w:rsid w:val="00466D88"/>
    <w:rsid w:val="00485ADB"/>
    <w:rsid w:val="00485F35"/>
    <w:rsid w:val="00486DBC"/>
    <w:rsid w:val="004B3528"/>
    <w:rsid w:val="004B4D9D"/>
    <w:rsid w:val="004B57D0"/>
    <w:rsid w:val="004C25D9"/>
    <w:rsid w:val="004C263A"/>
    <w:rsid w:val="004C349B"/>
    <w:rsid w:val="004C3CEA"/>
    <w:rsid w:val="004C65B9"/>
    <w:rsid w:val="004C6985"/>
    <w:rsid w:val="004D45E4"/>
    <w:rsid w:val="004E1D96"/>
    <w:rsid w:val="004E6711"/>
    <w:rsid w:val="004E69FD"/>
    <w:rsid w:val="004F39DD"/>
    <w:rsid w:val="004F70C1"/>
    <w:rsid w:val="00504000"/>
    <w:rsid w:val="00506A25"/>
    <w:rsid w:val="00506F04"/>
    <w:rsid w:val="0051247F"/>
    <w:rsid w:val="00516590"/>
    <w:rsid w:val="0052019E"/>
    <w:rsid w:val="00522A20"/>
    <w:rsid w:val="00524FB9"/>
    <w:rsid w:val="005258DF"/>
    <w:rsid w:val="00534A6B"/>
    <w:rsid w:val="00534BBF"/>
    <w:rsid w:val="00535B0F"/>
    <w:rsid w:val="0053640B"/>
    <w:rsid w:val="00537D30"/>
    <w:rsid w:val="0054328E"/>
    <w:rsid w:val="00543B97"/>
    <w:rsid w:val="005443C7"/>
    <w:rsid w:val="00545D00"/>
    <w:rsid w:val="0054637A"/>
    <w:rsid w:val="005528FC"/>
    <w:rsid w:val="005612FE"/>
    <w:rsid w:val="00563993"/>
    <w:rsid w:val="005649A7"/>
    <w:rsid w:val="00565EEB"/>
    <w:rsid w:val="005671F8"/>
    <w:rsid w:val="00581E9D"/>
    <w:rsid w:val="00581ECF"/>
    <w:rsid w:val="005821C5"/>
    <w:rsid w:val="0058250B"/>
    <w:rsid w:val="005838DE"/>
    <w:rsid w:val="0058428D"/>
    <w:rsid w:val="00584530"/>
    <w:rsid w:val="00591637"/>
    <w:rsid w:val="00592344"/>
    <w:rsid w:val="0059643D"/>
    <w:rsid w:val="00597223"/>
    <w:rsid w:val="005A044A"/>
    <w:rsid w:val="005A0776"/>
    <w:rsid w:val="005A2BCD"/>
    <w:rsid w:val="005A5B09"/>
    <w:rsid w:val="005B0280"/>
    <w:rsid w:val="005B4439"/>
    <w:rsid w:val="005B47BE"/>
    <w:rsid w:val="005B6C42"/>
    <w:rsid w:val="005C148A"/>
    <w:rsid w:val="005C2CE0"/>
    <w:rsid w:val="005C4A1D"/>
    <w:rsid w:val="005D1C0E"/>
    <w:rsid w:val="005D209E"/>
    <w:rsid w:val="005D21C4"/>
    <w:rsid w:val="005D3A03"/>
    <w:rsid w:val="005D45DF"/>
    <w:rsid w:val="005D6B22"/>
    <w:rsid w:val="005D78B7"/>
    <w:rsid w:val="005E4BC0"/>
    <w:rsid w:val="005E79A7"/>
    <w:rsid w:val="005F1A34"/>
    <w:rsid w:val="005F1CB3"/>
    <w:rsid w:val="005F4072"/>
    <w:rsid w:val="005F5DC7"/>
    <w:rsid w:val="005F6273"/>
    <w:rsid w:val="00600A18"/>
    <w:rsid w:val="00600A76"/>
    <w:rsid w:val="00606457"/>
    <w:rsid w:val="00613230"/>
    <w:rsid w:val="0061386B"/>
    <w:rsid w:val="00622AEB"/>
    <w:rsid w:val="00626EEC"/>
    <w:rsid w:val="00630695"/>
    <w:rsid w:val="00633BC1"/>
    <w:rsid w:val="00634539"/>
    <w:rsid w:val="00635BDB"/>
    <w:rsid w:val="0063655D"/>
    <w:rsid w:val="006370EC"/>
    <w:rsid w:val="00641A5A"/>
    <w:rsid w:val="0065178D"/>
    <w:rsid w:val="00654E38"/>
    <w:rsid w:val="00657865"/>
    <w:rsid w:val="00660292"/>
    <w:rsid w:val="006602B5"/>
    <w:rsid w:val="00663B55"/>
    <w:rsid w:val="0066597E"/>
    <w:rsid w:val="006677D5"/>
    <w:rsid w:val="00677022"/>
    <w:rsid w:val="006801C7"/>
    <w:rsid w:val="00683E2E"/>
    <w:rsid w:val="00684E3F"/>
    <w:rsid w:val="00685978"/>
    <w:rsid w:val="00686C72"/>
    <w:rsid w:val="006874FE"/>
    <w:rsid w:val="006878C5"/>
    <w:rsid w:val="0068793D"/>
    <w:rsid w:val="00687D67"/>
    <w:rsid w:val="0069208F"/>
    <w:rsid w:val="006A4D55"/>
    <w:rsid w:val="006A71E5"/>
    <w:rsid w:val="006B0539"/>
    <w:rsid w:val="006B31C7"/>
    <w:rsid w:val="006B5F19"/>
    <w:rsid w:val="006C0032"/>
    <w:rsid w:val="006C6225"/>
    <w:rsid w:val="006C6E47"/>
    <w:rsid w:val="006D2738"/>
    <w:rsid w:val="006D302B"/>
    <w:rsid w:val="006D68E1"/>
    <w:rsid w:val="006E3EE8"/>
    <w:rsid w:val="006E41A0"/>
    <w:rsid w:val="006E7389"/>
    <w:rsid w:val="006F0D51"/>
    <w:rsid w:val="006F1620"/>
    <w:rsid w:val="006F1B29"/>
    <w:rsid w:val="006F40E5"/>
    <w:rsid w:val="006F525D"/>
    <w:rsid w:val="00700698"/>
    <w:rsid w:val="00706D9F"/>
    <w:rsid w:val="00714EF9"/>
    <w:rsid w:val="00716173"/>
    <w:rsid w:val="00716B09"/>
    <w:rsid w:val="00720324"/>
    <w:rsid w:val="00721A89"/>
    <w:rsid w:val="00725318"/>
    <w:rsid w:val="0073237B"/>
    <w:rsid w:val="00733E6D"/>
    <w:rsid w:val="00736D1B"/>
    <w:rsid w:val="007371D9"/>
    <w:rsid w:val="00741C9F"/>
    <w:rsid w:val="007420F5"/>
    <w:rsid w:val="00751D5D"/>
    <w:rsid w:val="00753FAD"/>
    <w:rsid w:val="007569FB"/>
    <w:rsid w:val="0076020E"/>
    <w:rsid w:val="00760241"/>
    <w:rsid w:val="00762E52"/>
    <w:rsid w:val="007756C4"/>
    <w:rsid w:val="00776EFC"/>
    <w:rsid w:val="007803E8"/>
    <w:rsid w:val="00783446"/>
    <w:rsid w:val="007A0E2F"/>
    <w:rsid w:val="007A36BD"/>
    <w:rsid w:val="007A37B0"/>
    <w:rsid w:val="007A4D05"/>
    <w:rsid w:val="007A77EF"/>
    <w:rsid w:val="007B0C91"/>
    <w:rsid w:val="007B1A31"/>
    <w:rsid w:val="007B4025"/>
    <w:rsid w:val="007B53BA"/>
    <w:rsid w:val="007C2592"/>
    <w:rsid w:val="007C786E"/>
    <w:rsid w:val="007D104E"/>
    <w:rsid w:val="007D1342"/>
    <w:rsid w:val="007D551C"/>
    <w:rsid w:val="007E0894"/>
    <w:rsid w:val="007E193B"/>
    <w:rsid w:val="007E2A8C"/>
    <w:rsid w:val="007E5A84"/>
    <w:rsid w:val="007E7E9D"/>
    <w:rsid w:val="007F51BF"/>
    <w:rsid w:val="007F57E5"/>
    <w:rsid w:val="007F585C"/>
    <w:rsid w:val="007F5B33"/>
    <w:rsid w:val="007F6B65"/>
    <w:rsid w:val="008010CD"/>
    <w:rsid w:val="00806B1F"/>
    <w:rsid w:val="00814653"/>
    <w:rsid w:val="008156F5"/>
    <w:rsid w:val="00816435"/>
    <w:rsid w:val="008231E5"/>
    <w:rsid w:val="00823A89"/>
    <w:rsid w:val="008244F0"/>
    <w:rsid w:val="00835670"/>
    <w:rsid w:val="00840B66"/>
    <w:rsid w:val="0085319E"/>
    <w:rsid w:val="00856A23"/>
    <w:rsid w:val="00857B72"/>
    <w:rsid w:val="00862837"/>
    <w:rsid w:val="008646EA"/>
    <w:rsid w:val="00872697"/>
    <w:rsid w:val="0087367F"/>
    <w:rsid w:val="00873CAD"/>
    <w:rsid w:val="00874192"/>
    <w:rsid w:val="00875434"/>
    <w:rsid w:val="00877500"/>
    <w:rsid w:val="008779B8"/>
    <w:rsid w:val="00883659"/>
    <w:rsid w:val="00883981"/>
    <w:rsid w:val="00883F69"/>
    <w:rsid w:val="008876EA"/>
    <w:rsid w:val="00895402"/>
    <w:rsid w:val="008A0C98"/>
    <w:rsid w:val="008A1218"/>
    <w:rsid w:val="008A2C05"/>
    <w:rsid w:val="008A44EB"/>
    <w:rsid w:val="008B146B"/>
    <w:rsid w:val="008B274A"/>
    <w:rsid w:val="008B588F"/>
    <w:rsid w:val="008B6671"/>
    <w:rsid w:val="008C0401"/>
    <w:rsid w:val="008C32E4"/>
    <w:rsid w:val="008C447E"/>
    <w:rsid w:val="008C5E83"/>
    <w:rsid w:val="008D0E17"/>
    <w:rsid w:val="008D2952"/>
    <w:rsid w:val="008D357E"/>
    <w:rsid w:val="008D3E02"/>
    <w:rsid w:val="008E1260"/>
    <w:rsid w:val="008E2A78"/>
    <w:rsid w:val="008E5797"/>
    <w:rsid w:val="008F07F4"/>
    <w:rsid w:val="008F567C"/>
    <w:rsid w:val="008F5AAF"/>
    <w:rsid w:val="008F76AD"/>
    <w:rsid w:val="009047EE"/>
    <w:rsid w:val="009054B6"/>
    <w:rsid w:val="00911234"/>
    <w:rsid w:val="00911F1E"/>
    <w:rsid w:val="00912746"/>
    <w:rsid w:val="00916AC8"/>
    <w:rsid w:val="00920E0E"/>
    <w:rsid w:val="00923622"/>
    <w:rsid w:val="00924300"/>
    <w:rsid w:val="009302E5"/>
    <w:rsid w:val="00930B9D"/>
    <w:rsid w:val="00942A3D"/>
    <w:rsid w:val="009443EA"/>
    <w:rsid w:val="009452EB"/>
    <w:rsid w:val="00946C26"/>
    <w:rsid w:val="0095291D"/>
    <w:rsid w:val="009538BB"/>
    <w:rsid w:val="00955F74"/>
    <w:rsid w:val="0096258D"/>
    <w:rsid w:val="00966AD9"/>
    <w:rsid w:val="00966EA2"/>
    <w:rsid w:val="00970273"/>
    <w:rsid w:val="00971FE8"/>
    <w:rsid w:val="00972957"/>
    <w:rsid w:val="00972A7A"/>
    <w:rsid w:val="0097311A"/>
    <w:rsid w:val="009771E7"/>
    <w:rsid w:val="00977AD6"/>
    <w:rsid w:val="00977D87"/>
    <w:rsid w:val="0098070D"/>
    <w:rsid w:val="00987542"/>
    <w:rsid w:val="0099361D"/>
    <w:rsid w:val="0099658E"/>
    <w:rsid w:val="0099693D"/>
    <w:rsid w:val="00996EDC"/>
    <w:rsid w:val="009A1497"/>
    <w:rsid w:val="009A1FC5"/>
    <w:rsid w:val="009A48D4"/>
    <w:rsid w:val="009B0417"/>
    <w:rsid w:val="009B13A9"/>
    <w:rsid w:val="009B1EE7"/>
    <w:rsid w:val="009B791D"/>
    <w:rsid w:val="009C61D0"/>
    <w:rsid w:val="009D1D8F"/>
    <w:rsid w:val="009D3469"/>
    <w:rsid w:val="009E22F8"/>
    <w:rsid w:val="009E5F68"/>
    <w:rsid w:val="009F4F63"/>
    <w:rsid w:val="009F54DB"/>
    <w:rsid w:val="009F56E4"/>
    <w:rsid w:val="009F6FF1"/>
    <w:rsid w:val="009F7C55"/>
    <w:rsid w:val="00A00516"/>
    <w:rsid w:val="00A00ACA"/>
    <w:rsid w:val="00A01675"/>
    <w:rsid w:val="00A03390"/>
    <w:rsid w:val="00A04D59"/>
    <w:rsid w:val="00A0506B"/>
    <w:rsid w:val="00A07C8E"/>
    <w:rsid w:val="00A07CA5"/>
    <w:rsid w:val="00A11214"/>
    <w:rsid w:val="00A11571"/>
    <w:rsid w:val="00A12715"/>
    <w:rsid w:val="00A20A9D"/>
    <w:rsid w:val="00A227D2"/>
    <w:rsid w:val="00A24659"/>
    <w:rsid w:val="00A345FB"/>
    <w:rsid w:val="00A36ED7"/>
    <w:rsid w:val="00A4264B"/>
    <w:rsid w:val="00A46B16"/>
    <w:rsid w:val="00A51C7D"/>
    <w:rsid w:val="00A51EF3"/>
    <w:rsid w:val="00A559B6"/>
    <w:rsid w:val="00A57611"/>
    <w:rsid w:val="00A664DC"/>
    <w:rsid w:val="00A7036A"/>
    <w:rsid w:val="00A75EF1"/>
    <w:rsid w:val="00A77ECF"/>
    <w:rsid w:val="00A81BEF"/>
    <w:rsid w:val="00A83E5C"/>
    <w:rsid w:val="00A92FA5"/>
    <w:rsid w:val="00A94D8F"/>
    <w:rsid w:val="00A97C11"/>
    <w:rsid w:val="00AA008D"/>
    <w:rsid w:val="00AA41DA"/>
    <w:rsid w:val="00AA663F"/>
    <w:rsid w:val="00AB481D"/>
    <w:rsid w:val="00AB6183"/>
    <w:rsid w:val="00AB64E7"/>
    <w:rsid w:val="00AB6D4D"/>
    <w:rsid w:val="00AC078C"/>
    <w:rsid w:val="00AC3482"/>
    <w:rsid w:val="00AC367A"/>
    <w:rsid w:val="00AC3E06"/>
    <w:rsid w:val="00AD0714"/>
    <w:rsid w:val="00AD0CB0"/>
    <w:rsid w:val="00AD22ED"/>
    <w:rsid w:val="00AD4313"/>
    <w:rsid w:val="00AD4A44"/>
    <w:rsid w:val="00AE3686"/>
    <w:rsid w:val="00AE3ED7"/>
    <w:rsid w:val="00AE42A3"/>
    <w:rsid w:val="00AF25A9"/>
    <w:rsid w:val="00AF356A"/>
    <w:rsid w:val="00AF61A8"/>
    <w:rsid w:val="00B04319"/>
    <w:rsid w:val="00B049E2"/>
    <w:rsid w:val="00B0686C"/>
    <w:rsid w:val="00B128FE"/>
    <w:rsid w:val="00B14CAB"/>
    <w:rsid w:val="00B32DE0"/>
    <w:rsid w:val="00B3384B"/>
    <w:rsid w:val="00B345C4"/>
    <w:rsid w:val="00B345F1"/>
    <w:rsid w:val="00B3474C"/>
    <w:rsid w:val="00B35AF6"/>
    <w:rsid w:val="00B41CA7"/>
    <w:rsid w:val="00B423FA"/>
    <w:rsid w:val="00B42620"/>
    <w:rsid w:val="00B42F46"/>
    <w:rsid w:val="00B47747"/>
    <w:rsid w:val="00B527FD"/>
    <w:rsid w:val="00B56E45"/>
    <w:rsid w:val="00B61826"/>
    <w:rsid w:val="00B70D62"/>
    <w:rsid w:val="00B73BCD"/>
    <w:rsid w:val="00B758FC"/>
    <w:rsid w:val="00B818C4"/>
    <w:rsid w:val="00B85F93"/>
    <w:rsid w:val="00B876FE"/>
    <w:rsid w:val="00BA20E1"/>
    <w:rsid w:val="00BA2AD7"/>
    <w:rsid w:val="00BA40A2"/>
    <w:rsid w:val="00BA47E2"/>
    <w:rsid w:val="00BA7030"/>
    <w:rsid w:val="00BA70AA"/>
    <w:rsid w:val="00BB46A8"/>
    <w:rsid w:val="00BB771C"/>
    <w:rsid w:val="00BC5490"/>
    <w:rsid w:val="00BC5AFF"/>
    <w:rsid w:val="00BD2116"/>
    <w:rsid w:val="00BD545D"/>
    <w:rsid w:val="00BE00D2"/>
    <w:rsid w:val="00BE053A"/>
    <w:rsid w:val="00BE3679"/>
    <w:rsid w:val="00BE4345"/>
    <w:rsid w:val="00BE67F6"/>
    <w:rsid w:val="00BE6EA9"/>
    <w:rsid w:val="00BE7B47"/>
    <w:rsid w:val="00C02972"/>
    <w:rsid w:val="00C04E79"/>
    <w:rsid w:val="00C07753"/>
    <w:rsid w:val="00C11C72"/>
    <w:rsid w:val="00C121AF"/>
    <w:rsid w:val="00C158AF"/>
    <w:rsid w:val="00C207C4"/>
    <w:rsid w:val="00C21FC8"/>
    <w:rsid w:val="00C357FF"/>
    <w:rsid w:val="00C36CE0"/>
    <w:rsid w:val="00C4063A"/>
    <w:rsid w:val="00C407AC"/>
    <w:rsid w:val="00C40D55"/>
    <w:rsid w:val="00C44F75"/>
    <w:rsid w:val="00C45025"/>
    <w:rsid w:val="00C45F5A"/>
    <w:rsid w:val="00C46483"/>
    <w:rsid w:val="00C467CB"/>
    <w:rsid w:val="00C47021"/>
    <w:rsid w:val="00C47A68"/>
    <w:rsid w:val="00C50C42"/>
    <w:rsid w:val="00C5442A"/>
    <w:rsid w:val="00C6186E"/>
    <w:rsid w:val="00C61F70"/>
    <w:rsid w:val="00C62592"/>
    <w:rsid w:val="00C64003"/>
    <w:rsid w:val="00C666D3"/>
    <w:rsid w:val="00C71C91"/>
    <w:rsid w:val="00C72620"/>
    <w:rsid w:val="00C76BF8"/>
    <w:rsid w:val="00C76F89"/>
    <w:rsid w:val="00C82919"/>
    <w:rsid w:val="00C833C3"/>
    <w:rsid w:val="00C86BFA"/>
    <w:rsid w:val="00C86C3C"/>
    <w:rsid w:val="00C9168B"/>
    <w:rsid w:val="00C92E69"/>
    <w:rsid w:val="00C93E0E"/>
    <w:rsid w:val="00C95CC4"/>
    <w:rsid w:val="00C96C97"/>
    <w:rsid w:val="00CB5182"/>
    <w:rsid w:val="00CD0A64"/>
    <w:rsid w:val="00CD46CA"/>
    <w:rsid w:val="00CD7B23"/>
    <w:rsid w:val="00CE156F"/>
    <w:rsid w:val="00CE47DF"/>
    <w:rsid w:val="00CE5551"/>
    <w:rsid w:val="00CF01F8"/>
    <w:rsid w:val="00CF07BA"/>
    <w:rsid w:val="00CF09AE"/>
    <w:rsid w:val="00CF1691"/>
    <w:rsid w:val="00CF19B4"/>
    <w:rsid w:val="00D00001"/>
    <w:rsid w:val="00D028F3"/>
    <w:rsid w:val="00D12C3D"/>
    <w:rsid w:val="00D14CDA"/>
    <w:rsid w:val="00D16452"/>
    <w:rsid w:val="00D1716E"/>
    <w:rsid w:val="00D20B4D"/>
    <w:rsid w:val="00D21AC9"/>
    <w:rsid w:val="00D226A0"/>
    <w:rsid w:val="00D305B4"/>
    <w:rsid w:val="00D307B1"/>
    <w:rsid w:val="00D31130"/>
    <w:rsid w:val="00D318C5"/>
    <w:rsid w:val="00D36E59"/>
    <w:rsid w:val="00D40526"/>
    <w:rsid w:val="00D44E9B"/>
    <w:rsid w:val="00D45920"/>
    <w:rsid w:val="00D55715"/>
    <w:rsid w:val="00D6308E"/>
    <w:rsid w:val="00D66FFF"/>
    <w:rsid w:val="00D67BCF"/>
    <w:rsid w:val="00D706B0"/>
    <w:rsid w:val="00D70859"/>
    <w:rsid w:val="00D70D04"/>
    <w:rsid w:val="00D71C71"/>
    <w:rsid w:val="00D739C4"/>
    <w:rsid w:val="00D73B8D"/>
    <w:rsid w:val="00D73CC4"/>
    <w:rsid w:val="00D743AF"/>
    <w:rsid w:val="00D7602E"/>
    <w:rsid w:val="00D76D43"/>
    <w:rsid w:val="00D77FDD"/>
    <w:rsid w:val="00D80156"/>
    <w:rsid w:val="00D825C6"/>
    <w:rsid w:val="00D849F8"/>
    <w:rsid w:val="00D8540F"/>
    <w:rsid w:val="00D8669E"/>
    <w:rsid w:val="00D92FC1"/>
    <w:rsid w:val="00D94697"/>
    <w:rsid w:val="00D965B0"/>
    <w:rsid w:val="00DA0CCF"/>
    <w:rsid w:val="00DA2517"/>
    <w:rsid w:val="00DB1F96"/>
    <w:rsid w:val="00DB70EC"/>
    <w:rsid w:val="00DC19CB"/>
    <w:rsid w:val="00DC5868"/>
    <w:rsid w:val="00DC5DCC"/>
    <w:rsid w:val="00DD0E95"/>
    <w:rsid w:val="00DD13C8"/>
    <w:rsid w:val="00DD2D1B"/>
    <w:rsid w:val="00DD615E"/>
    <w:rsid w:val="00DD632F"/>
    <w:rsid w:val="00DD74E1"/>
    <w:rsid w:val="00DE1BC5"/>
    <w:rsid w:val="00DE4F0F"/>
    <w:rsid w:val="00DE5346"/>
    <w:rsid w:val="00DF11B2"/>
    <w:rsid w:val="00DF3A6D"/>
    <w:rsid w:val="00DF4D9D"/>
    <w:rsid w:val="00DF7479"/>
    <w:rsid w:val="00DF7826"/>
    <w:rsid w:val="00E01605"/>
    <w:rsid w:val="00E01C29"/>
    <w:rsid w:val="00E04CBB"/>
    <w:rsid w:val="00E061FF"/>
    <w:rsid w:val="00E132E6"/>
    <w:rsid w:val="00E14D6C"/>
    <w:rsid w:val="00E1511A"/>
    <w:rsid w:val="00E1517D"/>
    <w:rsid w:val="00E202C7"/>
    <w:rsid w:val="00E219B2"/>
    <w:rsid w:val="00E23A18"/>
    <w:rsid w:val="00E26086"/>
    <w:rsid w:val="00E263EB"/>
    <w:rsid w:val="00E26D42"/>
    <w:rsid w:val="00E30C2E"/>
    <w:rsid w:val="00E30DA5"/>
    <w:rsid w:val="00E32863"/>
    <w:rsid w:val="00E3490C"/>
    <w:rsid w:val="00E40419"/>
    <w:rsid w:val="00E47CBF"/>
    <w:rsid w:val="00E47D7D"/>
    <w:rsid w:val="00E50858"/>
    <w:rsid w:val="00E52134"/>
    <w:rsid w:val="00E60D0D"/>
    <w:rsid w:val="00E60E58"/>
    <w:rsid w:val="00E6273C"/>
    <w:rsid w:val="00E65729"/>
    <w:rsid w:val="00E65D37"/>
    <w:rsid w:val="00E669B1"/>
    <w:rsid w:val="00E71A2E"/>
    <w:rsid w:val="00E75A38"/>
    <w:rsid w:val="00E76273"/>
    <w:rsid w:val="00E7759C"/>
    <w:rsid w:val="00E7774E"/>
    <w:rsid w:val="00E77A66"/>
    <w:rsid w:val="00E77A88"/>
    <w:rsid w:val="00E80FD7"/>
    <w:rsid w:val="00E835C1"/>
    <w:rsid w:val="00E85275"/>
    <w:rsid w:val="00E94EB3"/>
    <w:rsid w:val="00E964FA"/>
    <w:rsid w:val="00E97F28"/>
    <w:rsid w:val="00EA04BF"/>
    <w:rsid w:val="00EA1059"/>
    <w:rsid w:val="00EA1B6E"/>
    <w:rsid w:val="00EA3370"/>
    <w:rsid w:val="00EA3554"/>
    <w:rsid w:val="00EA3D58"/>
    <w:rsid w:val="00EA4D19"/>
    <w:rsid w:val="00EA5F6F"/>
    <w:rsid w:val="00EA7F46"/>
    <w:rsid w:val="00EB02F5"/>
    <w:rsid w:val="00EB380E"/>
    <w:rsid w:val="00EB4046"/>
    <w:rsid w:val="00EC1319"/>
    <w:rsid w:val="00ED3076"/>
    <w:rsid w:val="00EE0725"/>
    <w:rsid w:val="00EE3A08"/>
    <w:rsid w:val="00EE5760"/>
    <w:rsid w:val="00EE5E68"/>
    <w:rsid w:val="00EE602C"/>
    <w:rsid w:val="00EE62E4"/>
    <w:rsid w:val="00EF023B"/>
    <w:rsid w:val="00EF0E52"/>
    <w:rsid w:val="00EF1BE4"/>
    <w:rsid w:val="00EF3FAB"/>
    <w:rsid w:val="00EF5F19"/>
    <w:rsid w:val="00EF7728"/>
    <w:rsid w:val="00EF7821"/>
    <w:rsid w:val="00F000AE"/>
    <w:rsid w:val="00F0191C"/>
    <w:rsid w:val="00F02282"/>
    <w:rsid w:val="00F02425"/>
    <w:rsid w:val="00F03CA9"/>
    <w:rsid w:val="00F162AD"/>
    <w:rsid w:val="00F163BC"/>
    <w:rsid w:val="00F16532"/>
    <w:rsid w:val="00F17F1C"/>
    <w:rsid w:val="00F2673F"/>
    <w:rsid w:val="00F32F14"/>
    <w:rsid w:val="00F35F82"/>
    <w:rsid w:val="00F40224"/>
    <w:rsid w:val="00F46223"/>
    <w:rsid w:val="00F4689C"/>
    <w:rsid w:val="00F473B5"/>
    <w:rsid w:val="00F53F83"/>
    <w:rsid w:val="00F543A4"/>
    <w:rsid w:val="00F579D1"/>
    <w:rsid w:val="00F57E43"/>
    <w:rsid w:val="00F613A8"/>
    <w:rsid w:val="00F63BCD"/>
    <w:rsid w:val="00F73005"/>
    <w:rsid w:val="00F7305B"/>
    <w:rsid w:val="00F747E1"/>
    <w:rsid w:val="00F81949"/>
    <w:rsid w:val="00F82A9F"/>
    <w:rsid w:val="00F83B11"/>
    <w:rsid w:val="00F931E6"/>
    <w:rsid w:val="00F94346"/>
    <w:rsid w:val="00F960A1"/>
    <w:rsid w:val="00F9611A"/>
    <w:rsid w:val="00F96358"/>
    <w:rsid w:val="00FA00A3"/>
    <w:rsid w:val="00FA2D6D"/>
    <w:rsid w:val="00FA3324"/>
    <w:rsid w:val="00FA5EA7"/>
    <w:rsid w:val="00FB2295"/>
    <w:rsid w:val="00FB42BA"/>
    <w:rsid w:val="00FB589C"/>
    <w:rsid w:val="00FB63A3"/>
    <w:rsid w:val="00FC020C"/>
    <w:rsid w:val="00FC3BA4"/>
    <w:rsid w:val="00FC43D2"/>
    <w:rsid w:val="00FC79CC"/>
    <w:rsid w:val="00FC7A73"/>
    <w:rsid w:val="00FC7F8B"/>
    <w:rsid w:val="00FD3B63"/>
    <w:rsid w:val="00FE2362"/>
    <w:rsid w:val="00FE291F"/>
    <w:rsid w:val="00FE7DF1"/>
    <w:rsid w:val="00FF1B42"/>
    <w:rsid w:val="00FF60FE"/>
    <w:rsid w:val="00FF6EAA"/>
    <w:rsid w:val="011865A4"/>
    <w:rsid w:val="015E4572"/>
    <w:rsid w:val="016D2D5B"/>
    <w:rsid w:val="017D4F5C"/>
    <w:rsid w:val="018E2A45"/>
    <w:rsid w:val="01BB3589"/>
    <w:rsid w:val="01DA56FF"/>
    <w:rsid w:val="01FF3BC3"/>
    <w:rsid w:val="0227299C"/>
    <w:rsid w:val="02464224"/>
    <w:rsid w:val="02587777"/>
    <w:rsid w:val="026531FA"/>
    <w:rsid w:val="0298774D"/>
    <w:rsid w:val="02B50726"/>
    <w:rsid w:val="02B640B5"/>
    <w:rsid w:val="02C2405D"/>
    <w:rsid w:val="02C5783A"/>
    <w:rsid w:val="02D44B88"/>
    <w:rsid w:val="031713E0"/>
    <w:rsid w:val="032E2B81"/>
    <w:rsid w:val="037A6946"/>
    <w:rsid w:val="038073BC"/>
    <w:rsid w:val="03AE752A"/>
    <w:rsid w:val="03D32EE8"/>
    <w:rsid w:val="03E5503B"/>
    <w:rsid w:val="03E76489"/>
    <w:rsid w:val="03F32878"/>
    <w:rsid w:val="03F51075"/>
    <w:rsid w:val="03FA44FB"/>
    <w:rsid w:val="03FD6D27"/>
    <w:rsid w:val="04212517"/>
    <w:rsid w:val="04277401"/>
    <w:rsid w:val="042D24F6"/>
    <w:rsid w:val="043F2FC4"/>
    <w:rsid w:val="04567B72"/>
    <w:rsid w:val="04A62A1C"/>
    <w:rsid w:val="04E94B2C"/>
    <w:rsid w:val="053A520C"/>
    <w:rsid w:val="054F5C6B"/>
    <w:rsid w:val="056531B8"/>
    <w:rsid w:val="05806550"/>
    <w:rsid w:val="05904D6D"/>
    <w:rsid w:val="059A1A77"/>
    <w:rsid w:val="05B72758"/>
    <w:rsid w:val="05CA7A7C"/>
    <w:rsid w:val="05D010FC"/>
    <w:rsid w:val="05F43268"/>
    <w:rsid w:val="060E6ACB"/>
    <w:rsid w:val="064A57C3"/>
    <w:rsid w:val="066869D6"/>
    <w:rsid w:val="06686BF5"/>
    <w:rsid w:val="06823015"/>
    <w:rsid w:val="06907561"/>
    <w:rsid w:val="069D7E4F"/>
    <w:rsid w:val="06ED4932"/>
    <w:rsid w:val="06F24A71"/>
    <w:rsid w:val="06FD1917"/>
    <w:rsid w:val="07006F4F"/>
    <w:rsid w:val="071735CB"/>
    <w:rsid w:val="071D689A"/>
    <w:rsid w:val="0729064F"/>
    <w:rsid w:val="073562D9"/>
    <w:rsid w:val="074D44A4"/>
    <w:rsid w:val="074D4CA1"/>
    <w:rsid w:val="07807554"/>
    <w:rsid w:val="07A96D55"/>
    <w:rsid w:val="07E21FBD"/>
    <w:rsid w:val="07E51AAD"/>
    <w:rsid w:val="080D690E"/>
    <w:rsid w:val="08447C83"/>
    <w:rsid w:val="08640C24"/>
    <w:rsid w:val="086C7163"/>
    <w:rsid w:val="087D1CE6"/>
    <w:rsid w:val="08AB250E"/>
    <w:rsid w:val="08C64C26"/>
    <w:rsid w:val="08CE0793"/>
    <w:rsid w:val="08DA1D18"/>
    <w:rsid w:val="08DE558A"/>
    <w:rsid w:val="08FF094D"/>
    <w:rsid w:val="09137F54"/>
    <w:rsid w:val="09174190"/>
    <w:rsid w:val="096B1B3E"/>
    <w:rsid w:val="09762D7C"/>
    <w:rsid w:val="09903C9B"/>
    <w:rsid w:val="09A43413"/>
    <w:rsid w:val="09A643CA"/>
    <w:rsid w:val="0A0312C0"/>
    <w:rsid w:val="0A216426"/>
    <w:rsid w:val="0A294FB2"/>
    <w:rsid w:val="0A424215"/>
    <w:rsid w:val="0A466107"/>
    <w:rsid w:val="0A48700F"/>
    <w:rsid w:val="0A540D8C"/>
    <w:rsid w:val="0A567485"/>
    <w:rsid w:val="0A586566"/>
    <w:rsid w:val="0A7569B0"/>
    <w:rsid w:val="0AB55DA1"/>
    <w:rsid w:val="0AC51919"/>
    <w:rsid w:val="0AF3628F"/>
    <w:rsid w:val="0B0A4727"/>
    <w:rsid w:val="0B372620"/>
    <w:rsid w:val="0B3E4533"/>
    <w:rsid w:val="0B4B2D10"/>
    <w:rsid w:val="0B5375B9"/>
    <w:rsid w:val="0B995089"/>
    <w:rsid w:val="0BCE2B3D"/>
    <w:rsid w:val="0BFE6C9A"/>
    <w:rsid w:val="0C063863"/>
    <w:rsid w:val="0C1A00DD"/>
    <w:rsid w:val="0C211466"/>
    <w:rsid w:val="0C450D6C"/>
    <w:rsid w:val="0C5976C7"/>
    <w:rsid w:val="0C6C3599"/>
    <w:rsid w:val="0C6C62F9"/>
    <w:rsid w:val="0CB718B5"/>
    <w:rsid w:val="0D0316C4"/>
    <w:rsid w:val="0D215336"/>
    <w:rsid w:val="0D35689F"/>
    <w:rsid w:val="0D557999"/>
    <w:rsid w:val="0D790EFC"/>
    <w:rsid w:val="0D7A2E7E"/>
    <w:rsid w:val="0DC675D6"/>
    <w:rsid w:val="0DD26630"/>
    <w:rsid w:val="0DDA3736"/>
    <w:rsid w:val="0DE620DB"/>
    <w:rsid w:val="0DFF319D"/>
    <w:rsid w:val="0E2D0993"/>
    <w:rsid w:val="0E2F49DE"/>
    <w:rsid w:val="0E323572"/>
    <w:rsid w:val="0E416080"/>
    <w:rsid w:val="0E5938D0"/>
    <w:rsid w:val="0E967D56"/>
    <w:rsid w:val="0EBD454D"/>
    <w:rsid w:val="0EC848FA"/>
    <w:rsid w:val="0ED239BD"/>
    <w:rsid w:val="0ED566C3"/>
    <w:rsid w:val="0EDB59B8"/>
    <w:rsid w:val="0EDF7256"/>
    <w:rsid w:val="0F003628"/>
    <w:rsid w:val="0F347BC0"/>
    <w:rsid w:val="0F9A4F2B"/>
    <w:rsid w:val="0FC8009F"/>
    <w:rsid w:val="0FF459F3"/>
    <w:rsid w:val="101D4977"/>
    <w:rsid w:val="104C49B0"/>
    <w:rsid w:val="1050024D"/>
    <w:rsid w:val="10793EC0"/>
    <w:rsid w:val="108D6846"/>
    <w:rsid w:val="10981D16"/>
    <w:rsid w:val="10A01A9E"/>
    <w:rsid w:val="10B14C22"/>
    <w:rsid w:val="10B50053"/>
    <w:rsid w:val="10B80835"/>
    <w:rsid w:val="10EF0BED"/>
    <w:rsid w:val="10FC5772"/>
    <w:rsid w:val="111B6540"/>
    <w:rsid w:val="112B3518"/>
    <w:rsid w:val="11812847"/>
    <w:rsid w:val="118C11EC"/>
    <w:rsid w:val="118C5418"/>
    <w:rsid w:val="11BE2E6A"/>
    <w:rsid w:val="11C4173F"/>
    <w:rsid w:val="11C912BB"/>
    <w:rsid w:val="11CD68D0"/>
    <w:rsid w:val="11D15AD5"/>
    <w:rsid w:val="11DA4C45"/>
    <w:rsid w:val="11F7357F"/>
    <w:rsid w:val="1255782F"/>
    <w:rsid w:val="127410DF"/>
    <w:rsid w:val="128E0A51"/>
    <w:rsid w:val="128E26F8"/>
    <w:rsid w:val="12C15BBC"/>
    <w:rsid w:val="12F33D9C"/>
    <w:rsid w:val="131F4AA4"/>
    <w:rsid w:val="13557155"/>
    <w:rsid w:val="13623FB2"/>
    <w:rsid w:val="13677FBE"/>
    <w:rsid w:val="13706552"/>
    <w:rsid w:val="137379E5"/>
    <w:rsid w:val="137E6912"/>
    <w:rsid w:val="138008DC"/>
    <w:rsid w:val="13971974"/>
    <w:rsid w:val="13D37641"/>
    <w:rsid w:val="13E57ACD"/>
    <w:rsid w:val="13FF2163"/>
    <w:rsid w:val="14076FA7"/>
    <w:rsid w:val="14096B23"/>
    <w:rsid w:val="14226259"/>
    <w:rsid w:val="14250B6B"/>
    <w:rsid w:val="1425391A"/>
    <w:rsid w:val="145F4D99"/>
    <w:rsid w:val="149E7323"/>
    <w:rsid w:val="14B37C51"/>
    <w:rsid w:val="14C33176"/>
    <w:rsid w:val="14C8253B"/>
    <w:rsid w:val="14F275B8"/>
    <w:rsid w:val="154D66D9"/>
    <w:rsid w:val="157678E3"/>
    <w:rsid w:val="157E709D"/>
    <w:rsid w:val="15A32ED3"/>
    <w:rsid w:val="15BB3E4D"/>
    <w:rsid w:val="15F15F84"/>
    <w:rsid w:val="160457F4"/>
    <w:rsid w:val="16285F75"/>
    <w:rsid w:val="162E0AC3"/>
    <w:rsid w:val="16406583"/>
    <w:rsid w:val="16446468"/>
    <w:rsid w:val="167364D6"/>
    <w:rsid w:val="167C39AF"/>
    <w:rsid w:val="16A06BC0"/>
    <w:rsid w:val="16D358FE"/>
    <w:rsid w:val="16E1737D"/>
    <w:rsid w:val="170B2BB3"/>
    <w:rsid w:val="171C4DC0"/>
    <w:rsid w:val="17262A17"/>
    <w:rsid w:val="172A3039"/>
    <w:rsid w:val="173C0933"/>
    <w:rsid w:val="175C22CA"/>
    <w:rsid w:val="17681DB3"/>
    <w:rsid w:val="176D257A"/>
    <w:rsid w:val="176E373B"/>
    <w:rsid w:val="17793FC0"/>
    <w:rsid w:val="177B5EAF"/>
    <w:rsid w:val="1789530B"/>
    <w:rsid w:val="17B6768F"/>
    <w:rsid w:val="17B86896"/>
    <w:rsid w:val="182A0E16"/>
    <w:rsid w:val="18754787"/>
    <w:rsid w:val="18950986"/>
    <w:rsid w:val="18952734"/>
    <w:rsid w:val="18A37240"/>
    <w:rsid w:val="18B21538"/>
    <w:rsid w:val="18CC2B9A"/>
    <w:rsid w:val="18CD6489"/>
    <w:rsid w:val="18CF3F6C"/>
    <w:rsid w:val="19296DE1"/>
    <w:rsid w:val="19487371"/>
    <w:rsid w:val="19570331"/>
    <w:rsid w:val="195720DF"/>
    <w:rsid w:val="196A6FEC"/>
    <w:rsid w:val="197902A7"/>
    <w:rsid w:val="199E3297"/>
    <w:rsid w:val="19AB3A08"/>
    <w:rsid w:val="19AC7E28"/>
    <w:rsid w:val="19BD070A"/>
    <w:rsid w:val="19FF204F"/>
    <w:rsid w:val="1A1D365C"/>
    <w:rsid w:val="1A3021D6"/>
    <w:rsid w:val="1A303911"/>
    <w:rsid w:val="1A442663"/>
    <w:rsid w:val="1A5A1870"/>
    <w:rsid w:val="1A8707A2"/>
    <w:rsid w:val="1AA5515F"/>
    <w:rsid w:val="1AB44CB1"/>
    <w:rsid w:val="1AD32060"/>
    <w:rsid w:val="1B065B6B"/>
    <w:rsid w:val="1B0B3181"/>
    <w:rsid w:val="1B536678"/>
    <w:rsid w:val="1B773DB4"/>
    <w:rsid w:val="1B7754FA"/>
    <w:rsid w:val="1B8F3BEC"/>
    <w:rsid w:val="1B9969DF"/>
    <w:rsid w:val="1BAD1A9B"/>
    <w:rsid w:val="1BBE1FA1"/>
    <w:rsid w:val="1BD01CD5"/>
    <w:rsid w:val="1BD86A48"/>
    <w:rsid w:val="1BF305C5"/>
    <w:rsid w:val="1C200EAE"/>
    <w:rsid w:val="1C324319"/>
    <w:rsid w:val="1C3708E0"/>
    <w:rsid w:val="1D0C5576"/>
    <w:rsid w:val="1D134B7B"/>
    <w:rsid w:val="1D1502E7"/>
    <w:rsid w:val="1D197FAA"/>
    <w:rsid w:val="1D311589"/>
    <w:rsid w:val="1D3D5EE0"/>
    <w:rsid w:val="1D83241E"/>
    <w:rsid w:val="1DAD780A"/>
    <w:rsid w:val="1DEF7239"/>
    <w:rsid w:val="1DF443A0"/>
    <w:rsid w:val="1E110617"/>
    <w:rsid w:val="1E1E5F22"/>
    <w:rsid w:val="1E3921A5"/>
    <w:rsid w:val="1E3C6438"/>
    <w:rsid w:val="1E8860EC"/>
    <w:rsid w:val="1E892D3B"/>
    <w:rsid w:val="1E9E0F00"/>
    <w:rsid w:val="1EA062D6"/>
    <w:rsid w:val="1EBA3933"/>
    <w:rsid w:val="1EC32FCF"/>
    <w:rsid w:val="1ECF7228"/>
    <w:rsid w:val="1EFB52BB"/>
    <w:rsid w:val="1EFE2DBE"/>
    <w:rsid w:val="1F486752"/>
    <w:rsid w:val="1F577E11"/>
    <w:rsid w:val="1F656DA7"/>
    <w:rsid w:val="1F9B466D"/>
    <w:rsid w:val="1FC003D1"/>
    <w:rsid w:val="1FC07AC6"/>
    <w:rsid w:val="1FC551FE"/>
    <w:rsid w:val="1FCF6E73"/>
    <w:rsid w:val="1FE32671"/>
    <w:rsid w:val="1FE810E9"/>
    <w:rsid w:val="1FF16DE9"/>
    <w:rsid w:val="200E3A7E"/>
    <w:rsid w:val="20694393"/>
    <w:rsid w:val="206A094A"/>
    <w:rsid w:val="208C7C90"/>
    <w:rsid w:val="20DF3407"/>
    <w:rsid w:val="20FF5536"/>
    <w:rsid w:val="21095493"/>
    <w:rsid w:val="210D17E5"/>
    <w:rsid w:val="21121738"/>
    <w:rsid w:val="212F641C"/>
    <w:rsid w:val="213571AA"/>
    <w:rsid w:val="21496E4F"/>
    <w:rsid w:val="217C6913"/>
    <w:rsid w:val="218B45E3"/>
    <w:rsid w:val="21B20FBC"/>
    <w:rsid w:val="21E878C2"/>
    <w:rsid w:val="22266AF2"/>
    <w:rsid w:val="22357ABE"/>
    <w:rsid w:val="223E517A"/>
    <w:rsid w:val="22436453"/>
    <w:rsid w:val="226715E5"/>
    <w:rsid w:val="229936CE"/>
    <w:rsid w:val="22B04A83"/>
    <w:rsid w:val="22BA2936"/>
    <w:rsid w:val="23005595"/>
    <w:rsid w:val="23091DFE"/>
    <w:rsid w:val="23267C2C"/>
    <w:rsid w:val="236D6218"/>
    <w:rsid w:val="237357DC"/>
    <w:rsid w:val="2383244E"/>
    <w:rsid w:val="23A5103A"/>
    <w:rsid w:val="23C65A24"/>
    <w:rsid w:val="24646E5F"/>
    <w:rsid w:val="246851A0"/>
    <w:rsid w:val="24690A71"/>
    <w:rsid w:val="24704055"/>
    <w:rsid w:val="248531CC"/>
    <w:rsid w:val="248C3824"/>
    <w:rsid w:val="249A7745"/>
    <w:rsid w:val="24A25738"/>
    <w:rsid w:val="24CA3748"/>
    <w:rsid w:val="24EF141E"/>
    <w:rsid w:val="24FA2625"/>
    <w:rsid w:val="24FD5A7C"/>
    <w:rsid w:val="250E2B8B"/>
    <w:rsid w:val="251B3144"/>
    <w:rsid w:val="25251249"/>
    <w:rsid w:val="252F1CD4"/>
    <w:rsid w:val="253E01BB"/>
    <w:rsid w:val="254900F3"/>
    <w:rsid w:val="257302A1"/>
    <w:rsid w:val="257A162F"/>
    <w:rsid w:val="257F1DD0"/>
    <w:rsid w:val="258B6932"/>
    <w:rsid w:val="25A55F80"/>
    <w:rsid w:val="25D5255E"/>
    <w:rsid w:val="25F47FA8"/>
    <w:rsid w:val="25FB7AB8"/>
    <w:rsid w:val="25FC0296"/>
    <w:rsid w:val="26130CE1"/>
    <w:rsid w:val="26243349"/>
    <w:rsid w:val="26264AE4"/>
    <w:rsid w:val="263C416D"/>
    <w:rsid w:val="26442651"/>
    <w:rsid w:val="26C012C4"/>
    <w:rsid w:val="26C8461C"/>
    <w:rsid w:val="26CC1106"/>
    <w:rsid w:val="26CC79C4"/>
    <w:rsid w:val="270A486D"/>
    <w:rsid w:val="27275F7C"/>
    <w:rsid w:val="27303806"/>
    <w:rsid w:val="27383550"/>
    <w:rsid w:val="2740315F"/>
    <w:rsid w:val="2741230C"/>
    <w:rsid w:val="275A1718"/>
    <w:rsid w:val="27A4002A"/>
    <w:rsid w:val="27A97FAA"/>
    <w:rsid w:val="27AC35F6"/>
    <w:rsid w:val="27BB7CDD"/>
    <w:rsid w:val="282B6C11"/>
    <w:rsid w:val="283C7070"/>
    <w:rsid w:val="28553C8E"/>
    <w:rsid w:val="28686379"/>
    <w:rsid w:val="288051AE"/>
    <w:rsid w:val="288307FB"/>
    <w:rsid w:val="2896196F"/>
    <w:rsid w:val="28A117D6"/>
    <w:rsid w:val="28A41ADE"/>
    <w:rsid w:val="28B57ABC"/>
    <w:rsid w:val="28B603C6"/>
    <w:rsid w:val="28C72DDD"/>
    <w:rsid w:val="28C91BFF"/>
    <w:rsid w:val="28CE363E"/>
    <w:rsid w:val="28D31337"/>
    <w:rsid w:val="28DF3F58"/>
    <w:rsid w:val="28FA4916"/>
    <w:rsid w:val="290F208E"/>
    <w:rsid w:val="2910178B"/>
    <w:rsid w:val="294268ED"/>
    <w:rsid w:val="295E17D5"/>
    <w:rsid w:val="298F1060"/>
    <w:rsid w:val="29A34776"/>
    <w:rsid w:val="29A529F3"/>
    <w:rsid w:val="29BF56FD"/>
    <w:rsid w:val="29C015DB"/>
    <w:rsid w:val="29F332BC"/>
    <w:rsid w:val="2A0B44D0"/>
    <w:rsid w:val="2A0E1951"/>
    <w:rsid w:val="2A306760"/>
    <w:rsid w:val="2A5266D7"/>
    <w:rsid w:val="2A527064"/>
    <w:rsid w:val="2A8E2F7B"/>
    <w:rsid w:val="2A905451"/>
    <w:rsid w:val="2A934AE6"/>
    <w:rsid w:val="2A9F71BF"/>
    <w:rsid w:val="2AA04C98"/>
    <w:rsid w:val="2AB643C4"/>
    <w:rsid w:val="2AD03ECE"/>
    <w:rsid w:val="2AD259CE"/>
    <w:rsid w:val="2B133171"/>
    <w:rsid w:val="2B597F39"/>
    <w:rsid w:val="2BA14770"/>
    <w:rsid w:val="2BE932ED"/>
    <w:rsid w:val="2C1A0E3F"/>
    <w:rsid w:val="2C3047F6"/>
    <w:rsid w:val="2C381DB1"/>
    <w:rsid w:val="2C457EF6"/>
    <w:rsid w:val="2C501141"/>
    <w:rsid w:val="2C6A684E"/>
    <w:rsid w:val="2C711907"/>
    <w:rsid w:val="2C802549"/>
    <w:rsid w:val="2C8D7CED"/>
    <w:rsid w:val="2CBC71CE"/>
    <w:rsid w:val="2CBC7947"/>
    <w:rsid w:val="2D196175"/>
    <w:rsid w:val="2D576BA6"/>
    <w:rsid w:val="2D592552"/>
    <w:rsid w:val="2D677A73"/>
    <w:rsid w:val="2D730862"/>
    <w:rsid w:val="2DA0009A"/>
    <w:rsid w:val="2DA3030A"/>
    <w:rsid w:val="2E1C7591"/>
    <w:rsid w:val="2E350548"/>
    <w:rsid w:val="2E627104"/>
    <w:rsid w:val="2E6966E5"/>
    <w:rsid w:val="2EA5029A"/>
    <w:rsid w:val="2EA96AE1"/>
    <w:rsid w:val="2EBD60B6"/>
    <w:rsid w:val="2ED41CCC"/>
    <w:rsid w:val="2EF550EC"/>
    <w:rsid w:val="2F325C88"/>
    <w:rsid w:val="2F3850AE"/>
    <w:rsid w:val="2F835584"/>
    <w:rsid w:val="2F971030"/>
    <w:rsid w:val="2FC507D9"/>
    <w:rsid w:val="30045885"/>
    <w:rsid w:val="307A6A38"/>
    <w:rsid w:val="307B121D"/>
    <w:rsid w:val="30BB3295"/>
    <w:rsid w:val="30D37F5D"/>
    <w:rsid w:val="30E87E4A"/>
    <w:rsid w:val="31396368"/>
    <w:rsid w:val="31462D0D"/>
    <w:rsid w:val="3166515D"/>
    <w:rsid w:val="31703EEE"/>
    <w:rsid w:val="31717D8A"/>
    <w:rsid w:val="31880C30"/>
    <w:rsid w:val="31C81974"/>
    <w:rsid w:val="31D43055"/>
    <w:rsid w:val="31E22A36"/>
    <w:rsid w:val="320343BC"/>
    <w:rsid w:val="3203475A"/>
    <w:rsid w:val="32046BBF"/>
    <w:rsid w:val="320F4EAD"/>
    <w:rsid w:val="32215B4A"/>
    <w:rsid w:val="32323A4D"/>
    <w:rsid w:val="323759CE"/>
    <w:rsid w:val="325F0DF7"/>
    <w:rsid w:val="3264169D"/>
    <w:rsid w:val="327D62BB"/>
    <w:rsid w:val="327F2033"/>
    <w:rsid w:val="32800679"/>
    <w:rsid w:val="328D0AC2"/>
    <w:rsid w:val="32911D66"/>
    <w:rsid w:val="32A45821"/>
    <w:rsid w:val="32A777DC"/>
    <w:rsid w:val="32C1739D"/>
    <w:rsid w:val="32C42FB4"/>
    <w:rsid w:val="32CE6B16"/>
    <w:rsid w:val="32FE55A7"/>
    <w:rsid w:val="331A1D5C"/>
    <w:rsid w:val="33705E1F"/>
    <w:rsid w:val="33753436"/>
    <w:rsid w:val="33772E96"/>
    <w:rsid w:val="338471AB"/>
    <w:rsid w:val="33880EEF"/>
    <w:rsid w:val="33B470BA"/>
    <w:rsid w:val="33B52C20"/>
    <w:rsid w:val="341A4C21"/>
    <w:rsid w:val="34645F9B"/>
    <w:rsid w:val="3492076E"/>
    <w:rsid w:val="34C86684"/>
    <w:rsid w:val="34DB0F65"/>
    <w:rsid w:val="34E6283D"/>
    <w:rsid w:val="35064C8D"/>
    <w:rsid w:val="350D21DB"/>
    <w:rsid w:val="35101FD2"/>
    <w:rsid w:val="355015E8"/>
    <w:rsid w:val="35505F08"/>
    <w:rsid w:val="357C22BA"/>
    <w:rsid w:val="357C4B76"/>
    <w:rsid w:val="35A324DC"/>
    <w:rsid w:val="35A42634"/>
    <w:rsid w:val="35C30488"/>
    <w:rsid w:val="35D452FA"/>
    <w:rsid w:val="35DD4A4C"/>
    <w:rsid w:val="35E202DB"/>
    <w:rsid w:val="361E7DB5"/>
    <w:rsid w:val="363F0056"/>
    <w:rsid w:val="365376F1"/>
    <w:rsid w:val="366A124C"/>
    <w:rsid w:val="366B0188"/>
    <w:rsid w:val="368C16AA"/>
    <w:rsid w:val="3690716D"/>
    <w:rsid w:val="36BF327A"/>
    <w:rsid w:val="36CF7301"/>
    <w:rsid w:val="373D469D"/>
    <w:rsid w:val="375508DB"/>
    <w:rsid w:val="375A4E1C"/>
    <w:rsid w:val="3781684D"/>
    <w:rsid w:val="37914BC2"/>
    <w:rsid w:val="37AD5E7C"/>
    <w:rsid w:val="37D22BEC"/>
    <w:rsid w:val="37F20E26"/>
    <w:rsid w:val="38194D73"/>
    <w:rsid w:val="381B3A34"/>
    <w:rsid w:val="382D3AB0"/>
    <w:rsid w:val="383438BF"/>
    <w:rsid w:val="383F0F55"/>
    <w:rsid w:val="384973F4"/>
    <w:rsid w:val="386D27BD"/>
    <w:rsid w:val="387C4AC7"/>
    <w:rsid w:val="38C369F1"/>
    <w:rsid w:val="38C8225A"/>
    <w:rsid w:val="38E5105E"/>
    <w:rsid w:val="390866F2"/>
    <w:rsid w:val="391B58DE"/>
    <w:rsid w:val="391E49D6"/>
    <w:rsid w:val="392343BE"/>
    <w:rsid w:val="393726B5"/>
    <w:rsid w:val="393C11B7"/>
    <w:rsid w:val="394B509F"/>
    <w:rsid w:val="394E2BF6"/>
    <w:rsid w:val="39621D38"/>
    <w:rsid w:val="39663F4D"/>
    <w:rsid w:val="39691347"/>
    <w:rsid w:val="399B2B26"/>
    <w:rsid w:val="39A14F85"/>
    <w:rsid w:val="39BA08EC"/>
    <w:rsid w:val="39DB7619"/>
    <w:rsid w:val="39F32DDC"/>
    <w:rsid w:val="3A0175C9"/>
    <w:rsid w:val="3A055438"/>
    <w:rsid w:val="3A0B7D70"/>
    <w:rsid w:val="3A1F7EB9"/>
    <w:rsid w:val="3A232BF1"/>
    <w:rsid w:val="3A2A2B18"/>
    <w:rsid w:val="3A472903"/>
    <w:rsid w:val="3A491E52"/>
    <w:rsid w:val="3A6C5593"/>
    <w:rsid w:val="3A7D6499"/>
    <w:rsid w:val="3A8A7DD9"/>
    <w:rsid w:val="3AB9343E"/>
    <w:rsid w:val="3AC422B6"/>
    <w:rsid w:val="3AD82C28"/>
    <w:rsid w:val="3AD93E04"/>
    <w:rsid w:val="3ADC3D9A"/>
    <w:rsid w:val="3B2D2C73"/>
    <w:rsid w:val="3B754182"/>
    <w:rsid w:val="3BBA6224"/>
    <w:rsid w:val="3BE13D5E"/>
    <w:rsid w:val="3C08758F"/>
    <w:rsid w:val="3C291261"/>
    <w:rsid w:val="3C48005A"/>
    <w:rsid w:val="3C5C6A5C"/>
    <w:rsid w:val="3C601127"/>
    <w:rsid w:val="3C691344"/>
    <w:rsid w:val="3C6D5BB8"/>
    <w:rsid w:val="3C7921E9"/>
    <w:rsid w:val="3CC16572"/>
    <w:rsid w:val="3CC8312E"/>
    <w:rsid w:val="3CF67259"/>
    <w:rsid w:val="3D0146AB"/>
    <w:rsid w:val="3D031A94"/>
    <w:rsid w:val="3D0C6BB9"/>
    <w:rsid w:val="3D233F03"/>
    <w:rsid w:val="3D314871"/>
    <w:rsid w:val="3D5E726D"/>
    <w:rsid w:val="3D60032A"/>
    <w:rsid w:val="3D9C6243"/>
    <w:rsid w:val="3DA60DBB"/>
    <w:rsid w:val="3DA67D06"/>
    <w:rsid w:val="3DB070CE"/>
    <w:rsid w:val="3DB8289D"/>
    <w:rsid w:val="3DDA0A65"/>
    <w:rsid w:val="3DEA7F36"/>
    <w:rsid w:val="3E0103E7"/>
    <w:rsid w:val="3E04219D"/>
    <w:rsid w:val="3E112948"/>
    <w:rsid w:val="3E1751CE"/>
    <w:rsid w:val="3E1F12B0"/>
    <w:rsid w:val="3E2219F5"/>
    <w:rsid w:val="3E2E2B5F"/>
    <w:rsid w:val="3E304CDE"/>
    <w:rsid w:val="3E68434F"/>
    <w:rsid w:val="3E785CB5"/>
    <w:rsid w:val="3E7B53CD"/>
    <w:rsid w:val="3EA23693"/>
    <w:rsid w:val="3EB47508"/>
    <w:rsid w:val="3EC14F5E"/>
    <w:rsid w:val="3EDA5C3F"/>
    <w:rsid w:val="3EE17CB8"/>
    <w:rsid w:val="3EF51FB7"/>
    <w:rsid w:val="3F1306FF"/>
    <w:rsid w:val="3F185650"/>
    <w:rsid w:val="3F3D74FE"/>
    <w:rsid w:val="3F5C6563"/>
    <w:rsid w:val="3F6658BE"/>
    <w:rsid w:val="3F6E5909"/>
    <w:rsid w:val="3F732F1F"/>
    <w:rsid w:val="3F8B4DCB"/>
    <w:rsid w:val="3F8F585D"/>
    <w:rsid w:val="3F943D1B"/>
    <w:rsid w:val="3FA02DBC"/>
    <w:rsid w:val="3FA53551"/>
    <w:rsid w:val="3FB377C0"/>
    <w:rsid w:val="3FE924AB"/>
    <w:rsid w:val="3FF57B93"/>
    <w:rsid w:val="400A234C"/>
    <w:rsid w:val="400D2DE3"/>
    <w:rsid w:val="4016635C"/>
    <w:rsid w:val="40203834"/>
    <w:rsid w:val="40307E9A"/>
    <w:rsid w:val="403D1DDC"/>
    <w:rsid w:val="407231D7"/>
    <w:rsid w:val="4093731B"/>
    <w:rsid w:val="40BC6B48"/>
    <w:rsid w:val="40D23719"/>
    <w:rsid w:val="40E30222"/>
    <w:rsid w:val="40E83FE1"/>
    <w:rsid w:val="40FA31CC"/>
    <w:rsid w:val="410C4458"/>
    <w:rsid w:val="410D4CAE"/>
    <w:rsid w:val="413D55B0"/>
    <w:rsid w:val="41434CD3"/>
    <w:rsid w:val="416D0BAF"/>
    <w:rsid w:val="41807B75"/>
    <w:rsid w:val="41822A2D"/>
    <w:rsid w:val="41960681"/>
    <w:rsid w:val="419F13B9"/>
    <w:rsid w:val="41B0357E"/>
    <w:rsid w:val="41B45A71"/>
    <w:rsid w:val="41C6542E"/>
    <w:rsid w:val="41DC3051"/>
    <w:rsid w:val="41F1543D"/>
    <w:rsid w:val="428B2CBA"/>
    <w:rsid w:val="428E0A7D"/>
    <w:rsid w:val="42A67168"/>
    <w:rsid w:val="431C7B37"/>
    <w:rsid w:val="431D7DF7"/>
    <w:rsid w:val="432A79A3"/>
    <w:rsid w:val="43305B7C"/>
    <w:rsid w:val="43417218"/>
    <w:rsid w:val="43526EC5"/>
    <w:rsid w:val="435B4E76"/>
    <w:rsid w:val="43702C5B"/>
    <w:rsid w:val="43A6084D"/>
    <w:rsid w:val="43AB6ABC"/>
    <w:rsid w:val="43B27D8E"/>
    <w:rsid w:val="43CC5F8B"/>
    <w:rsid w:val="43F36892"/>
    <w:rsid w:val="43F860E9"/>
    <w:rsid w:val="44143569"/>
    <w:rsid w:val="442567B2"/>
    <w:rsid w:val="442878AA"/>
    <w:rsid w:val="44817CB0"/>
    <w:rsid w:val="448E6DB8"/>
    <w:rsid w:val="44DF2E05"/>
    <w:rsid w:val="44EE26CA"/>
    <w:rsid w:val="44FB0820"/>
    <w:rsid w:val="44FF65D0"/>
    <w:rsid w:val="452B117E"/>
    <w:rsid w:val="454D07BA"/>
    <w:rsid w:val="45680CEB"/>
    <w:rsid w:val="457823F7"/>
    <w:rsid w:val="45976B09"/>
    <w:rsid w:val="459A61E7"/>
    <w:rsid w:val="45CA13BF"/>
    <w:rsid w:val="464F2553"/>
    <w:rsid w:val="46594243"/>
    <w:rsid w:val="465D66D7"/>
    <w:rsid w:val="46A43729"/>
    <w:rsid w:val="46CA191C"/>
    <w:rsid w:val="46CE51A3"/>
    <w:rsid w:val="47351061"/>
    <w:rsid w:val="47511E6C"/>
    <w:rsid w:val="47625724"/>
    <w:rsid w:val="476B6BD2"/>
    <w:rsid w:val="478B5D38"/>
    <w:rsid w:val="479E48B1"/>
    <w:rsid w:val="47A65E5C"/>
    <w:rsid w:val="47A74968"/>
    <w:rsid w:val="47B86FB2"/>
    <w:rsid w:val="47C512BC"/>
    <w:rsid w:val="47D44777"/>
    <w:rsid w:val="480506E4"/>
    <w:rsid w:val="48075044"/>
    <w:rsid w:val="481201FA"/>
    <w:rsid w:val="482371C6"/>
    <w:rsid w:val="483A4048"/>
    <w:rsid w:val="48487B87"/>
    <w:rsid w:val="484B06FC"/>
    <w:rsid w:val="48524340"/>
    <w:rsid w:val="48710218"/>
    <w:rsid w:val="48721043"/>
    <w:rsid w:val="48B335CE"/>
    <w:rsid w:val="48D569F9"/>
    <w:rsid w:val="49197167"/>
    <w:rsid w:val="491D12AA"/>
    <w:rsid w:val="49282FCC"/>
    <w:rsid w:val="49297731"/>
    <w:rsid w:val="49380A58"/>
    <w:rsid w:val="49423962"/>
    <w:rsid w:val="49951CE4"/>
    <w:rsid w:val="49A07EED"/>
    <w:rsid w:val="49A255F3"/>
    <w:rsid w:val="49AD4EFF"/>
    <w:rsid w:val="49AF0FF8"/>
    <w:rsid w:val="49BD2E50"/>
    <w:rsid w:val="49CA5C34"/>
    <w:rsid w:val="4A0307A1"/>
    <w:rsid w:val="4A391C17"/>
    <w:rsid w:val="4A3A576B"/>
    <w:rsid w:val="4A91694F"/>
    <w:rsid w:val="4A9257A1"/>
    <w:rsid w:val="4AA65B36"/>
    <w:rsid w:val="4AA93C99"/>
    <w:rsid w:val="4AB76303"/>
    <w:rsid w:val="4AE06F51"/>
    <w:rsid w:val="4AF63FE5"/>
    <w:rsid w:val="4B111174"/>
    <w:rsid w:val="4B180E1F"/>
    <w:rsid w:val="4B313AC2"/>
    <w:rsid w:val="4B313C8F"/>
    <w:rsid w:val="4B4B2FA2"/>
    <w:rsid w:val="4B7B407F"/>
    <w:rsid w:val="4B7D2A7E"/>
    <w:rsid w:val="4BB70638"/>
    <w:rsid w:val="4BB943B0"/>
    <w:rsid w:val="4BCF4CF7"/>
    <w:rsid w:val="4BE3142D"/>
    <w:rsid w:val="4BF313AD"/>
    <w:rsid w:val="4C596707"/>
    <w:rsid w:val="4C5A4769"/>
    <w:rsid w:val="4C6B5F7E"/>
    <w:rsid w:val="4C78555F"/>
    <w:rsid w:val="4C8D2994"/>
    <w:rsid w:val="4CA6423D"/>
    <w:rsid w:val="4CAE4E71"/>
    <w:rsid w:val="4CAF22A0"/>
    <w:rsid w:val="4CC528E0"/>
    <w:rsid w:val="4CF37A6E"/>
    <w:rsid w:val="4CFB1AA9"/>
    <w:rsid w:val="4D061187"/>
    <w:rsid w:val="4D2362C4"/>
    <w:rsid w:val="4D496A60"/>
    <w:rsid w:val="4D7E1318"/>
    <w:rsid w:val="4D9D13AC"/>
    <w:rsid w:val="4DBE5CAD"/>
    <w:rsid w:val="4DCE1C69"/>
    <w:rsid w:val="4DDA6DAB"/>
    <w:rsid w:val="4DFC7F38"/>
    <w:rsid w:val="4E005311"/>
    <w:rsid w:val="4E125FF9"/>
    <w:rsid w:val="4E2022AF"/>
    <w:rsid w:val="4E4279C8"/>
    <w:rsid w:val="4E766588"/>
    <w:rsid w:val="4E953FA2"/>
    <w:rsid w:val="4E9D78C9"/>
    <w:rsid w:val="4E9E788D"/>
    <w:rsid w:val="4EB64BD7"/>
    <w:rsid w:val="4EB66833"/>
    <w:rsid w:val="4EBA567C"/>
    <w:rsid w:val="4EC372F3"/>
    <w:rsid w:val="4F0771E0"/>
    <w:rsid w:val="4F0C734F"/>
    <w:rsid w:val="4F182285"/>
    <w:rsid w:val="4F343D4D"/>
    <w:rsid w:val="4F372EF6"/>
    <w:rsid w:val="4F71350D"/>
    <w:rsid w:val="4FAA7826"/>
    <w:rsid w:val="4FC41575"/>
    <w:rsid w:val="4FCC257F"/>
    <w:rsid w:val="4FD277EE"/>
    <w:rsid w:val="50167546"/>
    <w:rsid w:val="503362B4"/>
    <w:rsid w:val="50341134"/>
    <w:rsid w:val="50597F0F"/>
    <w:rsid w:val="50997485"/>
    <w:rsid w:val="50CA0A51"/>
    <w:rsid w:val="50D8127C"/>
    <w:rsid w:val="50DE6FA3"/>
    <w:rsid w:val="50E365B7"/>
    <w:rsid w:val="50E44D44"/>
    <w:rsid w:val="50F034FD"/>
    <w:rsid w:val="50F97139"/>
    <w:rsid w:val="51166987"/>
    <w:rsid w:val="512C2F2E"/>
    <w:rsid w:val="5184720E"/>
    <w:rsid w:val="51CE443E"/>
    <w:rsid w:val="522930DC"/>
    <w:rsid w:val="522F4945"/>
    <w:rsid w:val="5245699D"/>
    <w:rsid w:val="525249CF"/>
    <w:rsid w:val="525E180D"/>
    <w:rsid w:val="52734B8D"/>
    <w:rsid w:val="527C1FF7"/>
    <w:rsid w:val="52A7134F"/>
    <w:rsid w:val="52AF6ACA"/>
    <w:rsid w:val="52C42AF5"/>
    <w:rsid w:val="52D74CB9"/>
    <w:rsid w:val="52F35702"/>
    <w:rsid w:val="52FD1516"/>
    <w:rsid w:val="53285FDB"/>
    <w:rsid w:val="53315E9D"/>
    <w:rsid w:val="5334431C"/>
    <w:rsid w:val="53364538"/>
    <w:rsid w:val="53373BA6"/>
    <w:rsid w:val="533F1BB2"/>
    <w:rsid w:val="534F1156"/>
    <w:rsid w:val="53634C56"/>
    <w:rsid w:val="536F4BB4"/>
    <w:rsid w:val="538D538A"/>
    <w:rsid w:val="53953E9A"/>
    <w:rsid w:val="539F032F"/>
    <w:rsid w:val="53D72ED1"/>
    <w:rsid w:val="541933F3"/>
    <w:rsid w:val="541A79B6"/>
    <w:rsid w:val="541C5D98"/>
    <w:rsid w:val="543C5B7E"/>
    <w:rsid w:val="54404F95"/>
    <w:rsid w:val="54482775"/>
    <w:rsid w:val="545A7756"/>
    <w:rsid w:val="546926EB"/>
    <w:rsid w:val="548D63DA"/>
    <w:rsid w:val="54D81AA5"/>
    <w:rsid w:val="54FA4DAE"/>
    <w:rsid w:val="54FC2E74"/>
    <w:rsid w:val="55251628"/>
    <w:rsid w:val="552E728A"/>
    <w:rsid w:val="554247F4"/>
    <w:rsid w:val="556619E9"/>
    <w:rsid w:val="55750581"/>
    <w:rsid w:val="55C53951"/>
    <w:rsid w:val="55F37A70"/>
    <w:rsid w:val="564A1454"/>
    <w:rsid w:val="566551B1"/>
    <w:rsid w:val="569552AE"/>
    <w:rsid w:val="56996C69"/>
    <w:rsid w:val="569E03DD"/>
    <w:rsid w:val="56A25910"/>
    <w:rsid w:val="56D54347"/>
    <w:rsid w:val="56E115C3"/>
    <w:rsid w:val="56F4057A"/>
    <w:rsid w:val="5736038E"/>
    <w:rsid w:val="57454D4A"/>
    <w:rsid w:val="574B60D8"/>
    <w:rsid w:val="578F79EE"/>
    <w:rsid w:val="57A64695"/>
    <w:rsid w:val="57A731FB"/>
    <w:rsid w:val="57C85EC1"/>
    <w:rsid w:val="57C943F0"/>
    <w:rsid w:val="57CF51E1"/>
    <w:rsid w:val="57E80FEC"/>
    <w:rsid w:val="57F760AF"/>
    <w:rsid w:val="58095C74"/>
    <w:rsid w:val="58171E14"/>
    <w:rsid w:val="58184AB9"/>
    <w:rsid w:val="58305506"/>
    <w:rsid w:val="586C6306"/>
    <w:rsid w:val="589942FF"/>
    <w:rsid w:val="58BE1257"/>
    <w:rsid w:val="58C15EA3"/>
    <w:rsid w:val="58C623F4"/>
    <w:rsid w:val="58E32A6C"/>
    <w:rsid w:val="59007E68"/>
    <w:rsid w:val="59466FF0"/>
    <w:rsid w:val="59554156"/>
    <w:rsid w:val="59847060"/>
    <w:rsid w:val="59C22414"/>
    <w:rsid w:val="5A162382"/>
    <w:rsid w:val="5A4C2893"/>
    <w:rsid w:val="5A5D6854"/>
    <w:rsid w:val="5A690A56"/>
    <w:rsid w:val="5A773F56"/>
    <w:rsid w:val="5A895D8A"/>
    <w:rsid w:val="5AA30202"/>
    <w:rsid w:val="5AA7739B"/>
    <w:rsid w:val="5AC24903"/>
    <w:rsid w:val="5ADC3952"/>
    <w:rsid w:val="5AF80325"/>
    <w:rsid w:val="5AFA22EF"/>
    <w:rsid w:val="5B1222A2"/>
    <w:rsid w:val="5B2566EB"/>
    <w:rsid w:val="5B2D6AF3"/>
    <w:rsid w:val="5B323837"/>
    <w:rsid w:val="5B434D37"/>
    <w:rsid w:val="5B4F0260"/>
    <w:rsid w:val="5B99464A"/>
    <w:rsid w:val="5BBA1592"/>
    <w:rsid w:val="5BBE156E"/>
    <w:rsid w:val="5BC83538"/>
    <w:rsid w:val="5BE70AC5"/>
    <w:rsid w:val="5BEC5B75"/>
    <w:rsid w:val="5BED7A53"/>
    <w:rsid w:val="5BEF091F"/>
    <w:rsid w:val="5C0F0B93"/>
    <w:rsid w:val="5C7165E1"/>
    <w:rsid w:val="5C8433E2"/>
    <w:rsid w:val="5C8C71A2"/>
    <w:rsid w:val="5CC91F79"/>
    <w:rsid w:val="5CDC7EFE"/>
    <w:rsid w:val="5CE6531F"/>
    <w:rsid w:val="5CFA4828"/>
    <w:rsid w:val="5D961054"/>
    <w:rsid w:val="5D96721D"/>
    <w:rsid w:val="5DAB7081"/>
    <w:rsid w:val="5DB466C0"/>
    <w:rsid w:val="5DB62BEA"/>
    <w:rsid w:val="5DBE4ED2"/>
    <w:rsid w:val="5DCE024E"/>
    <w:rsid w:val="5DD605FF"/>
    <w:rsid w:val="5DDD2180"/>
    <w:rsid w:val="5DE71D52"/>
    <w:rsid w:val="5DFA76CB"/>
    <w:rsid w:val="5DFB0858"/>
    <w:rsid w:val="5E227684"/>
    <w:rsid w:val="5E353DB6"/>
    <w:rsid w:val="5E3E24F3"/>
    <w:rsid w:val="5E5403C9"/>
    <w:rsid w:val="5E5B30A5"/>
    <w:rsid w:val="5E8B0989"/>
    <w:rsid w:val="5E99092A"/>
    <w:rsid w:val="5EC57149"/>
    <w:rsid w:val="5EE27322"/>
    <w:rsid w:val="5EEC10EE"/>
    <w:rsid w:val="5F074FDA"/>
    <w:rsid w:val="5F2D4BE2"/>
    <w:rsid w:val="5F3202A9"/>
    <w:rsid w:val="5F681F1D"/>
    <w:rsid w:val="5FA17B0B"/>
    <w:rsid w:val="5FB171AF"/>
    <w:rsid w:val="5FB77972"/>
    <w:rsid w:val="5FC1162D"/>
    <w:rsid w:val="5FCD7FD2"/>
    <w:rsid w:val="5FD107C0"/>
    <w:rsid w:val="5FDC2140"/>
    <w:rsid w:val="5FF41558"/>
    <w:rsid w:val="5FF512DA"/>
    <w:rsid w:val="60002561"/>
    <w:rsid w:val="60092EC5"/>
    <w:rsid w:val="600D6135"/>
    <w:rsid w:val="601C4FBB"/>
    <w:rsid w:val="603E4E92"/>
    <w:rsid w:val="604828E9"/>
    <w:rsid w:val="608E00BE"/>
    <w:rsid w:val="60AF2018"/>
    <w:rsid w:val="60C07B37"/>
    <w:rsid w:val="60CC7C75"/>
    <w:rsid w:val="60DA145C"/>
    <w:rsid w:val="60F81756"/>
    <w:rsid w:val="611D5F18"/>
    <w:rsid w:val="61262D1D"/>
    <w:rsid w:val="61355094"/>
    <w:rsid w:val="61412A26"/>
    <w:rsid w:val="615C33BC"/>
    <w:rsid w:val="61887B84"/>
    <w:rsid w:val="6192502F"/>
    <w:rsid w:val="61D90EB0"/>
    <w:rsid w:val="61DE2022"/>
    <w:rsid w:val="6211064A"/>
    <w:rsid w:val="622D3B93"/>
    <w:rsid w:val="62312A9A"/>
    <w:rsid w:val="62571DD5"/>
    <w:rsid w:val="62745919"/>
    <w:rsid w:val="627D5CDF"/>
    <w:rsid w:val="62882281"/>
    <w:rsid w:val="628A2684"/>
    <w:rsid w:val="629061C2"/>
    <w:rsid w:val="62CE02E9"/>
    <w:rsid w:val="62E21FE6"/>
    <w:rsid w:val="62E93375"/>
    <w:rsid w:val="62EF63E6"/>
    <w:rsid w:val="633B1BF7"/>
    <w:rsid w:val="633D5887"/>
    <w:rsid w:val="634D73B8"/>
    <w:rsid w:val="635F53E5"/>
    <w:rsid w:val="63660A46"/>
    <w:rsid w:val="639130C5"/>
    <w:rsid w:val="63B45B93"/>
    <w:rsid w:val="63B5579F"/>
    <w:rsid w:val="63D556A7"/>
    <w:rsid w:val="63DC4C88"/>
    <w:rsid w:val="63E05ED2"/>
    <w:rsid w:val="63E85BB7"/>
    <w:rsid w:val="64055F8C"/>
    <w:rsid w:val="640C3BFD"/>
    <w:rsid w:val="64482DD2"/>
    <w:rsid w:val="64517412"/>
    <w:rsid w:val="64707239"/>
    <w:rsid w:val="6489237D"/>
    <w:rsid w:val="64AA280D"/>
    <w:rsid w:val="64AF7285"/>
    <w:rsid w:val="64B259E8"/>
    <w:rsid w:val="64CB331D"/>
    <w:rsid w:val="64E23358"/>
    <w:rsid w:val="64F12533"/>
    <w:rsid w:val="6532174F"/>
    <w:rsid w:val="6548623C"/>
    <w:rsid w:val="655D3BA6"/>
    <w:rsid w:val="65666CFE"/>
    <w:rsid w:val="658729D1"/>
    <w:rsid w:val="658F011F"/>
    <w:rsid w:val="65DE1645"/>
    <w:rsid w:val="65DE2EE3"/>
    <w:rsid w:val="66160DDB"/>
    <w:rsid w:val="6622578F"/>
    <w:rsid w:val="66256A09"/>
    <w:rsid w:val="66391F1D"/>
    <w:rsid w:val="665751A3"/>
    <w:rsid w:val="66630D48"/>
    <w:rsid w:val="66E55400"/>
    <w:rsid w:val="66F2475B"/>
    <w:rsid w:val="670718A6"/>
    <w:rsid w:val="671158DA"/>
    <w:rsid w:val="67194A9A"/>
    <w:rsid w:val="671D1AA0"/>
    <w:rsid w:val="672273D3"/>
    <w:rsid w:val="672E506D"/>
    <w:rsid w:val="67353D46"/>
    <w:rsid w:val="678E728A"/>
    <w:rsid w:val="679230DC"/>
    <w:rsid w:val="67A26F35"/>
    <w:rsid w:val="67B023C7"/>
    <w:rsid w:val="67F36AA6"/>
    <w:rsid w:val="67F91949"/>
    <w:rsid w:val="67FB6CA3"/>
    <w:rsid w:val="67FB7C60"/>
    <w:rsid w:val="68000819"/>
    <w:rsid w:val="686D3E0B"/>
    <w:rsid w:val="687731C1"/>
    <w:rsid w:val="68BB130F"/>
    <w:rsid w:val="68C857DA"/>
    <w:rsid w:val="68F51067"/>
    <w:rsid w:val="69252C2D"/>
    <w:rsid w:val="692C5D69"/>
    <w:rsid w:val="6933091D"/>
    <w:rsid w:val="69A255F9"/>
    <w:rsid w:val="69CF5776"/>
    <w:rsid w:val="69E83D91"/>
    <w:rsid w:val="69FC1894"/>
    <w:rsid w:val="69FE0812"/>
    <w:rsid w:val="6A047E6A"/>
    <w:rsid w:val="6A200A15"/>
    <w:rsid w:val="6A2A3A3D"/>
    <w:rsid w:val="6A2B5A61"/>
    <w:rsid w:val="6A6E37B1"/>
    <w:rsid w:val="6A800E76"/>
    <w:rsid w:val="6AB9362D"/>
    <w:rsid w:val="6ADD14DF"/>
    <w:rsid w:val="6AFD6D86"/>
    <w:rsid w:val="6B286208"/>
    <w:rsid w:val="6B33284D"/>
    <w:rsid w:val="6B841E8D"/>
    <w:rsid w:val="6BA50055"/>
    <w:rsid w:val="6BD373AD"/>
    <w:rsid w:val="6BE20037"/>
    <w:rsid w:val="6BE9737A"/>
    <w:rsid w:val="6BF863D7"/>
    <w:rsid w:val="6C1825D5"/>
    <w:rsid w:val="6C423AF6"/>
    <w:rsid w:val="6C5775A1"/>
    <w:rsid w:val="6C726189"/>
    <w:rsid w:val="6C7D1EA3"/>
    <w:rsid w:val="6C9A123C"/>
    <w:rsid w:val="6C9E46F2"/>
    <w:rsid w:val="6CBE13CE"/>
    <w:rsid w:val="6D064B23"/>
    <w:rsid w:val="6D104FF0"/>
    <w:rsid w:val="6D2B48F0"/>
    <w:rsid w:val="6D2E5262"/>
    <w:rsid w:val="6D782E38"/>
    <w:rsid w:val="6DBF077F"/>
    <w:rsid w:val="6DC312DB"/>
    <w:rsid w:val="6DC42C23"/>
    <w:rsid w:val="6E090942"/>
    <w:rsid w:val="6E227659"/>
    <w:rsid w:val="6E315278"/>
    <w:rsid w:val="6E4F3FA8"/>
    <w:rsid w:val="6E5D69C5"/>
    <w:rsid w:val="6EA619DB"/>
    <w:rsid w:val="6EB1360D"/>
    <w:rsid w:val="6ED547AD"/>
    <w:rsid w:val="6EEA46FD"/>
    <w:rsid w:val="6F194782"/>
    <w:rsid w:val="6F197B27"/>
    <w:rsid w:val="6F282B2F"/>
    <w:rsid w:val="6F67284A"/>
    <w:rsid w:val="6F763AAD"/>
    <w:rsid w:val="6F8A5598"/>
    <w:rsid w:val="6F975F07"/>
    <w:rsid w:val="6FDA1CCC"/>
    <w:rsid w:val="6FEA110A"/>
    <w:rsid w:val="6FED5B27"/>
    <w:rsid w:val="701D18D3"/>
    <w:rsid w:val="70227EC6"/>
    <w:rsid w:val="70270E2B"/>
    <w:rsid w:val="702F4391"/>
    <w:rsid w:val="7062714A"/>
    <w:rsid w:val="70A121F1"/>
    <w:rsid w:val="70AD73F2"/>
    <w:rsid w:val="70F771AB"/>
    <w:rsid w:val="711C2058"/>
    <w:rsid w:val="711F5929"/>
    <w:rsid w:val="71326055"/>
    <w:rsid w:val="71367258"/>
    <w:rsid w:val="71744751"/>
    <w:rsid w:val="71807876"/>
    <w:rsid w:val="71840874"/>
    <w:rsid w:val="71867FE1"/>
    <w:rsid w:val="71897008"/>
    <w:rsid w:val="719B73D9"/>
    <w:rsid w:val="71C10866"/>
    <w:rsid w:val="71FB629D"/>
    <w:rsid w:val="720E45A6"/>
    <w:rsid w:val="723D4B43"/>
    <w:rsid w:val="72473C14"/>
    <w:rsid w:val="724E4528"/>
    <w:rsid w:val="726B070E"/>
    <w:rsid w:val="726B5B54"/>
    <w:rsid w:val="72807126"/>
    <w:rsid w:val="72AC7F1B"/>
    <w:rsid w:val="72CD025F"/>
    <w:rsid w:val="72E77F23"/>
    <w:rsid w:val="731358A4"/>
    <w:rsid w:val="734972AD"/>
    <w:rsid w:val="735E7467"/>
    <w:rsid w:val="73632232"/>
    <w:rsid w:val="73726199"/>
    <w:rsid w:val="738A5E33"/>
    <w:rsid w:val="738C31E3"/>
    <w:rsid w:val="73AF381F"/>
    <w:rsid w:val="73DE54F2"/>
    <w:rsid w:val="73E831D5"/>
    <w:rsid w:val="73FE47A6"/>
    <w:rsid w:val="740351D7"/>
    <w:rsid w:val="74040C06"/>
    <w:rsid w:val="74046346"/>
    <w:rsid w:val="7443040B"/>
    <w:rsid w:val="7443320F"/>
    <w:rsid w:val="745A4C9C"/>
    <w:rsid w:val="745B4B48"/>
    <w:rsid w:val="748A1881"/>
    <w:rsid w:val="74B15375"/>
    <w:rsid w:val="74C32FC7"/>
    <w:rsid w:val="74CB28DA"/>
    <w:rsid w:val="74F70269"/>
    <w:rsid w:val="7511101A"/>
    <w:rsid w:val="75220020"/>
    <w:rsid w:val="754548E7"/>
    <w:rsid w:val="757649DB"/>
    <w:rsid w:val="75B26CAA"/>
    <w:rsid w:val="75B320F2"/>
    <w:rsid w:val="75C4172D"/>
    <w:rsid w:val="75D022F6"/>
    <w:rsid w:val="75DE7C53"/>
    <w:rsid w:val="75FC2F67"/>
    <w:rsid w:val="76053BCA"/>
    <w:rsid w:val="7617511F"/>
    <w:rsid w:val="762439B5"/>
    <w:rsid w:val="76281940"/>
    <w:rsid w:val="762823CA"/>
    <w:rsid w:val="7636061C"/>
    <w:rsid w:val="76370FB6"/>
    <w:rsid w:val="765B457B"/>
    <w:rsid w:val="766C0F95"/>
    <w:rsid w:val="76912D50"/>
    <w:rsid w:val="76A445BA"/>
    <w:rsid w:val="76A7208A"/>
    <w:rsid w:val="76FC5FED"/>
    <w:rsid w:val="770519A8"/>
    <w:rsid w:val="771147F0"/>
    <w:rsid w:val="7721047C"/>
    <w:rsid w:val="776F2007"/>
    <w:rsid w:val="77C048CC"/>
    <w:rsid w:val="77CD0F1C"/>
    <w:rsid w:val="77D47CF8"/>
    <w:rsid w:val="77E15F71"/>
    <w:rsid w:val="77EB3191"/>
    <w:rsid w:val="77F04406"/>
    <w:rsid w:val="77F42148"/>
    <w:rsid w:val="77F55EC0"/>
    <w:rsid w:val="78142B9B"/>
    <w:rsid w:val="783E60B0"/>
    <w:rsid w:val="78743F14"/>
    <w:rsid w:val="787E7C64"/>
    <w:rsid w:val="788A03B6"/>
    <w:rsid w:val="78B239B5"/>
    <w:rsid w:val="78CD25D6"/>
    <w:rsid w:val="78DB4F1F"/>
    <w:rsid w:val="79202452"/>
    <w:rsid w:val="792D0D1D"/>
    <w:rsid w:val="79466237"/>
    <w:rsid w:val="7951511F"/>
    <w:rsid w:val="796B6DDB"/>
    <w:rsid w:val="796C3F60"/>
    <w:rsid w:val="797116FA"/>
    <w:rsid w:val="798132EA"/>
    <w:rsid w:val="79D51B05"/>
    <w:rsid w:val="7A15284A"/>
    <w:rsid w:val="7A7B4132"/>
    <w:rsid w:val="7AA53173"/>
    <w:rsid w:val="7ABA1743"/>
    <w:rsid w:val="7ABA3BCE"/>
    <w:rsid w:val="7AEC35AA"/>
    <w:rsid w:val="7B024B7C"/>
    <w:rsid w:val="7B0F7299"/>
    <w:rsid w:val="7B3A2568"/>
    <w:rsid w:val="7B783E16"/>
    <w:rsid w:val="7B9D48A5"/>
    <w:rsid w:val="7BA140DD"/>
    <w:rsid w:val="7BA5663A"/>
    <w:rsid w:val="7BAD7354"/>
    <w:rsid w:val="7BB21CB6"/>
    <w:rsid w:val="7BBF41D0"/>
    <w:rsid w:val="7BC938EC"/>
    <w:rsid w:val="7BD15627"/>
    <w:rsid w:val="7BDF0DD0"/>
    <w:rsid w:val="7BDF310F"/>
    <w:rsid w:val="7BFF180C"/>
    <w:rsid w:val="7C140D40"/>
    <w:rsid w:val="7C3866E3"/>
    <w:rsid w:val="7C41588D"/>
    <w:rsid w:val="7C417926"/>
    <w:rsid w:val="7C7F1C27"/>
    <w:rsid w:val="7CC1007A"/>
    <w:rsid w:val="7CE54755"/>
    <w:rsid w:val="7D1826DB"/>
    <w:rsid w:val="7D214ADD"/>
    <w:rsid w:val="7D292894"/>
    <w:rsid w:val="7D2C5B4E"/>
    <w:rsid w:val="7D2F491B"/>
    <w:rsid w:val="7D3C10C6"/>
    <w:rsid w:val="7D5B4A17"/>
    <w:rsid w:val="7D80447E"/>
    <w:rsid w:val="7DA02B57"/>
    <w:rsid w:val="7DB427B3"/>
    <w:rsid w:val="7DF264DA"/>
    <w:rsid w:val="7E152447"/>
    <w:rsid w:val="7E176B90"/>
    <w:rsid w:val="7E2B6A30"/>
    <w:rsid w:val="7E2F17DD"/>
    <w:rsid w:val="7E5C2E16"/>
    <w:rsid w:val="7E7C266C"/>
    <w:rsid w:val="7E871658"/>
    <w:rsid w:val="7E967D09"/>
    <w:rsid w:val="7EC319FB"/>
    <w:rsid w:val="7EC90283"/>
    <w:rsid w:val="7F0215EE"/>
    <w:rsid w:val="7F263702"/>
    <w:rsid w:val="7F7A3E47"/>
    <w:rsid w:val="7F7E416E"/>
    <w:rsid w:val="7F971818"/>
    <w:rsid w:val="7FED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eastAsia="黑体"/>
      <w:b/>
      <w:bCs/>
      <w:kern w:val="44"/>
      <w:szCs w:val="44"/>
    </w:rPr>
  </w:style>
  <w:style w:type="paragraph" w:styleId="4">
    <w:name w:val="heading 2"/>
    <w:basedOn w:val="1"/>
    <w:next w:val="1"/>
    <w:link w:val="32"/>
    <w:qFormat/>
    <w:uiPriority w:val="0"/>
    <w:pPr>
      <w:keepNext/>
      <w:keepLines/>
      <w:adjustRightInd w:val="0"/>
      <w:snapToGrid w:val="0"/>
      <w:spacing w:before="240" w:after="120"/>
      <w:outlineLvl w:val="1"/>
    </w:pPr>
    <w:rPr>
      <w:rFonts w:ascii="黑体" w:hAnsi="宋体" w:eastAsia="黑体" w:cs="Courier New"/>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6">
    <w:name w:val="annotation text"/>
    <w:basedOn w:val="1"/>
    <w:unhideWhenUsed/>
    <w:qFormat/>
    <w:uiPriority w:val="99"/>
    <w:pPr>
      <w:jc w:val="left"/>
    </w:pPr>
    <w:rPr>
      <w:rFonts w:eastAsia="宋体"/>
    </w:rPr>
  </w:style>
  <w:style w:type="paragraph" w:styleId="7">
    <w:name w:val="Body Text"/>
    <w:basedOn w:val="1"/>
    <w:link w:val="29"/>
    <w:qFormat/>
    <w:uiPriority w:val="0"/>
    <w:pPr>
      <w:spacing w:after="120"/>
    </w:pPr>
    <w:rPr>
      <w:szCs w:val="24"/>
    </w:rPr>
  </w:style>
  <w:style w:type="paragraph" w:styleId="8">
    <w:name w:val="toc 3"/>
    <w:basedOn w:val="1"/>
    <w:next w:val="1"/>
    <w:unhideWhenUsed/>
    <w:qFormat/>
    <w:uiPriority w:val="39"/>
    <w:pPr>
      <w:ind w:left="840" w:leftChars="400"/>
    </w:pPr>
  </w:style>
  <w:style w:type="paragraph" w:styleId="9">
    <w:name w:val="Date"/>
    <w:basedOn w:val="1"/>
    <w:next w:val="1"/>
    <w:link w:val="28"/>
    <w:semiHidden/>
    <w:unhideWhenUsed/>
    <w:qFormat/>
    <w:uiPriority w:val="99"/>
    <w:pPr>
      <w:ind w:left="100" w:leftChars="2500"/>
    </w:pPr>
  </w:style>
  <w:style w:type="paragraph" w:styleId="10">
    <w:name w:val="Balloon Text"/>
    <w:basedOn w:val="1"/>
    <w:link w:val="41"/>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333333"/>
      <w:u w:val="none"/>
    </w:rPr>
  </w:style>
  <w:style w:type="character" w:styleId="21">
    <w:name w:val="Emphasis"/>
    <w:basedOn w:val="18"/>
    <w:qFormat/>
    <w:uiPriority w:val="20"/>
    <w:rPr>
      <w:i/>
      <w:iCs/>
    </w:rPr>
  </w:style>
  <w:style w:type="character" w:styleId="22">
    <w:name w:val="Hyperlink"/>
    <w:basedOn w:val="18"/>
    <w:unhideWhenUsed/>
    <w:qFormat/>
    <w:uiPriority w:val="99"/>
    <w:rPr>
      <w:color w:val="333333"/>
      <w:u w:val="none"/>
    </w:rPr>
  </w:style>
  <w:style w:type="character" w:styleId="23">
    <w:name w:val="annotation reference"/>
    <w:basedOn w:val="18"/>
    <w:unhideWhenUsed/>
    <w:qFormat/>
    <w:uiPriority w:val="99"/>
    <w:rPr>
      <w:sz w:val="21"/>
      <w:szCs w:val="21"/>
    </w:rPr>
  </w:style>
  <w:style w:type="character" w:customStyle="1" w:styleId="24">
    <w:name w:val="页眉 字符"/>
    <w:basedOn w:val="18"/>
    <w:link w:val="12"/>
    <w:qFormat/>
    <w:uiPriority w:val="99"/>
    <w:rPr>
      <w:sz w:val="18"/>
      <w:szCs w:val="18"/>
    </w:rPr>
  </w:style>
  <w:style w:type="character" w:customStyle="1" w:styleId="25">
    <w:name w:val="页脚 字符"/>
    <w:basedOn w:val="18"/>
    <w:link w:val="11"/>
    <w:qFormat/>
    <w:uiPriority w:val="99"/>
    <w:rPr>
      <w:sz w:val="18"/>
      <w:szCs w:val="18"/>
    </w:rPr>
  </w:style>
  <w:style w:type="paragraph" w:customStyle="1" w:styleId="26">
    <w:name w:val="样式  Char + 首行缩进:  2 字符"/>
    <w:basedOn w:val="27"/>
    <w:qFormat/>
    <w:uiPriority w:val="0"/>
    <w:pPr>
      <w:tabs>
        <w:tab w:val="left" w:pos="4665"/>
        <w:tab w:val="left" w:pos="8970"/>
      </w:tabs>
      <w:spacing w:line="360" w:lineRule="auto"/>
      <w:ind w:firstLine="420"/>
    </w:pPr>
    <w:rPr>
      <w:rFonts w:ascii="宋体" w:hAnsi="宋体" w:eastAsia="宋体" w:cs="宋体"/>
      <w:sz w:val="28"/>
      <w:szCs w:val="28"/>
    </w:rPr>
  </w:style>
  <w:style w:type="paragraph" w:customStyle="1" w:styleId="27">
    <w:name w:val="Char"/>
    <w:basedOn w:val="1"/>
    <w:qFormat/>
    <w:uiPriority w:val="0"/>
    <w:pPr>
      <w:spacing w:line="360" w:lineRule="auto"/>
    </w:pPr>
    <w:rPr>
      <w:rFonts w:ascii="宋体" w:hAnsi="宋体"/>
      <w:b/>
      <w:bCs/>
      <w:sz w:val="28"/>
      <w:szCs w:val="28"/>
    </w:rPr>
  </w:style>
  <w:style w:type="character" w:customStyle="1" w:styleId="28">
    <w:name w:val="日期 字符"/>
    <w:basedOn w:val="18"/>
    <w:link w:val="9"/>
    <w:semiHidden/>
    <w:qFormat/>
    <w:uiPriority w:val="99"/>
  </w:style>
  <w:style w:type="character" w:customStyle="1" w:styleId="29">
    <w:name w:val="正文文本 字符"/>
    <w:basedOn w:val="18"/>
    <w:link w:val="7"/>
    <w:qFormat/>
    <w:uiPriority w:val="0"/>
    <w:rPr>
      <w:szCs w:val="24"/>
    </w:rPr>
  </w:style>
  <w:style w:type="character" w:customStyle="1" w:styleId="30">
    <w:name w:val="NormalCharacter"/>
    <w:link w:val="31"/>
    <w:qFormat/>
    <w:locked/>
    <w:uiPriority w:val="0"/>
    <w:rPr>
      <w:rFonts w:ascii="宋体" w:hAnsi="宋体" w:cs="Times New Roman"/>
      <w:szCs w:val="21"/>
    </w:rPr>
  </w:style>
  <w:style w:type="paragraph" w:customStyle="1" w:styleId="31">
    <w:name w:val="UserStyle_0"/>
    <w:basedOn w:val="1"/>
    <w:link w:val="30"/>
    <w:qFormat/>
    <w:uiPriority w:val="0"/>
    <w:pPr>
      <w:widowControl/>
      <w:spacing w:after="160" w:line="240" w:lineRule="exact"/>
    </w:pPr>
    <w:rPr>
      <w:rFonts w:ascii="宋体" w:hAnsi="宋体" w:cs="Times New Roman"/>
      <w:szCs w:val="21"/>
    </w:rPr>
  </w:style>
  <w:style w:type="character" w:customStyle="1" w:styleId="32">
    <w:name w:val="标题 2 字符"/>
    <w:basedOn w:val="18"/>
    <w:link w:val="4"/>
    <w:qFormat/>
    <w:uiPriority w:val="0"/>
    <w:rPr>
      <w:rFonts w:ascii="黑体" w:hAnsi="宋体" w:eastAsia="黑体" w:cs="Courier New"/>
      <w:bCs/>
      <w:sz w:val="32"/>
      <w:szCs w:val="32"/>
    </w:rPr>
  </w:style>
  <w:style w:type="character" w:customStyle="1" w:styleId="33">
    <w:name w:val="fontstyle01"/>
    <w:basedOn w:val="18"/>
    <w:qFormat/>
    <w:uiPriority w:val="0"/>
    <w:rPr>
      <w:rFonts w:hint="default" w:ascii="E-BZ" w:hAnsi="E-BZ"/>
      <w:color w:val="000000"/>
      <w:sz w:val="30"/>
      <w:szCs w:val="30"/>
    </w:rPr>
  </w:style>
  <w:style w:type="character" w:customStyle="1" w:styleId="34">
    <w:name w:val="fontstyle21"/>
    <w:basedOn w:val="18"/>
    <w:qFormat/>
    <w:uiPriority w:val="0"/>
    <w:rPr>
      <w:rFonts w:hint="default" w:ascii="FZFSK--GBK1-0" w:hAnsi="FZFSK--GBK1-0"/>
      <w:color w:val="000000"/>
      <w:sz w:val="30"/>
      <w:szCs w:val="30"/>
    </w:rPr>
  </w:style>
  <w:style w:type="character" w:customStyle="1" w:styleId="35">
    <w:name w:val="fontstyle31"/>
    <w:basedOn w:val="18"/>
    <w:qFormat/>
    <w:uiPriority w:val="0"/>
    <w:rPr>
      <w:rFonts w:hint="default" w:ascii="E-BX" w:hAnsi="E-BX"/>
      <w:color w:val="000000"/>
      <w:sz w:val="30"/>
      <w:szCs w:val="30"/>
    </w:rPr>
  </w:style>
  <w:style w:type="character" w:customStyle="1" w:styleId="36">
    <w:name w:val="标题 3 字符"/>
    <w:basedOn w:val="18"/>
    <w:link w:val="5"/>
    <w:qFormat/>
    <w:uiPriority w:val="9"/>
    <w:rPr>
      <w:b/>
      <w:bCs/>
      <w:sz w:val="32"/>
      <w:szCs w:val="32"/>
    </w:rPr>
  </w:style>
  <w:style w:type="character" w:customStyle="1" w:styleId="37">
    <w:name w:val="bjh-p"/>
    <w:basedOn w:val="18"/>
    <w:qFormat/>
    <w:uiPriority w:val="0"/>
  </w:style>
  <w:style w:type="character" w:customStyle="1" w:styleId="38">
    <w:name w:val="bjh-strong"/>
    <w:basedOn w:val="18"/>
    <w:qFormat/>
    <w:uiPriority w:val="0"/>
  </w:style>
  <w:style w:type="paragraph" w:customStyle="1" w:styleId="39">
    <w:name w:val="Body Text First Indent 21"/>
    <w:basedOn w:val="40"/>
    <w:qFormat/>
    <w:uiPriority w:val="0"/>
    <w:pPr>
      <w:ind w:firstLine="420"/>
    </w:pPr>
    <w:rPr>
      <w:rFonts w:ascii="Times New Roman" w:hAnsi="Times New Roman" w:eastAsia="宋体" w:cs="Times New Roman"/>
      <w:szCs w:val="24"/>
    </w:rPr>
  </w:style>
  <w:style w:type="paragraph" w:customStyle="1" w:styleId="40">
    <w:name w:val="Body Text Indent1"/>
    <w:basedOn w:val="1"/>
    <w:qFormat/>
    <w:uiPriority w:val="0"/>
    <w:pPr>
      <w:spacing w:line="500" w:lineRule="exact"/>
      <w:ind w:firstLine="880" w:firstLineChars="200"/>
    </w:pPr>
  </w:style>
  <w:style w:type="character" w:customStyle="1" w:styleId="41">
    <w:name w:val="批注框文本 字符"/>
    <w:basedOn w:val="18"/>
    <w:link w:val="10"/>
    <w:semiHidden/>
    <w:qFormat/>
    <w:uiPriority w:val="99"/>
    <w:rPr>
      <w:sz w:val="18"/>
      <w:szCs w:val="18"/>
    </w:rPr>
  </w:style>
  <w:style w:type="paragraph" w:styleId="42">
    <w:name w:val="List Paragraph"/>
    <w:basedOn w:val="1"/>
    <w:qFormat/>
    <w:uiPriority w:val="34"/>
    <w:pPr>
      <w:ind w:firstLine="420" w:firstLineChars="200"/>
    </w:pPr>
  </w:style>
  <w:style w:type="character" w:customStyle="1" w:styleId="43">
    <w:name w:val="dot"/>
    <w:basedOn w:val="18"/>
    <w:qFormat/>
    <w:uiPriority w:val="0"/>
  </w:style>
  <w:style w:type="character" w:customStyle="1" w:styleId="44">
    <w:name w:val="layui-layer-tabnow"/>
    <w:basedOn w:val="18"/>
    <w:qFormat/>
    <w:uiPriority w:val="0"/>
    <w:rPr>
      <w:bdr w:val="single" w:color="CCCCCC" w:sz="6" w:space="0"/>
      <w:shd w:val="clear" w:color="auto" w:fill="FFFFFF"/>
    </w:rPr>
  </w:style>
  <w:style w:type="character" w:customStyle="1" w:styleId="45">
    <w:name w:val="first-child"/>
    <w:basedOn w:val="18"/>
    <w:qFormat/>
    <w:uiPriority w:val="0"/>
  </w:style>
  <w:style w:type="character" w:customStyle="1" w:styleId="46">
    <w:name w:val="time"/>
    <w:basedOn w:val="18"/>
    <w:qFormat/>
    <w:uiPriority w:val="0"/>
    <w:rPr>
      <w:color w:val="999999"/>
    </w:rPr>
  </w:style>
  <w:style w:type="paragraph" w:customStyle="1" w:styleId="4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BFD6B-ED5A-4478-A359-4047D4737A2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79</Pages>
  <Words>8268</Words>
  <Characters>8660</Characters>
  <Lines>333</Lines>
  <Paragraphs>94</Paragraphs>
  <TotalTime>3</TotalTime>
  <ScaleCrop>false</ScaleCrop>
  <LinksUpToDate>false</LinksUpToDate>
  <CharactersWithSpaces>8792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2021-09-23T08:16:00Z</dcterms:created>
  <dc:creator>Administrator</dc:creator>
  <cp:lastModifiedBy>三千</cp:lastModifiedBy>
  <cp:lastPrinted>2022-04-02T08:09:00Z</cp:lastPrinted>
  <dcterms:modified xsi:type="dcterms:W3CDTF">2026-07-10T07:35:25Z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06ED8CAC6DD64F13B9EFC04D5DC55C52_13</vt:lpwstr>
  </property>
  <property fmtid="{D5CDD505-2E9C-101B-9397-08002B2CF9AE}" pid="4" name="KSOTemplateDocerSaveRecord">
    <vt:lpwstr>eyJoZGlkIjoiNzg3MDYzYmM5Zjc1MjJhOGMzMDY0M2Y1N2E0N2JmZjAiLCJ1c2VySWQiOiI2NjYwMzc3MTEifQ==</vt:lpwstr>
  </property>
</Properties>
</file>