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000001"/>
        <w:spacing w:line="360" w:lineRule="auto"/>
        <w:ind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附件2</w:t>
      </w:r>
    </w:p>
    <w:p>
      <w:pPr>
        <w:pStyle w:val="000001"/>
        <w:spacing w:line="360" w:lineRule="auto"/>
        <w:ind/>
        <w:rPr>
          <w:rFonts w:ascii="宋体" w:hAnsi="宋体"/>
          <w:sz w:val="28"/>
          <w:szCs w:val="28"/>
        </w:rPr>
      </w:pPr>
    </w:p>
    <w:p>
      <w:pPr>
        <w:pStyle w:val="000001"/>
        <w:spacing w:line="360" w:lineRule="auto"/>
        <w:ind/>
        <w:rPr>
          <w:rFonts w:hint="eastAsia" w:ascii="宋体" w:hAnsi="宋体"/>
          <w:sz w:val="28"/>
          <w:szCs w:val="28"/>
        </w:rPr>
      </w:pPr>
    </w:p>
    <w:p>
      <w:pPr>
        <w:pStyle w:val="000001"/>
        <w:spacing w:line="360" w:lineRule="auto"/>
        <w:ind/>
        <w:rPr>
          <w:rFonts w:hint="eastAsia" w:ascii="宋体" w:hAnsi="宋体"/>
          <w:sz w:val="28"/>
          <w:szCs w:val="28"/>
        </w:rPr>
      </w:pPr>
    </w:p>
    <w:p>
      <w:pPr>
        <w:pStyle w:val="000001"/>
        <w:spacing w:line="360" w:lineRule="auto"/>
        <w:ind/>
        <w:rPr>
          <w:rFonts w:hint="eastAsia" w:ascii="宋体" w:hAnsi="宋体"/>
          <w:sz w:val="28"/>
          <w:szCs w:val="28"/>
        </w:rPr>
      </w:pPr>
    </w:p>
    <w:p>
      <w:pPr>
        <w:pStyle w:val="000001"/>
        <w:spacing w:line="360" w:lineRule="auto"/>
        <w:ind/>
        <w:rPr>
          <w:rFonts w:hint="eastAsia" w:ascii="宋体" w:hAnsi="宋体"/>
          <w:sz w:val="28"/>
          <w:szCs w:val="28"/>
        </w:rPr>
      </w:pPr>
    </w:p>
    <w:p>
      <w:pPr>
        <w:pStyle w:val="000001"/>
        <w:spacing w:line="360" w:lineRule="auto"/>
        <w:ind/>
        <w:jc w:val="center"/>
        <w:rPr>
          <w:rFonts w:hint="eastAsia" w:ascii="华文中宋" w:hAnsi="华文中宋" w:eastAsia="华文中宋" w:cs="华文中宋"/>
          <w:b/>
          <w:sz w:val="52"/>
          <w:szCs w:val="84"/>
        </w:rPr>
      </w:pPr>
      <w:r>
        <w:rPr>
          <w:rFonts w:hint="eastAsia" w:ascii="华文中宋" w:hAnsi="华文中宋" w:eastAsia="华文中宋" w:cs="华文中宋"/>
          <w:b/>
          <w:sz w:val="52"/>
          <w:szCs w:val="84"/>
          <w:lang w:eastAsia="zh-CN"/>
        </w:rPr>
        <w:t>濉溪县卫生健康系统财务管理中心2024</w:t>
      </w:r>
      <w:r>
        <w:rPr>
          <w:rFonts w:hint="eastAsia" w:ascii="华文中宋" w:hAnsi="华文中宋" w:eastAsia="华文中宋" w:cs="华文中宋"/>
          <w:b/>
          <w:sz w:val="52"/>
          <w:szCs w:val="84"/>
        </w:rPr>
        <w:t>年部门</w:t>
      </w:r>
    </w:p>
    <w:p>
      <w:pPr>
        <w:pStyle w:val="000001"/>
        <w:spacing w:line="360" w:lineRule="auto"/>
        <w:ind/>
        <w:jc w:val="center"/>
        <w:rPr>
          <w:rFonts w:hint="eastAsia" w:ascii="华文中宋" w:hAnsi="华文中宋" w:eastAsia="华文中宋" w:cs="华文中宋"/>
          <w:b/>
          <w:sz w:val="52"/>
          <w:szCs w:val="84"/>
        </w:rPr>
      </w:pPr>
      <w:r>
        <w:rPr>
          <w:rFonts w:hint="eastAsia" w:ascii="华文中宋" w:hAnsi="华文中宋" w:eastAsia="华文中宋" w:cs="华文中宋"/>
          <w:b/>
          <w:sz w:val="52"/>
          <w:szCs w:val="84"/>
        </w:rPr>
        <w:t>“三公”经费预算</w:t>
      </w:r>
    </w:p>
    <w:p>
      <w:pPr>
        <w:pStyle w:val="00000b"/>
        <w:spacing w:before="0" w:beforeAutospacing="false" w:after="0" w:afterAutospacing="false" w:line="360" w:lineRule="auto"/>
        <w:ind/>
        <w:jc w:val="center"/>
        <w:rPr>
          <w:rFonts w:hint="eastAsia" w:ascii="黑体" w:hAnsi="黑体" w:eastAsia="黑体"/>
          <w:bCs/>
          <w:sz w:val="36"/>
          <w:szCs w:val="36"/>
        </w:rPr>
      </w:pPr>
    </w:p>
    <w:p>
      <w:pPr>
        <w:pStyle w:val="00000b"/>
        <w:spacing w:before="0" w:beforeAutospacing="false" w:after="0" w:afterAutospacing="false" w:line="360" w:lineRule="auto"/>
        <w:ind/>
        <w:jc w:val="center"/>
        <w:rPr>
          <w:rFonts w:hint="eastAsia" w:ascii="黑体" w:hAnsi="黑体" w:eastAsia="黑体"/>
          <w:bCs/>
          <w:sz w:val="36"/>
          <w:szCs w:val="36"/>
        </w:rPr>
      </w:pPr>
    </w:p>
    <w:p>
      <w:pPr>
        <w:pStyle w:val="00000b"/>
        <w:spacing w:before="0" w:beforeAutospacing="false" w:after="0" w:afterAutospacing="false" w:line="360" w:lineRule="auto"/>
        <w:ind/>
        <w:jc w:val="center"/>
        <w:rPr>
          <w:rFonts w:hint="eastAsia" w:ascii="黑体" w:hAnsi="黑体" w:eastAsia="黑体"/>
          <w:bCs/>
          <w:sz w:val="36"/>
          <w:szCs w:val="36"/>
        </w:rPr>
      </w:pPr>
    </w:p>
    <w:p>
      <w:pPr>
        <w:pStyle w:val="00000b"/>
        <w:spacing w:before="0" w:beforeAutospacing="false" w:after="0" w:afterAutospacing="false" w:line="360" w:lineRule="auto"/>
        <w:ind/>
        <w:jc w:val="center"/>
        <w:rPr>
          <w:rFonts w:hint="eastAsia" w:ascii="黑体" w:hAnsi="黑体" w:eastAsia="黑体"/>
          <w:bCs/>
          <w:sz w:val="36"/>
          <w:szCs w:val="36"/>
        </w:rPr>
      </w:pPr>
    </w:p>
    <w:p>
      <w:pPr>
        <w:pStyle w:val="00000b"/>
        <w:spacing w:before="0" w:beforeAutospacing="false" w:after="0" w:afterAutospacing="false" w:line="360" w:lineRule="auto"/>
        <w:ind/>
        <w:jc w:val="center"/>
        <w:rPr>
          <w:rFonts w:hint="eastAsia" w:ascii="黑体" w:hAnsi="黑体" w:eastAsia="黑体"/>
          <w:bCs/>
          <w:sz w:val="36"/>
          <w:szCs w:val="36"/>
        </w:rPr>
      </w:pPr>
    </w:p>
    <w:p>
      <w:pPr>
        <w:pStyle w:val="00000b"/>
        <w:spacing w:before="0" w:beforeAutospacing="false" w:after="0" w:afterAutospacing="false" w:line="360" w:lineRule="auto"/>
        <w:ind/>
        <w:jc w:val="center"/>
        <w:rPr>
          <w:rFonts w:hint="eastAsia" w:ascii="黑体" w:hAnsi="黑体" w:eastAsia="黑体"/>
          <w:bCs/>
          <w:sz w:val="36"/>
          <w:szCs w:val="36"/>
        </w:rPr>
      </w:pPr>
    </w:p>
    <w:p>
      <w:pPr>
        <w:pStyle w:val="00000b"/>
        <w:spacing w:before="0" w:beforeAutospacing="false" w:after="0" w:afterAutospacing="false" w:line="360" w:lineRule="auto"/>
        <w:ind/>
        <w:jc w:val="center"/>
        <w:rPr>
          <w:rFonts w:hint="eastAsia" w:ascii="黑体" w:hAnsi="黑体" w:eastAsia="黑体"/>
          <w:bCs/>
          <w:sz w:val="36"/>
          <w:szCs w:val="36"/>
        </w:rPr>
      </w:pPr>
    </w:p>
    <w:p>
      <w:pPr>
        <w:pStyle w:val="00000b"/>
        <w:spacing w:before="0" w:beforeAutospacing="false" w:after="0" w:afterAutospacing="false" w:line="360" w:lineRule="auto"/>
        <w:ind/>
        <w:jc w:val="center"/>
        <w:rPr>
          <w:rFonts w:hint="eastAsia" w:ascii="黑体" w:hAnsi="黑体" w:eastAsia="黑体"/>
          <w:bCs/>
          <w:sz w:val="36"/>
          <w:szCs w:val="36"/>
        </w:rPr>
      </w:pPr>
    </w:p>
    <w:p>
      <w:pPr>
        <w:pStyle w:val="00000b"/>
        <w:spacing w:before="0" w:beforeAutospacing="false" w:after="0" w:afterAutospacing="false" w:line="360" w:lineRule="auto"/>
        <w:ind/>
        <w:rPr>
          <w:rFonts w:hint="eastAsia" w:ascii="黑体" w:hAnsi="黑体" w:eastAsia="黑体"/>
          <w:bCs/>
          <w:sz w:val="36"/>
          <w:szCs w:val="36"/>
        </w:rPr>
      </w:pPr>
    </w:p>
    <w:p>
      <w:pPr>
        <w:pStyle w:val="00000b"/>
        <w:spacing w:before="0" w:beforeAutospacing="false" w:after="0" w:afterAutospacing="false" w:line="360" w:lineRule="auto"/>
        <w:ind/>
        <w:jc w:val="center"/>
        <w:rPr>
          <w:rFonts w:hint="eastAsia" w:ascii="黑体" w:hAnsi="黑体" w:eastAsia="黑体"/>
          <w:bCs/>
          <w:sz w:val="44"/>
          <w:szCs w:val="44"/>
        </w:rPr>
      </w:pPr>
      <w:r>
        <w:rPr>
          <w:rFonts w:hint="eastAsia" w:ascii="黑体" w:hAnsi="黑体" w:eastAsia="黑体"/>
          <w:bCs/>
          <w:sz w:val="44"/>
          <w:szCs w:val="44"/>
        </w:rPr>
        <w:t>202</w:t>
      </w:r>
      <w:r>
        <w:rPr>
          <w:rFonts w:hint="eastAsia" w:ascii="黑体" w:hAnsi="黑体" w:eastAsia="黑体"/>
          <w:bCs/>
          <w:sz w:val="44"/>
          <w:szCs w:val="44"/>
          <w:lang w:val="en-US" w:eastAsia="zh-CN"/>
        </w:rPr>
        <w:t>4</w:t>
      </w:r>
      <w:r>
        <w:rPr>
          <w:rFonts w:hint="eastAsia" w:ascii="黑体" w:hAnsi="黑体" w:eastAsia="黑体"/>
          <w:bCs/>
          <w:sz w:val="44"/>
          <w:szCs w:val="44"/>
        </w:rPr>
        <w:t>年</w:t>
      </w:r>
      <w:r>
        <w:rPr>
          <w:rFonts w:hint="eastAsia" w:ascii="黑体" w:hAnsi="黑体" w:eastAsia="黑体"/>
          <w:bCs/>
          <w:sz w:val="44"/>
          <w:szCs w:val="44"/>
          <w:lang w:val="en-US" w:eastAsia="zh-CN"/>
        </w:rPr>
        <w:t>2</w:t>
      </w:r>
      <w:r>
        <w:rPr>
          <w:rFonts w:hint="eastAsia" w:ascii="黑体" w:hAnsi="黑体" w:eastAsia="黑体"/>
          <w:bCs/>
          <w:sz w:val="44"/>
          <w:szCs w:val="44"/>
        </w:rPr>
        <w:t>月</w:t>
      </w:r>
    </w:p>
    <w:p>
      <w:pPr>
        <w:pStyle w:val="00000b"/>
        <w:spacing w:before="0" w:beforeAutospacing="false" w:after="0" w:afterAutospacing="false" w:line="500" w:lineRule="exact"/>
        <w:ind/>
        <w:jc w:val="center"/>
        <w:rPr>
          <w:rFonts w:hint="eastAsia" w:ascii="黑体" w:hAnsi="黑体" w:eastAsia="黑体"/>
          <w:bCs/>
          <w:sz w:val="44"/>
          <w:szCs w:val="44"/>
        </w:rPr>
      </w:pPr>
    </w:p>
    <w:p>
      <w:pPr>
        <w:pStyle w:val="00000b"/>
        <w:spacing w:before="0" w:beforeAutospacing="false" w:after="0" w:afterAutospacing="false" w:line="500" w:lineRule="exact"/>
        <w:ind/>
        <w:jc w:val="center"/>
        <w:rPr>
          <w:rFonts w:hint="eastAsia" w:ascii="黑体" w:hAnsi="黑体" w:eastAsia="黑体"/>
          <w:bCs/>
          <w:sz w:val="44"/>
          <w:szCs w:val="44"/>
        </w:rPr>
      </w:pPr>
    </w:p>
    <w:p>
      <w:pPr>
        <w:pStyle w:val="00000b"/>
        <w:spacing w:before="0" w:beforeAutospacing="false" w:after="0" w:afterAutospacing="false" w:line="500" w:lineRule="exact"/>
        <w:ind/>
        <w:jc w:val="center"/>
        <w:rPr>
          <w:rFonts w:hint="eastAsia" w:ascii="黑体" w:hAnsi="黑体" w:eastAsia="黑体"/>
          <w:bCs/>
          <w:sz w:val="44"/>
          <w:szCs w:val="44"/>
        </w:rPr>
      </w:pPr>
    </w:p>
    <w:p>
      <w:pPr>
        <w:pStyle w:val="00000b"/>
        <w:spacing w:before="0" w:beforeAutospacing="false" w:after="0" w:afterAutospacing="false" w:line="500" w:lineRule="exact"/>
        <w:ind/>
        <w:jc w:val="center"/>
        <w:rPr>
          <w:rFonts w:hint="eastAsia" w:ascii="黑体" w:hAnsi="黑体" w:eastAsia="黑体"/>
          <w:bCs/>
          <w:sz w:val="44"/>
          <w:szCs w:val="44"/>
        </w:rPr>
      </w:pPr>
      <w:r>
        <w:rPr>
          <w:rFonts w:hint="eastAsia" w:ascii="黑体" w:hAnsi="黑体" w:eastAsia="黑体"/>
          <w:bCs/>
          <w:sz w:val="44"/>
          <w:szCs w:val="44"/>
        </w:rPr>
        <w:t>目 录</w:t>
      </w:r>
    </w:p>
    <w:p>
      <w:pPr>
        <w:pStyle w:val="00000b"/>
        <w:spacing w:before="0" w:beforeAutospacing="false" w:after="0" w:afterAutospacing="false" w:line="500" w:lineRule="exact"/>
        <w:ind w:firstLine="643" w:firstLineChars="200"/>
        <w:jc w:val="both"/>
        <w:rPr>
          <w:rFonts w:hint="eastAsia" w:ascii="仿宋_GB2312" w:hAnsi="仿宋" w:eastAsia="仿宋_GB2312" w:cs="仿宋"/>
          <w:b/>
          <w:sz w:val="32"/>
          <w:szCs w:val="32"/>
        </w:rPr>
      </w:pPr>
    </w:p>
    <w:p>
      <w:pPr>
        <w:pStyle w:val="00000b"/>
        <w:spacing w:line="500" w:lineRule="exact"/>
        <w:ind w:firstLine="643" w:firstLineChars="200"/>
        <w:jc w:val="both"/>
        <w:rPr>
          <w:rFonts w:hint="eastAsia" w:ascii="仿宋_GB2312" w:hAnsi="仿宋" w:eastAsia="仿宋_GB2312" w:cs="仿宋"/>
          <w:b/>
          <w:sz w:val="32"/>
          <w:szCs w:val="32"/>
        </w:rPr>
      </w:pPr>
      <w:r>
        <w:rPr>
          <w:rFonts w:hint="eastAsia" w:ascii="仿宋_GB2312" w:hAnsi="仿宋" w:eastAsia="仿宋_GB2312" w:cs="仿宋"/>
          <w:b/>
          <w:sz w:val="32"/>
          <w:szCs w:val="32"/>
        </w:rPr>
        <w:t>第一部分 部门“三公”经费预算</w:t>
      </w:r>
    </w:p>
    <w:p>
      <w:pPr>
        <w:pStyle w:val="00000b"/>
        <w:spacing w:before="0" w:beforeAutospacing="false" w:after="0" w:afterAutospacing="false" w:line="500" w:lineRule="exact"/>
        <w:ind w:firstLine="640" w:firstLineChars="200"/>
        <w:rPr>
          <w:rFonts w:hint="eastAsia"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 xml:space="preserve">1. 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濉溪县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卫生健康系统财务管理中心2024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年“三公”经费支出预算表</w:t>
      </w:r>
    </w:p>
    <w:p>
      <w:pPr>
        <w:pStyle w:val="00000b"/>
        <w:spacing w:before="0" w:beforeAutospacing="false" w:after="0" w:afterAutospacing="false" w:line="500" w:lineRule="exact"/>
        <w:ind w:firstLine="640" w:firstLineChars="200"/>
        <w:rPr>
          <w:rFonts w:hint="eastAsia"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 xml:space="preserve">2. 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濉溪县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卫生健康系统财务管理中心2024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年“三公”经费支出预算情况说明</w:t>
      </w:r>
    </w:p>
    <w:p>
      <w:pPr>
        <w:pStyle w:val="00000b"/>
        <w:spacing w:before="0" w:beforeAutospacing="false" w:after="0" w:afterAutospacing="false" w:line="50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</w:p>
    <w:p>
      <w:pPr>
        <w:pStyle w:val="00000b"/>
        <w:spacing w:before="0" w:beforeAutospacing="false" w:after="0" w:afterAutospacing="false" w:line="50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</w:p>
    <w:p>
      <w:pPr>
        <w:pStyle w:val="00000b"/>
        <w:spacing w:before="0" w:beforeAutospacing="false" w:after="0" w:afterAutospacing="false" w:line="50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</w:p>
    <w:p>
      <w:pPr>
        <w:pStyle w:val="00000b"/>
        <w:spacing w:before="0" w:beforeAutospacing="false" w:after="0" w:afterAutospacing="false" w:line="500" w:lineRule="exact"/>
        <w:ind w:firstLine="723" w:firstLineChars="200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pStyle w:val="000001"/>
        <w:ind/>
        <w:jc w:val="center"/>
        <w:rPr>
          <w:rFonts w:hint="eastAsia" w:ascii="华文中宋" w:hAnsi="华文中宋" w:eastAsia="华文中宋"/>
          <w:b/>
          <w:sz w:val="36"/>
          <w:szCs w:val="36"/>
        </w:rPr>
      </w:pPr>
      <w:r>
        <w:rPr>
          <w:rFonts w:hint="eastAsia" w:ascii="华文中宋" w:hAnsi="华文中宋" w:eastAsia="华文中宋"/>
          <w:b/>
          <w:sz w:val="36"/>
          <w:szCs w:val="36"/>
          <w:lang w:eastAsia="zh-CN"/>
        </w:rPr>
        <w:t>濉溪县</w:t>
      </w:r>
      <w:r>
        <w:rPr>
          <w:rFonts w:hint="eastAsia" w:ascii="华文中宋" w:hAnsi="华文中宋" w:eastAsia="华文中宋"/>
          <w:b/>
          <w:sz w:val="36"/>
          <w:szCs w:val="36"/>
        </w:rPr>
        <w:t>XX局（委）</w:t>
      </w:r>
      <w:r>
        <w:rPr>
          <w:rFonts w:hint="eastAsia" w:ascii="华文中宋" w:hAnsi="华文中宋" w:eastAsia="华文中宋"/>
          <w:b/>
          <w:sz w:val="36"/>
          <w:szCs w:val="36"/>
          <w:lang w:eastAsia="zh-CN"/>
        </w:rPr>
        <w:t>2024</w:t>
      </w:r>
      <w:r>
        <w:rPr>
          <w:rFonts w:hint="eastAsia" w:ascii="华文中宋" w:hAnsi="华文中宋" w:eastAsia="华文中宋"/>
          <w:b/>
          <w:sz w:val="36"/>
          <w:szCs w:val="36"/>
        </w:rPr>
        <w:t>年“三公”经费预算</w:t>
      </w:r>
    </w:p>
    <w:p>
      <w:pPr>
        <w:pStyle w:val="000001"/>
        <w:ind/>
        <w:rPr>
          <w:rFonts w:hint="eastAsia" w:ascii="楷体_GB2312" w:hAnsi="宋体" w:eastAsia="楷体_GB2312"/>
          <w:sz w:val="32"/>
          <w:szCs w:val="32"/>
        </w:rPr>
      </w:pPr>
    </w:p>
    <w:p>
      <w:pPr>
        <w:pStyle w:val="000001"/>
        <w:ind/>
        <w:rPr>
          <w:rFonts w:hint="eastAsia" w:ascii="宋体" w:hAnsi="宋体"/>
          <w:sz w:val="6"/>
          <w:szCs w:val="32"/>
        </w:rPr>
      </w:pPr>
    </w:p>
    <w:p>
      <w:pPr>
        <w:pStyle w:val="000001"/>
        <w:ind w:firstLine="640" w:firstLineChars="200"/>
        <w:outlineLvl w:val="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</w:t>
      </w:r>
      <w:r>
        <w:rPr>
          <w:rFonts w:hint="eastAsia" w:ascii="黑体" w:hAnsi="黑体" w:eastAsia="黑体"/>
          <w:sz w:val="32"/>
          <w:szCs w:val="32"/>
          <w:lang w:eastAsia="zh-CN"/>
        </w:rPr>
        <w:t>2024</w:t>
      </w:r>
      <w:r>
        <w:rPr>
          <w:rFonts w:hint="eastAsia" w:ascii="黑体" w:hAnsi="黑体" w:eastAsia="黑体"/>
          <w:sz w:val="32"/>
          <w:szCs w:val="32"/>
        </w:rPr>
        <w:t>年“三公”经费支出预算表</w:t>
      </w:r>
    </w:p>
    <w:p>
      <w:pPr>
        <w:pStyle w:val="000001"/>
        <w:ind w:firstLine="640" w:firstLineChars="200"/>
        <w:outlineLvl w:val="0"/>
        <w:rPr>
          <w:rFonts w:hint="eastAsia" w:ascii="黑体" w:hAnsi="黑体" w:eastAsia="黑体"/>
          <w:sz w:val="32"/>
          <w:szCs w:val="32"/>
        </w:rPr>
      </w:pPr>
    </w:p>
    <w:p>
      <w:pPr>
        <w:pStyle w:val="000001"/>
        <w:ind w:firstLine="420" w:firstLineChars="200"/>
        <w:jc w:val="right"/>
        <w:outlineLvl w:val="0"/>
        <w:rPr>
          <w:rFonts w:ascii="黑体" w:hAnsi="黑体" w:eastAsia="黑体"/>
          <w:szCs w:val="21"/>
        </w:rPr>
      </w:pPr>
      <w:r>
        <w:rPr>
          <w:rFonts w:ascii="黑体" w:hAnsi="黑体" w:eastAsia="黑体"/>
          <w:szCs w:val="21"/>
        </w:rPr>
        <w:t>单位</w:t>
      </w:r>
      <w:r>
        <w:rPr>
          <w:rFonts w:hint="eastAsia" w:ascii="黑体" w:hAnsi="黑体" w:eastAsia="黑体"/>
          <w:szCs w:val="21"/>
        </w:rPr>
        <w:t>：</w:t>
      </w:r>
      <w:r>
        <w:rPr>
          <w:rFonts w:ascii="黑体" w:hAnsi="黑体" w:eastAsia="黑体"/>
          <w:szCs w:val="21"/>
        </w:rPr>
        <w:t>万元</w:t>
      </w:r>
    </w:p>
    <w:tbl>
      <w:tblPr>
        <w:tblW w:w="0" w:type="auto"/>
        <w:tblInd w:w="-14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3"/>
        <w:gridCol w:w="1843"/>
        <w:gridCol w:w="851"/>
        <w:gridCol w:w="1718"/>
        <w:gridCol w:w="1825"/>
        <w:gridCol w:w="993"/>
      </w:tblGrid>
      <w:tr>
        <w:trPr>
          <w:wBefore/>
          <w:wAfter w:w="0" w:type="dxa"/>
          <w:trHeight w:val="570" w:hRule="atLeast"/>
        </w:trPr>
        <w:tc>
          <w:tcPr>
            <w:tcW w:w="18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“三公”经费合计</w:t>
            </w:r>
          </w:p>
        </w:tc>
        <w:tc>
          <w:tcPr>
            <w:tcW w:w="18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因公出国（境）费</w:t>
            </w:r>
          </w:p>
        </w:tc>
        <w:tc>
          <w:tcPr>
            <w:tcW w:w="439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公务用车购置及运行费</w:t>
            </w:r>
          </w:p>
        </w:tc>
        <w:tc>
          <w:tcPr>
            <w:tcW w:w="9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公务</w:t>
            </w:r>
          </w:p>
          <w:p>
            <w:pPr>
              <w:pStyle w:val="000001"/>
              <w:widowControl/>
              <w:ind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接待费</w:t>
            </w:r>
          </w:p>
        </w:tc>
      </w:tr>
      <w:tr>
        <w:trPr>
          <w:wBefore/>
          <w:wAfter w:w="0" w:type="dxa"/>
          <w:trHeight w:val="555" w:hRule="atLeast"/>
        </w:trPr>
        <w:tc>
          <w:tcPr>
            <w:tcW w:w="18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小计</w:t>
            </w:r>
          </w:p>
        </w:tc>
        <w:tc>
          <w:tcPr>
            <w:tcW w:w="17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公务用车购置费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公务用车运行费</w:t>
            </w:r>
          </w:p>
        </w:tc>
        <w:tc>
          <w:tcPr>
            <w:tcW w:w="9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>
        <w:trPr>
          <w:wBefore/>
          <w:wAfter w:w="0" w:type="dxa"/>
          <w:trHeight w:val="600" w:hRule="atLeast"/>
        </w:trPr>
        <w:tc>
          <w:tcPr>
            <w:tcW w:w="18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 w:firstLine="330" w:firstLineChars="150"/>
              <w:jc w:val="left"/>
              <w:rPr>
                <w:rFonts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2.92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/>
              <w:jc w:val="center"/>
              <w:rPr>
                <w:rFonts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2.92</w:t>
            </w:r>
          </w:p>
        </w:tc>
        <w:tc>
          <w:tcPr>
            <w:tcW w:w="17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 w:firstLine="110" w:firstLineChars="50"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 w:firstLine="110" w:firstLineChars="50"/>
              <w:jc w:val="left"/>
              <w:rPr>
                <w:rFonts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2.92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widowControl/>
              <w:ind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</w:tbl>
    <w:p>
      <w:pPr>
        <w:pStyle w:val="000001"/>
        <w:spacing w:line="580" w:lineRule="exact"/>
        <w:ind w:firstLine="640" w:firstLineChars="200"/>
        <w:outlineLvl w:val="0"/>
        <w:rPr>
          <w:rFonts w:hint="eastAsia" w:ascii="黑体" w:hAnsi="黑体" w:eastAsia="黑体"/>
          <w:sz w:val="32"/>
          <w:szCs w:val="32"/>
        </w:rPr>
      </w:pPr>
    </w:p>
    <w:p>
      <w:pPr>
        <w:pStyle w:val="000001"/>
        <w:spacing w:line="360" w:lineRule="auto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</w:t>
      </w:r>
      <w:r>
        <w:rPr>
          <w:rFonts w:hint="eastAsia" w:ascii="黑体" w:hAnsi="黑体" w:eastAsia="黑体"/>
          <w:sz w:val="32"/>
          <w:szCs w:val="32"/>
          <w:lang w:eastAsia="zh-CN"/>
        </w:rPr>
        <w:t>2024</w:t>
      </w:r>
      <w:r>
        <w:rPr>
          <w:rFonts w:hint="eastAsia" w:ascii="黑体" w:hAnsi="黑体" w:eastAsia="黑体"/>
          <w:sz w:val="32"/>
          <w:szCs w:val="32"/>
        </w:rPr>
        <w:t>年“三公”经费支出预算情况说明</w:t>
      </w:r>
    </w:p>
    <w:p>
      <w:pPr>
        <w:pStyle w:val="000001"/>
        <w:spacing w:line="360" w:lineRule="auto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濉溪县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卫生健康系统财务管理中心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/>
          <w:sz w:val="32"/>
          <w:szCs w:val="32"/>
        </w:rPr>
        <w:t>年一般公共预算“三公”经费支出预算为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2.92</w:t>
      </w:r>
      <w:r>
        <w:rPr>
          <w:rFonts w:hint="eastAsia" w:ascii="仿宋_GB2312" w:hAnsi="仿宋" w:eastAsia="仿宋_GB2312"/>
          <w:sz w:val="32"/>
          <w:szCs w:val="32"/>
        </w:rPr>
        <w:t>万元，比202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sz w:val="32"/>
          <w:szCs w:val="32"/>
        </w:rPr>
        <w:t>年预算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减少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0.14</w:t>
      </w:r>
      <w:r>
        <w:rPr>
          <w:rFonts w:hint="eastAsia" w:ascii="仿宋_GB2312" w:hAnsi="仿宋" w:eastAsia="仿宋_GB2312"/>
          <w:sz w:val="32"/>
          <w:szCs w:val="32"/>
        </w:rPr>
        <w:t>万元，(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减少</w:t>
      </w:r>
      <w:r>
        <w:rPr>
          <w:rFonts w:hint="eastAsia" w:ascii="仿宋_GB2312" w:hAnsi="仿宋" w:eastAsia="仿宋_GB2312"/>
          <w:sz w:val="32"/>
          <w:szCs w:val="32"/>
        </w:rPr>
        <w:t>)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4.58</w:t>
      </w:r>
      <w:r>
        <w:rPr>
          <w:rFonts w:hint="eastAsia" w:ascii="仿宋_GB2312" w:hAnsi="仿宋" w:eastAsia="仿宋_GB2312"/>
          <w:sz w:val="32"/>
          <w:szCs w:val="32"/>
        </w:rPr>
        <w:t>%。其中：因公出国（境）费支出预算为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万元，公务接待费支出预算为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万元，公务用车购置及运行费支出预算为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2.92</w:t>
      </w:r>
      <w:r>
        <w:rPr>
          <w:rFonts w:hint="eastAsia" w:ascii="仿宋_GB2312" w:hAnsi="仿宋" w:eastAsia="仿宋_GB2312"/>
          <w:sz w:val="32"/>
          <w:szCs w:val="32"/>
        </w:rPr>
        <w:t>万元。具体情况如下：</w:t>
      </w:r>
    </w:p>
    <w:p>
      <w:pPr>
        <w:pStyle w:val="00000b"/>
        <w:spacing w:before="0" w:beforeAutospacing="false" w:after="0" w:afterAutospacing="false" w:line="360" w:lineRule="auto"/>
        <w:ind w:firstLine="643" w:firstLineChars="200"/>
        <w:rPr>
          <w:rFonts w:ascii="仿宋_GB2312" w:hAnsi="仿宋" w:eastAsia="仿宋_GB2312" w:cs="Times New Roman"/>
          <w:kern w:val="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（一）因公出国（境）费</w:t>
      </w:r>
      <w:r>
        <w:rPr>
          <w:rFonts w:hint="eastAsia" w:ascii="仿宋_GB2312" w:hAnsi="仿宋" w:eastAsia="仿宋_GB2312"/>
          <w:sz w:val="32"/>
          <w:szCs w:val="32"/>
        </w:rPr>
        <w:t>支出预算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万元, 比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2023</w:t>
      </w:r>
      <w:r>
        <w:rPr>
          <w:rFonts w:hint="eastAsia" w:ascii="仿宋_GB2312" w:hAnsi="仿宋" w:eastAsia="仿宋_GB2312"/>
          <w:sz w:val="32"/>
          <w:szCs w:val="32"/>
        </w:rPr>
        <w:t>年预算减少（增加）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万元，下降（增长）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%，原因主要是……。该项经费预算根据批准的因公临时出国（境）计划，按照规定标准安排；主要是用于</w:t>
      </w:r>
      <w:r>
        <w:rPr>
          <w:rFonts w:ascii="仿宋_GB2312" w:hAnsi="仿宋" w:eastAsia="仿宋_GB2312"/>
          <w:sz w:val="32"/>
          <w:szCs w:val="32"/>
        </w:rPr>
        <w:t>……</w:t>
      </w:r>
      <w:r>
        <w:rPr>
          <w:rFonts w:hint="eastAsia" w:ascii="仿宋_GB2312" w:hAnsi="仿宋" w:eastAsia="仿宋_GB2312"/>
          <w:sz w:val="32"/>
          <w:szCs w:val="32"/>
        </w:rPr>
        <w:t>。</w:t>
      </w:r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经费使用严格执行《安徽省省直党政机关因公临时出国经费管理办法》（财行〔2014〕104号）、《安徽省省直党政机关因公短期出国培训费用管理办法》（财行〔2014〕527号）等相关规定。</w:t>
      </w:r>
    </w:p>
    <w:p>
      <w:pPr>
        <w:pStyle w:val="00000b"/>
        <w:spacing w:before="0" w:beforeAutospacing="false" w:after="0" w:afterAutospacing="false" w:line="360" w:lineRule="auto"/>
        <w:ind w:firstLine="643" w:firstLineChars="200"/>
        <w:jc w:val="both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b/>
          <w:sz w:val="32"/>
          <w:szCs w:val="32"/>
        </w:rPr>
        <w:t>（二）公务用车购置及运行费</w:t>
      </w:r>
      <w:r>
        <w:rPr>
          <w:rFonts w:hint="eastAsia" w:ascii="仿宋_GB2312" w:hAnsi="仿宋" w:eastAsia="仿宋_GB2312"/>
          <w:sz w:val="32"/>
          <w:szCs w:val="32"/>
        </w:rPr>
        <w:t>支出预算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万元，比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2023</w:t>
      </w:r>
      <w:r>
        <w:rPr>
          <w:rFonts w:hint="eastAsia" w:ascii="仿宋_GB2312" w:hAnsi="仿宋" w:eastAsia="仿宋_GB2312"/>
          <w:sz w:val="32"/>
          <w:szCs w:val="32"/>
        </w:rPr>
        <w:t>年预算减少（增加）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万元，下降（增长）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%。其中：公务用车运行费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2.92</w:t>
      </w:r>
      <w:r>
        <w:rPr>
          <w:rFonts w:hint="eastAsia" w:ascii="仿宋_GB2312" w:hAnsi="仿宋" w:eastAsia="仿宋_GB2312"/>
          <w:sz w:val="32"/>
          <w:szCs w:val="32"/>
        </w:rPr>
        <w:t>万元，比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2023</w:t>
      </w:r>
      <w:r>
        <w:rPr>
          <w:rFonts w:hint="eastAsia" w:ascii="仿宋_GB2312" w:hAnsi="仿宋" w:eastAsia="仿宋_GB2312"/>
          <w:sz w:val="32"/>
          <w:szCs w:val="32"/>
        </w:rPr>
        <w:t>年预算减少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0.14</w:t>
      </w:r>
      <w:r>
        <w:rPr>
          <w:rFonts w:hint="eastAsia" w:ascii="仿宋_GB2312" w:hAnsi="仿宋" w:eastAsia="仿宋_GB2312"/>
          <w:sz w:val="32"/>
          <w:szCs w:val="32"/>
        </w:rPr>
        <w:t>万元，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减少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4.58</w:t>
      </w:r>
      <w:r>
        <w:rPr>
          <w:rFonts w:hint="eastAsia" w:ascii="仿宋_GB2312" w:hAnsi="仿宋" w:eastAsia="仿宋_GB2312"/>
          <w:sz w:val="32"/>
          <w:szCs w:val="32"/>
        </w:rPr>
        <w:t>%，原因主要是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单位业务办公、卫健委、纪检组用车等</w:t>
      </w:r>
      <w:r>
        <w:rPr>
          <w:rFonts w:hint="eastAsia" w:ascii="仿宋_GB2312" w:hAnsi="仿宋" w:eastAsia="仿宋_GB2312"/>
          <w:sz w:val="32"/>
          <w:szCs w:val="32"/>
        </w:rPr>
        <w:t>；该项经费主要用于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单位业务办公、卫健委、纪检组用车等</w:t>
      </w:r>
      <w:r>
        <w:rPr>
          <w:rFonts w:hint="eastAsia" w:ascii="仿宋_GB2312" w:hAnsi="仿宋" w:eastAsia="仿宋_GB2312"/>
          <w:sz w:val="32"/>
          <w:szCs w:val="32"/>
        </w:rPr>
        <w:t>。公务用车购置费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万元，比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2023</w:t>
      </w:r>
      <w:r>
        <w:rPr>
          <w:rFonts w:hint="eastAsia" w:ascii="仿宋_GB2312" w:hAnsi="仿宋" w:eastAsia="仿宋_GB2312"/>
          <w:sz w:val="32"/>
          <w:szCs w:val="32"/>
        </w:rPr>
        <w:t>年预算减少（增加）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万元，下降（增长）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%，原因主要是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本单位无公务用车购置费用。</w:t>
      </w:r>
    </w:p>
    <w:p>
      <w:pPr>
        <w:pStyle w:val="00000b"/>
        <w:spacing w:before="0" w:beforeAutospacing="false" w:after="0" w:afterAutospacing="false"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（三）公务接待费</w:t>
      </w:r>
      <w:r>
        <w:rPr>
          <w:rFonts w:hint="eastAsia" w:ascii="仿宋_GB2312" w:hAnsi="仿宋" w:eastAsia="仿宋_GB2312"/>
          <w:sz w:val="32"/>
          <w:szCs w:val="32"/>
        </w:rPr>
        <w:t>支出预算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万元，比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2023</w:t>
      </w:r>
      <w:r>
        <w:rPr>
          <w:rFonts w:hint="eastAsia" w:ascii="仿宋_GB2312" w:hAnsi="仿宋" w:eastAsia="仿宋_GB2312"/>
          <w:sz w:val="32"/>
          <w:szCs w:val="32"/>
        </w:rPr>
        <w:t>年预算减少（增加）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万元，下降（增长）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%，。经费使用严格执行《党政机关厉行节约反对浪费条例》、《安徽省省直机关公务接待管理暂行办法》（财行〔2014〕2066号）、《安徽省财政厅关于调整省直机关公务接待费用餐标准的通知》（财行〔2018〕1096号）等相关规定。</w:t>
      </w:r>
    </w:p>
    <w:sectPr>
      <w:footerReference r:id="rId5" w:type="even"/>
      <w:footerReference r:id="rId4" w:type="default"/>
      <w:type w:val="nextPage"/>
      <w:pgSz w:w="11906" w:h="16838"/>
      <w:pgMar w:top="1440" w:right="1800" w:bottom="1440" w:left="1800" w:header="851" w:footer="992" w:gutter="0"/>
      <w:pgNumType/>
      <w:cols/>
      <w:docGrid w:type="lines" w:linePitch="312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 w:characterSet="ISO-8859-1"/>
    <w:family w:val="swiss"/>
    <w:pitch w:val="default"/>
    <w:sig w:usb0="E00002FF" w:usb1="4000ACFF" w:usb2="00000001" w:usb3="00000000" w:csb0="2000019F" w:csb1="00000000"/>
  </w:font>
  <w:font w:name="宋体">
    <w:panose1 w:val="02010600030101010101"/>
    <w:charset w:val="86" w:characterSet="ISO-8859-1"/>
    <w:family w:val="auto"/>
    <w:pitch w:val="default"/>
    <w:sig w:usb0="00000003" w:usb1="288F0000" w:usb2="00000006" w:usb3="00000000" w:csb0="00040001" w:csb1="00000000"/>
  </w:font>
  <w:font w:name="仿宋_GB2312">
    <w:altName w:val="仿宋"/>
    <w:panose1 w:val="02010609030101010101"/>
    <w:charset w:val="86" w:characterSet="ISO-8859-1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 w:characterSet="ISO-8859-1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 w:characterSet="ISO-8859-1"/>
    <w:family w:val="modern"/>
    <w:pitch w:val="default"/>
    <w:sig w:usb0="800002BF" w:usb1="38CF7CFA" w:usb2="00000016" w:usb3="00000000" w:csb0="00040001" w:csb1="00000000"/>
  </w:font>
  <w:font w:name="黑体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  <w:font w:name="Times New Roman">
    <w:panose1 w:val="02020603050405020304"/>
    <w:charset w:val="00" w:characterSet="ISO-8859-1"/>
    <w:family w:val="auto"/>
    <w:pitch w:val="default"/>
    <w:sig w:usb0="E0002AFF" w:usb1="C0007841" w:usb2="00000009" w:usb3="00000000" w:csb0="400001FF" w:csb1="FFFF0000"/>
  </w:font>
  <w:font w:name="华文中宋">
    <w:altName w:val="宋体"/>
    <w:panose1 w:val="02010600040101010101"/>
    <w:charset w:val="86" w:characterSet="ISO-8859-1"/>
    <w:family w:val="auto"/>
    <w:pitch w:val="default"/>
    <w:sig w:usb0="00000287" w:usb1="080F0000" w:usb2="00000000" w:usb3="00000000" w:csb0="0004009F" w:csb1="DFD70000"/>
  </w:font>
  <w:font w:name="Courier New">
    <w:panose1 w:val="02070309020205020404"/>
    <w:charset w:val="00" w:characterSet="ISO-8859-1"/>
    <w:family w:val="modern"/>
    <w:pitch w:val="default"/>
    <w:sig w:usb0="E0002AFF" w:usb1="C0007843" w:usb2="00000009" w:usb3="00000000" w:csb0="400001FF" w:csb1="FFFF0000"/>
  </w:font>
</w:fonts>
</file>

<file path=word/footer1.xml><?xml version="1.0" encoding="utf-8"?>
<w:ftr xmlns:w="http://schemas.openxmlformats.org/wordprocessingml/2006/main">
  <w:p>
    <w:pPr>
      <w:pStyle w:val="000007"/>
      <w:framePr w:wrap="around" w:hAnchor="margin" w:vAnchor="text" w:xAlign="right" w:y="1"/>
      <w:tabs>
        <w:tab w:val="clear" w:pos="4153"/>
        <w:tab w:val="clear" w:pos="8306"/>
      </w:tabs>
      <w:ind/>
      <w:rPr>
        <w:rStyle w:val="PageNumber"/>
      </w:rPr>
    </w:pPr>
    <w:r>
      <w:rPr/>
      <w:fldChar w:fldCharType="begin"/>
    </w:r>
    <w:r>
      <w:rPr>
        <w:rStyle w:val="00000d"/>
      </w:rPr>
      <w:instrText xml:space="preserve">PAGE  </w:instrText>
    </w:r>
    <w:r>
      <w:rPr/>
      <w:fldChar w:fldCharType="separate"/>
    </w:r>
    <w:r>
      <w:rPr>
        <w:rStyle w:val="00000d"/>
      </w:rPr>
      <w:t>2</w:t>
    </w:r>
    <w:r>
      <w:rPr/>
      <w:fldChar w:fldCharType="end"/>
    </w:r>
  </w:p>
  <w:p>
    <w:pPr>
      <w:pStyle w:val="000007"/>
      <w:tabs>
        <w:tab w:val="clear" w:pos="4153"/>
        <w:tab w:val="clear" w:pos="8306"/>
      </w:tabs>
      <w:ind w:right="360"/>
      <w:rPr/>
    </w:pPr>
  </w:p>
</w:ftr>
</file>

<file path=word/footer2.xml><?xml version="1.0" encoding="utf-8"?>
<w:ftr xmlns:w="http://schemas.openxmlformats.org/wordprocessingml/2006/main">
  <w:p>
    <w:pPr>
      <w:pStyle w:val="000007"/>
      <w:framePr w:wrap="around" w:hAnchor="margin" w:vAnchor="text" w:xAlign="right" w:y="1"/>
      <w:tabs>
        <w:tab w:val="clear" w:pos="4153"/>
        <w:tab w:val="clear" w:pos="8306"/>
      </w:tabs>
      <w:rPr>
        <w:rStyle w:val="PageNumber"/>
      </w:rPr>
    </w:pPr>
    <w:r>
      <w:rPr/>
      <w:fldChar w:fldCharType="begin"/>
    </w:r>
    <w:r>
      <w:rPr>
        <w:rStyle w:val="00000d"/>
      </w:rPr>
      <w:instrText xml:space="preserve">PAGE  </w:instrText>
    </w:r>
    <w:r>
      <w:rPr/>
      <w:fldChar w:fldCharType="end"/>
    </w:r>
  </w:p>
  <w:p>
    <w:pPr>
      <w:pStyle w:val="000007"/>
      <w:tabs>
        <w:tab w:val="clear" w:pos="4153"/>
        <w:tab w:val="clear" w:pos="8306"/>
      </w:tabs>
      <w:ind w:right="360"/>
      <w:rPr/>
    </w:pPr>
  </w:p>
</w:ftr>
</file>

<file path=word/settings.xml><?xml version="1.0" encoding="utf-8"?>
<w:settings xmlns:w="http://schemas.openxmlformats.org/wordprocessingml/2006/main">
  <w:zoom w:percent="100"/>
  <w:stylePaneFormatFilter/>
  <w:defaultTabStop w:val="420"/>
  <w:displayHorizontalDrawingGridEvery w:val="0"/>
  <w:displayVerticalDrawingGridEvery w:val="2"/>
  <w:characterSpacingControl w:val="compressPunctuation"/>
  <w:footnotePr/>
  <w:endnotePr/>
  <w:compat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宋体" w:cs="Times New Roman"/>
        <w:kern w:val="2"/>
        <w:sz w:val="21"/>
        <w:szCs w:val="22"/>
        <w:u/>
        <w:lang w:val="en-US"/>
      </w:rPr>
    </w:rPrDefault>
    <w:pPrDefault>
      <w:pPr>
        <w:tabs/>
        <w:autoSpaceDE/>
        <w:autoSpaceDN/>
        <w:snapToGrid/>
        <w:spacing/>
        <w:ind/>
      </w:pPr>
    </w:pPrDefault>
  </w:docDefaults>
  <w:style w:type="paragraph" w:styleId="000006">
    <w:name w:val="Balloon Text"/>
    <w:basedOn w:val="000001"/>
    <w:next w:val="000006"/>
    <w:link w:val="000001"/>
    <w:semiHidden/>
    <w:rPr>
      <w:sz w:val="18"/>
      <w:szCs w:val="18"/>
    </w:rPr>
  </w:style>
  <w:style w:type="paragraph" w:styleId="00000b">
    <w:name w:val="Normal (Web)"/>
    <w:basedOn w:val="000001"/>
    <w:next w:val="00000b"/>
    <w:link w:val="000001"/>
    <w:pPr>
      <w:widowControl/>
      <w:spacing w:before="100" w:beforeAutospacing="true" w:after="100" w:afterAutospacing="true"/>
      <w:jc w:val="left"/>
    </w:pPr>
    <w:rPr>
      <w:rFonts w:ascii="宋体" w:hAnsi="宋体" w:cs="宋体"/>
      <w:kern w:val="0"/>
      <w:sz w:val="24"/>
    </w:rPr>
  </w:style>
  <w:style w:type="character" w:styleId="00000a">
    <w:name w:val="页眉 Char"/>
    <w:basedOn w:val="000002"/>
    <w:next w:val="00000a"/>
    <w:link w:val="000009"/>
    <w:uiPriority w:val="99"/>
    <w:semiHidden/>
    <w:rPr>
      <w:sz w:val="18"/>
      <w:szCs w:val="18"/>
    </w:rPr>
  </w:style>
  <w:style w:type="paragraph" w:styleId="000009">
    <w:name w:val="header"/>
    <w:basedOn w:val="000001"/>
    <w:next w:val="000009"/>
    <w:link w:val="00000a"/>
    <w:uiPriority w:val="99"/>
    <w:unhideWhenUsed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jc w:val="center"/>
    </w:pPr>
    <w:rPr>
      <w:rFonts w:ascii="Calibri" w:hAnsi="Calibri" w:eastAsia="宋体" w:cs="Times New Roman"/>
      <w:sz w:val="18"/>
      <w:szCs w:val="18"/>
    </w:rPr>
  </w:style>
  <w:style w:type="paragraph" w:styleId="000001">
    <w:name w:val="Normal"/>
    <w:aliases w:val="正文"/>
    <w:next w:val="000001"/>
    <w:link w:val="000001"/>
    <w:qFormat/>
    <w:pPr>
      <w:widowControl w:val="false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character" w:styleId="000002">
    <w:name w:val="Default Paragraph Font"/>
    <w:next w:val="000002"/>
    <w:link w:val="000001"/>
    <w:uiPriority w:val="1"/>
    <w:unhideWhenUsed/>
  </w:style>
  <w:style w:type="paragraph" w:styleId="000007">
    <w:name w:val="footer"/>
    <w:basedOn w:val="000001"/>
    <w:next w:val="000007"/>
    <w:link w:val="000008"/>
    <w:uiPriority w:val="99"/>
    <w:unhideWhenUsed/>
    <w:pPr>
      <w:tabs>
        <w:tab w:val="center" w:leader="none" w:pos="4153"/>
        <w:tab w:val="right" w:leader="none" w:pos="8306"/>
      </w:tabs>
      <w:jc w:val="left"/>
    </w:pPr>
    <w:rPr>
      <w:rFonts w:ascii="Calibri" w:hAnsi="Calibri" w:eastAsia="宋体" w:cs="Times New Roman"/>
      <w:sz w:val="18"/>
      <w:szCs w:val="18"/>
    </w:rPr>
  </w:style>
  <w:style w:type="paragraph" w:styleId="000004">
    <w:name w:val="Document Map"/>
    <w:basedOn w:val="000001"/>
    <w:next w:val="000004"/>
    <w:link w:val="000001"/>
    <w:semiHidden/>
    <w:pPr>
      <w:shd w:val="clear" w:color="auto" w:fill="000080"/>
    </w:pPr>
  </w:style>
  <w:style w:type="character" w:styleId="00000c">
    <w:name w:val="Strong"/>
    <w:basedOn w:val="000002"/>
    <w:next w:val="00000c"/>
    <w:link w:val="000001"/>
    <w:qFormat/>
    <w:rPr>
      <w:b/>
      <w:bCs/>
    </w:rPr>
  </w:style>
  <w:style w:type="character" w:styleId="000008">
    <w:name w:val="页脚 Char"/>
    <w:basedOn w:val="000002"/>
    <w:next w:val="000008"/>
    <w:link w:val="000007"/>
    <w:uiPriority w:val="99"/>
    <w:semiHidden/>
    <w:rPr>
      <w:sz w:val="18"/>
      <w:szCs w:val="18"/>
    </w:rPr>
  </w:style>
  <w:style w:type="table" w:styleId="000003">
    <w:name w:val="Normal Table"/>
    <w:next w:val="000003"/>
    <w:link w:val="000001"/>
    <w:uiPriority w:val="99"/>
    <w:unhideWhenUsed/>
    <w:qFormat/>
  </w:style>
  <w:style w:type="paragraph" w:styleId="000005">
    <w:name w:val="Plain Text"/>
    <w:basedOn w:val="000001"/>
    <w:next w:val="000005"/>
    <w:link w:val="000001"/>
    <w:semiHidden/>
    <w:rPr>
      <w:rFonts w:ascii="宋体" w:hAnsi="Courier New" w:cs="Courier New"/>
      <w:szCs w:val="21"/>
    </w:rPr>
  </w:style>
  <w:style w:type="character" w:styleId="00000d">
    <w:name w:val="page number"/>
    <w:basedOn w:val="000002"/>
    <w:next w:val="00000d"/>
    <w:link w:val="000001"/>
  </w:style>
</w:styles>
</file>

<file path=word/_rels/document.xml.rels><?xml version="1.0" encoding="UTF-8" standalone="yes"?><Relationships xmlns="http://schemas.openxmlformats.org/package/2006/relationships"><Relationship Id="rId5" Type="http://schemas.openxmlformats.org/officeDocument/2006/relationships/footer" Target="footer2.xml" /><Relationship Id="rId2" Type="http://schemas.openxmlformats.org/officeDocument/2006/relationships/fontTable" Target="fontTable.xml" /><Relationship Id="rId0" Type="http://schemas.openxmlformats.org/officeDocument/2006/relationships/styles" Target="styles.xml" /><Relationship Id="rId4" Type="http://schemas.openxmlformats.org/officeDocument/2006/relationships/footer" Target="footer1.xml" /><Relationship Id="rId1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thm15="http://schemas.microsoft.com/office/thememl/2012/main" xmlns:mc="http://schemas.openxmlformats.org/markup-compatibility/2006" name="Office 主题​​" mc:Ignorable="thm15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2026-07-13T10:23:30Z</dcterms:created>
  <dcterms:modified xsi:type="dcterms:W3CDTF">2026-07-13T10:23:30Z</dcterms:modified>
</cp:coreProperties>
</file>