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Types>
</file>

<file path=_rels/.rels><?xml version="1.0" encoding="UTF-8" standalone="yes"?><Relationships xmlns="http://schemas.openxmlformats.org/package/2006/relationships"><Relationship Id="rId0" Type="http://schemas.openxmlformats.org/officeDocument/2006/relationships/officeDocument" Target="word/document.xml" /><Relationship Id="rId1" Type="http://schemas.openxmlformats.org/package/2006/relationships/metadata/core-properties" Target="docProps/core.xml" /><Relationship Id="rId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pStyle w:val="000001"/>
        <w:spacing w:line="360" w:lineRule="auto"/>
        <w:ind/>
        <w:rPr>
          <w:rFonts w:hint="eastAsia" w:ascii="宋体" w:hAnsi="宋体"/>
          <w:sz w:val="28"/>
          <w:szCs w:val="28"/>
        </w:rPr>
      </w:pPr>
    </w:p>
    <w:p>
      <w:pPr>
        <w:pStyle w:val="000001"/>
        <w:spacing w:line="360" w:lineRule="auto"/>
        <w:ind/>
        <w:rPr>
          <w:rFonts w:hint="eastAsia" w:ascii="宋体" w:hAnsi="宋体"/>
          <w:sz w:val="28"/>
          <w:szCs w:val="28"/>
        </w:rPr>
      </w:pPr>
      <w:r>
        <w:rPr>
          <w:rFonts w:hint="eastAsia" w:ascii="宋体" w:hAnsi="宋体"/>
          <w:sz w:val="28"/>
          <w:szCs w:val="28"/>
        </w:rPr>
        <w:t>附件1</w:t>
      </w:r>
    </w:p>
    <w:p>
      <w:pPr>
        <w:pStyle w:val="000001"/>
        <w:spacing w:line="360" w:lineRule="auto"/>
        <w:ind/>
        <w:jc w:val="center"/>
        <w:rPr>
          <w:rFonts w:ascii="宋体" w:hAnsi="宋体"/>
          <w:b/>
          <w:sz w:val="44"/>
          <w:szCs w:val="44"/>
          <w:u w:val="single"/>
        </w:rPr>
      </w:pPr>
    </w:p>
    <w:p>
      <w:pPr>
        <w:pStyle w:val="000001"/>
        <w:spacing w:line="360" w:lineRule="auto"/>
        <w:ind/>
        <w:jc w:val="center"/>
        <w:rPr>
          <w:rFonts w:ascii="宋体" w:hAnsi="宋体"/>
          <w:b/>
          <w:sz w:val="44"/>
          <w:szCs w:val="44"/>
          <w:u w:val="single"/>
        </w:rPr>
      </w:pPr>
    </w:p>
    <w:p>
      <w:pPr>
        <w:pStyle w:val="000001"/>
        <w:spacing w:line="360" w:lineRule="auto"/>
        <w:ind/>
        <w:jc w:val="center"/>
        <w:rPr>
          <w:rFonts w:hint="eastAsia" w:ascii="宋体" w:hAnsi="宋体"/>
          <w:b/>
          <w:sz w:val="44"/>
          <w:szCs w:val="44"/>
          <w:u w:val="single"/>
        </w:rPr>
      </w:pPr>
    </w:p>
    <w:p>
      <w:pPr>
        <w:pStyle w:val="000001"/>
        <w:spacing w:line="360" w:lineRule="auto"/>
        <w:ind/>
        <w:jc w:val="center"/>
        <w:rPr>
          <w:rFonts w:hint="eastAsia" w:ascii="华文中宋" w:hAnsi="华文中宋" w:eastAsia="华文中宋" w:cs="华文中宋"/>
          <w:b/>
          <w:sz w:val="52"/>
          <w:szCs w:val="84"/>
        </w:rPr>
      </w:pPr>
      <w:r>
        <w:rPr>
          <w:rFonts w:hint="eastAsia" w:ascii="华文中宋" w:hAnsi="华文中宋" w:eastAsia="华文中宋" w:cs="华文中宋"/>
          <w:b/>
          <w:sz w:val="52"/>
          <w:szCs w:val="84"/>
          <w:lang w:eastAsia="zh-CN"/>
        </w:rPr>
        <w:t>濉溪县卫生健康系统财务管理中心</w:t>
      </w:r>
      <w:r>
        <w:rPr>
          <w:rFonts w:hint="eastAsia" w:ascii="华文中宋" w:hAnsi="华文中宋" w:eastAsia="华文中宋" w:cs="华文中宋"/>
          <w:b/>
          <w:sz w:val="52"/>
          <w:szCs w:val="84"/>
        </w:rPr>
        <w:t>202</w:t>
      </w:r>
      <w:r>
        <w:rPr>
          <w:rFonts w:hint="eastAsia" w:ascii="华文中宋" w:hAnsi="华文中宋" w:eastAsia="华文中宋" w:cs="华文中宋"/>
          <w:b/>
          <w:sz w:val="52"/>
          <w:szCs w:val="84"/>
          <w:lang w:val="en-US" w:eastAsia="zh-CN"/>
        </w:rPr>
        <w:t>4</w:t>
      </w:r>
      <w:r>
        <w:rPr>
          <w:rFonts w:hint="eastAsia" w:ascii="华文中宋" w:hAnsi="华文中宋" w:eastAsia="华文中宋" w:cs="华文中宋"/>
          <w:b/>
          <w:sz w:val="52"/>
          <w:szCs w:val="84"/>
        </w:rPr>
        <w:t>年部门预算</w:t>
      </w:r>
    </w:p>
    <w:p>
      <w:pPr>
        <w:pStyle w:val="000001"/>
        <w:spacing w:line="360" w:lineRule="auto"/>
        <w:ind/>
        <w:jc w:val="center"/>
        <w:rPr>
          <w:rFonts w:hint="eastAsia" w:ascii="华文中宋" w:hAnsi="华文中宋" w:eastAsia="华文中宋" w:cs="华文中宋"/>
          <w:b/>
          <w:sz w:val="52"/>
          <w:szCs w:val="84"/>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44"/>
          <w:szCs w:val="44"/>
        </w:rPr>
      </w:pPr>
      <w:r>
        <w:rPr>
          <w:rFonts w:hint="eastAsia" w:ascii="黑体" w:hAnsi="黑体" w:eastAsia="黑体"/>
          <w:bCs/>
          <w:sz w:val="44"/>
          <w:szCs w:val="44"/>
        </w:rPr>
        <w:t>202</w:t>
      </w:r>
      <w:r>
        <w:rPr>
          <w:rFonts w:hint="eastAsia" w:ascii="黑体" w:hAnsi="黑体" w:eastAsia="黑体"/>
          <w:bCs/>
          <w:sz w:val="44"/>
          <w:szCs w:val="44"/>
          <w:lang w:val="en-US" w:eastAsia="zh-CN"/>
        </w:rPr>
        <w:t>4</w:t>
      </w:r>
      <w:r>
        <w:rPr>
          <w:rFonts w:hint="eastAsia" w:ascii="黑体" w:hAnsi="黑体" w:eastAsia="黑体"/>
          <w:bCs/>
          <w:sz w:val="44"/>
          <w:szCs w:val="44"/>
        </w:rPr>
        <w:t>年</w:t>
      </w:r>
      <w:r>
        <w:rPr>
          <w:rFonts w:hint="eastAsia" w:ascii="黑体" w:hAnsi="黑体" w:eastAsia="黑体"/>
          <w:bCs/>
          <w:sz w:val="44"/>
          <w:szCs w:val="44"/>
          <w:lang w:val="en-US" w:eastAsia="zh-CN"/>
        </w:rPr>
        <w:t>2</w:t>
      </w:r>
      <w:r>
        <w:rPr>
          <w:rFonts w:hint="eastAsia" w:ascii="黑体" w:hAnsi="黑体" w:eastAsia="黑体"/>
          <w:bCs/>
          <w:sz w:val="44"/>
          <w:szCs w:val="44"/>
        </w:rPr>
        <w:t>月</w:t>
      </w: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500" w:lineRule="exact"/>
        <w:ind/>
        <w:jc w:val="center"/>
        <w:rPr>
          <w:rFonts w:hint="eastAsia" w:ascii="黑体" w:hAnsi="黑体" w:eastAsia="黑体"/>
          <w:bCs/>
          <w:sz w:val="44"/>
          <w:szCs w:val="44"/>
        </w:rPr>
      </w:pPr>
    </w:p>
    <w:p>
      <w:pPr>
        <w:pStyle w:val="00000b"/>
        <w:spacing w:before="0" w:beforeAutospacing="false" w:after="0" w:afterAutospacing="false" w:line="500" w:lineRule="exact"/>
        <w:ind/>
        <w:jc w:val="center"/>
        <w:rPr>
          <w:rFonts w:hint="eastAsia" w:ascii="黑体" w:hAnsi="黑体" w:eastAsia="黑体"/>
          <w:bCs/>
          <w:sz w:val="44"/>
          <w:szCs w:val="44"/>
        </w:rPr>
      </w:pPr>
      <w:r>
        <w:rPr>
          <w:rFonts w:hint="eastAsia" w:ascii="黑体" w:hAnsi="黑体" w:eastAsia="黑体"/>
          <w:bCs/>
          <w:sz w:val="44"/>
          <w:szCs w:val="44"/>
        </w:rPr>
        <w:t>目 录</w:t>
      </w:r>
    </w:p>
    <w:p>
      <w:pPr>
        <w:pStyle w:val="00000b"/>
        <w:spacing w:before="0" w:beforeAutospacing="false" w:after="0" w:afterAutospacing="false" w:line="500" w:lineRule="exact"/>
        <w:ind w:firstLine="640" w:firstLineChars="200"/>
        <w:jc w:val="both"/>
        <w:rPr>
          <w:rFonts w:hint="eastAsia" w:ascii="仿宋_GB2312" w:hAnsi="仿宋" w:eastAsia="仿宋_GB2312" w:cs="仿宋"/>
          <w:b/>
          <w:sz w:val="32"/>
          <w:szCs w:val="32"/>
        </w:rPr>
      </w:pPr>
    </w:p>
    <w:p>
      <w:pPr>
        <w:pStyle w:val="00000b"/>
        <w:spacing w:before="0" w:beforeAutospacing="false" w:after="0" w:afterAutospacing="false" w:line="500" w:lineRule="exact"/>
        <w:ind w:firstLine="640" w:firstLineChars="200"/>
        <w:jc w:val="both"/>
        <w:rPr>
          <w:rFonts w:hint="eastAsia" w:ascii="仿宋_GB2312" w:hAnsi="仿宋" w:eastAsia="仿宋_GB2312" w:cs="仿宋"/>
          <w:b/>
          <w:sz w:val="32"/>
          <w:szCs w:val="32"/>
        </w:rPr>
      </w:pPr>
      <w:r>
        <w:rPr>
          <w:rFonts w:hint="eastAsia" w:ascii="仿宋_GB2312" w:hAnsi="仿宋" w:eastAsia="仿宋_GB2312" w:cs="仿宋"/>
          <w:b/>
          <w:sz w:val="32"/>
          <w:szCs w:val="32"/>
        </w:rPr>
        <w:t>第一部分 部门概况</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1.主要职责</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2.</w:t>
      </w:r>
      <w:r>
        <w:rPr>
          <w:rFonts w:hint="eastAsia" w:ascii="仿宋_GB2312" w:hAnsi="仿宋" w:eastAsia="仿宋_GB2312" w:cs="仿宋"/>
          <w:bCs/>
          <w:kern w:val="2"/>
          <w:sz w:val="32"/>
          <w:szCs w:val="32"/>
        </w:rPr>
        <w:t xml:space="preserve"> </w:t>
      </w:r>
      <w:r>
        <w:rPr>
          <w:rFonts w:hint="eastAsia" w:ascii="仿宋_GB2312" w:hAnsi="仿宋" w:eastAsia="仿宋_GB2312" w:cs="仿宋"/>
          <w:bCs/>
          <w:sz w:val="32"/>
          <w:szCs w:val="32"/>
        </w:rPr>
        <w:t xml:space="preserve"> </w:t>
      </w:r>
      <w:r>
        <w:rPr>
          <w:rFonts w:hint="eastAsia" w:ascii="仿宋_GB2312" w:hAnsi="仿宋" w:eastAsia="仿宋_GB2312" w:cs="仿宋"/>
          <w:bCs/>
          <w:sz w:val="32"/>
          <w:szCs w:val="32"/>
          <w:lang w:eastAsia="zh-CN"/>
        </w:rPr>
        <w:t>濉溪县卫生健康系统财务管理中心</w:t>
      </w:r>
      <w:r>
        <w:rPr>
          <w:rFonts w:hint="eastAsia" w:ascii="仿宋_GB2312" w:hAnsi="仿宋" w:eastAsia="仿宋_GB2312" w:cs="仿宋"/>
          <w:bCs/>
          <w:sz w:val="32"/>
          <w:szCs w:val="32"/>
        </w:rPr>
        <w:t>预算构成</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3.</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年度主要工作任务</w:t>
      </w:r>
    </w:p>
    <w:p>
      <w:pPr>
        <w:pStyle w:val="00000b"/>
        <w:spacing w:before="0" w:beforeAutospacing="false" w:after="0" w:afterAutospacing="false" w:line="500" w:lineRule="exact"/>
        <w:ind w:firstLine="640" w:firstLineChars="200"/>
        <w:rPr>
          <w:rFonts w:hint="eastAsia" w:ascii="仿宋_GB2312" w:hAnsi="仿宋" w:eastAsia="仿宋_GB2312" w:cs="仿宋"/>
          <w:b/>
          <w:sz w:val="32"/>
          <w:szCs w:val="32"/>
        </w:rPr>
      </w:pPr>
      <w:r>
        <w:rPr>
          <w:rFonts w:hint="eastAsia" w:ascii="仿宋_GB2312" w:hAnsi="仿宋" w:eastAsia="仿宋_GB2312" w:cs="仿宋"/>
          <w:b/>
          <w:sz w:val="32"/>
          <w:szCs w:val="32"/>
        </w:rPr>
        <w:t xml:space="preserve">第二部分 </w:t>
      </w:r>
      <w:r>
        <w:rPr>
          <w:rFonts w:hint="eastAsia" w:ascii="仿宋_GB2312" w:hAnsi="仿宋" w:eastAsia="仿宋_GB2312" w:cs="仿宋"/>
          <w:b/>
          <w:sz w:val="32"/>
          <w:szCs w:val="32"/>
          <w:lang w:eastAsia="zh-CN"/>
        </w:rPr>
        <w:t>2024</w:t>
      </w:r>
      <w:r>
        <w:rPr>
          <w:rFonts w:hint="eastAsia" w:ascii="仿宋_GB2312" w:hAnsi="仿宋" w:eastAsia="仿宋_GB2312" w:cs="仿宋"/>
          <w:b/>
          <w:sz w:val="32"/>
          <w:szCs w:val="32"/>
        </w:rPr>
        <w:t>年部门预算表</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1.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年收支总表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2.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年收入总表</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3.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年支出总表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4.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年财政拨款收支总表</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5.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年一般公共预算支出表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6.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年一般公共预算基本支出表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7.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年政府性基金预算支出表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8.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年国有资本经营预算支出表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9.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年项目支出表</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10.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年政府采购支出表</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 xml:space="preserve">11.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年政府购买服务支出表</w:t>
      </w:r>
    </w:p>
    <w:p>
      <w:pPr>
        <w:pStyle w:val="00000b"/>
        <w:spacing w:before="0" w:beforeAutospacing="false" w:after="0" w:afterAutospacing="false" w:line="500" w:lineRule="exact"/>
        <w:ind w:firstLine="640" w:firstLineChars="200"/>
        <w:rPr>
          <w:rFonts w:hint="eastAsia" w:ascii="仿宋_GB2312" w:hAnsi="仿宋" w:eastAsia="仿宋_GB2312" w:cs="仿宋"/>
          <w:b/>
          <w:sz w:val="32"/>
          <w:szCs w:val="32"/>
        </w:rPr>
      </w:pPr>
      <w:r>
        <w:rPr>
          <w:rFonts w:hint="eastAsia" w:ascii="仿宋_GB2312" w:hAnsi="仿宋" w:eastAsia="仿宋_GB2312" w:cs="仿宋"/>
          <w:b/>
          <w:sz w:val="32"/>
          <w:szCs w:val="32"/>
        </w:rPr>
        <w:t xml:space="preserve">第三部分 </w:t>
      </w:r>
      <w:r>
        <w:rPr>
          <w:rFonts w:hint="eastAsia" w:ascii="仿宋_GB2312" w:hAnsi="仿宋" w:eastAsia="仿宋_GB2312" w:cs="仿宋"/>
          <w:b/>
          <w:sz w:val="32"/>
          <w:szCs w:val="32"/>
          <w:lang w:eastAsia="zh-CN"/>
        </w:rPr>
        <w:t>2024</w:t>
      </w:r>
      <w:r>
        <w:rPr>
          <w:rFonts w:hint="eastAsia" w:ascii="仿宋_GB2312" w:hAnsi="仿宋" w:eastAsia="仿宋_GB2312" w:cs="仿宋"/>
          <w:b/>
          <w:sz w:val="32"/>
          <w:szCs w:val="32"/>
        </w:rPr>
        <w:t>年部门预算情况说明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年收支总表的说明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年收入总表的说明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3.关于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年支出总表的说明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4.关于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年财政拨款收支总表的说明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5.关于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年一般公共预算支出表的说明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6.关于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年一般公共预算基本支出表的说明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7.关于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年政府性基金预算支出表的说明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8.关于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年国有资本经营预算支出表的说明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9.关于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年项目支出表的说明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10.关于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年政府采购支出表的说明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11.关于</w:t>
      </w:r>
      <w:r>
        <w:rPr>
          <w:rFonts w:hint="eastAsia" w:ascii="仿宋_GB2312" w:hAnsi="仿宋" w:eastAsia="仿宋_GB2312" w:cs="仿宋"/>
          <w:bCs/>
          <w:sz w:val="32"/>
          <w:szCs w:val="32"/>
          <w:lang w:eastAsia="zh-CN"/>
        </w:rPr>
        <w:t>2024</w:t>
      </w:r>
      <w:r>
        <w:rPr>
          <w:rFonts w:hint="eastAsia" w:ascii="仿宋_GB2312" w:hAnsi="仿宋" w:eastAsia="仿宋_GB2312" w:cs="仿宋"/>
          <w:bCs/>
          <w:sz w:val="32"/>
          <w:szCs w:val="32"/>
        </w:rPr>
        <w:t>年政府购买服务支出表的说明</w:t>
      </w:r>
    </w:p>
    <w:p>
      <w:pPr>
        <w:pStyle w:val="00000b"/>
        <w:spacing w:before="0" w:beforeAutospacing="false" w:after="0" w:afterAutospacing="false"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12.其他重要事项情况说明</w:t>
      </w:r>
    </w:p>
    <w:p>
      <w:pPr>
        <w:pStyle w:val="00000b"/>
        <w:spacing w:before="0" w:beforeAutospacing="false" w:after="0" w:afterAutospacing="false" w:line="500" w:lineRule="exact"/>
        <w:ind w:firstLine="640" w:firstLineChars="200"/>
        <w:rPr>
          <w:rFonts w:ascii="仿宋_GB2312" w:hAnsi="仿宋" w:eastAsia="仿宋_GB2312" w:cs="仿宋"/>
          <w:b/>
          <w:sz w:val="32"/>
          <w:szCs w:val="32"/>
        </w:rPr>
      </w:pPr>
      <w:r>
        <w:rPr>
          <w:rFonts w:hint="eastAsia" w:ascii="仿宋_GB2312" w:hAnsi="仿宋" w:eastAsia="仿宋_GB2312" w:cs="仿宋"/>
          <w:b/>
          <w:sz w:val="32"/>
          <w:szCs w:val="32"/>
        </w:rPr>
        <w:t>第四部分 名词解释</w:t>
      </w:r>
    </w:p>
    <w:p>
      <w:pPr>
        <w:pStyle w:val="00000b"/>
        <w:spacing w:before="0" w:beforeAutospacing="false" w:after="0" w:afterAutospacing="false" w:line="500" w:lineRule="exact"/>
        <w:ind w:firstLine="640" w:firstLineChars="200"/>
        <w:rPr>
          <w:rFonts w:hint="eastAsia" w:ascii="仿宋_GB2312" w:hAnsi="仿宋" w:eastAsia="仿宋_GB2312" w:cs="仿宋"/>
          <w:b/>
          <w:sz w:val="32"/>
          <w:szCs w:val="32"/>
        </w:rPr>
      </w:pPr>
      <w:r>
        <w:rPr>
          <w:rFonts w:hint="eastAsia" w:ascii="仿宋_GB2312" w:hAnsi="仿宋" w:eastAsia="仿宋_GB2312" w:cs="仿宋"/>
          <w:b/>
          <w:sz w:val="32"/>
          <w:szCs w:val="32"/>
        </w:rPr>
        <w:t>第五部分 其它公开事项</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1.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年部门预算纳入绩效考评项目表</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r>
        <w:rPr>
          <w:rFonts w:hint="eastAsia" w:ascii="仿宋_GB2312" w:hAnsi="仿宋" w:eastAsia="仿宋_GB2312" w:cs="仿宋"/>
          <w:bCs/>
          <w:sz w:val="32"/>
          <w:szCs w:val="32"/>
        </w:rPr>
        <w:t xml:space="preserve">2. </w:t>
      </w:r>
      <w:r>
        <w:rPr>
          <w:rFonts w:hint="eastAsia" w:ascii="仿宋_GB2312" w:hAnsi="仿宋" w:eastAsia="仿宋_GB2312" w:cs="仿宋"/>
          <w:bCs/>
          <w:sz w:val="32"/>
          <w:szCs w:val="32"/>
          <w:lang w:eastAsia="zh-CN"/>
        </w:rPr>
        <w:t>濉溪县卫生健康系统财务管理中心2024</w:t>
      </w:r>
      <w:r>
        <w:rPr>
          <w:rFonts w:hint="eastAsia" w:ascii="仿宋_GB2312" w:hAnsi="仿宋" w:eastAsia="仿宋_GB2312" w:cs="仿宋"/>
          <w:bCs/>
          <w:sz w:val="32"/>
          <w:szCs w:val="32"/>
        </w:rPr>
        <w:t>年部门预算专项资金管理清单（专栏公开）</w:t>
      </w:r>
    </w:p>
    <w:p>
      <w:pPr>
        <w:pStyle w:val="00000b"/>
        <w:spacing w:before="0" w:beforeAutospacing="false" w:after="0" w:afterAutospacing="false" w:line="500" w:lineRule="exact"/>
        <w:ind w:firstLine="640" w:firstLineChars="200"/>
        <w:outlineLvl w:val="0"/>
        <w:rPr>
          <w:rFonts w:hint="eastAsia" w:ascii="仿宋_GB2312" w:hAnsi="仿宋" w:eastAsia="仿宋_GB2312" w:cs="仿宋"/>
          <w:bCs/>
          <w:sz w:val="32"/>
          <w:szCs w:val="32"/>
        </w:rPr>
      </w:pPr>
    </w:p>
    <w:p>
      <w:pPr>
        <w:pStyle w:val="00000b"/>
        <w:tabs>
          <w:tab w:val="left" w:leader="none" w:pos="2520"/>
        </w:tabs>
        <w:spacing w:before="0" w:beforeAutospacing="false" w:after="0" w:afterAutospacing="false" w:line="600" w:lineRule="exact"/>
        <w:ind/>
        <w:jc w:val="both"/>
        <w:rPr>
          <w:rStyle w:val="Strong"/>
          <w:rFonts w:hint="eastAsia" w:ascii="黑体" w:eastAsia="黑体"/>
          <w:color w:val="000000"/>
          <w:sz w:val="36"/>
          <w:szCs w:val="36"/>
        </w:rPr>
      </w:pPr>
      <w:r>
        <w:rPr>
          <w:rStyle w:val="00000c"/>
          <w:rFonts w:hint="eastAsia" w:ascii="黑体" w:eastAsia="黑体"/>
          <w:color w:val="000000"/>
          <w:sz w:val="36"/>
          <w:szCs w:val="36"/>
        </w:rPr>
        <w:tab/>
      </w:r>
    </w:p>
    <w:p>
      <w:pPr>
        <w:pStyle w:val="00000b"/>
        <w:tabs>
          <w:tab w:val="left" w:leader="none" w:pos="2520"/>
        </w:tabs>
        <w:spacing w:before="0" w:beforeAutospacing="false" w:after="0" w:afterAutospacing="false" w:line="600" w:lineRule="exact"/>
        <w:ind/>
        <w:jc w:val="both"/>
        <w:rPr>
          <w:rStyle w:val="Strong"/>
          <w:rFonts w:hint="eastAsia" w:ascii="黑体" w:eastAsia="黑体"/>
          <w:color w:val="000000"/>
          <w:sz w:val="36"/>
          <w:szCs w:val="36"/>
        </w:rPr>
      </w:pPr>
    </w:p>
    <w:p>
      <w:pPr>
        <w:pStyle w:val="00000b"/>
        <w:tabs>
          <w:tab w:val="left" w:leader="none" w:pos="2520"/>
        </w:tabs>
        <w:spacing w:before="0" w:beforeAutospacing="false" w:after="0" w:afterAutospacing="false" w:line="600" w:lineRule="exact"/>
        <w:ind/>
        <w:jc w:val="both"/>
        <w:rPr>
          <w:rStyle w:val="Strong"/>
          <w:rFonts w:hint="eastAsia" w:ascii="黑体" w:eastAsia="黑体"/>
          <w:color w:val="000000"/>
          <w:sz w:val="36"/>
          <w:szCs w:val="36"/>
        </w:rPr>
      </w:pPr>
    </w:p>
    <w:p>
      <w:pPr>
        <w:pStyle w:val="00000b"/>
        <w:tabs>
          <w:tab w:val="left" w:leader="none" w:pos="2520"/>
        </w:tabs>
        <w:spacing w:before="0" w:beforeAutospacing="false" w:after="0" w:afterAutospacing="false" w:line="600" w:lineRule="exact"/>
        <w:ind/>
        <w:jc w:val="both"/>
        <w:rPr>
          <w:rStyle w:val="Strong"/>
          <w:rFonts w:hint="eastAsia" w:ascii="黑体" w:eastAsia="黑体"/>
          <w:color w:val="000000"/>
          <w:sz w:val="36"/>
          <w:szCs w:val="36"/>
        </w:rPr>
      </w:pPr>
    </w:p>
    <w:p>
      <w:pPr>
        <w:pStyle w:val="00000b"/>
        <w:spacing w:before="0" w:beforeAutospacing="false" w:after="0" w:afterAutospacing="false" w:line="360" w:lineRule="auto"/>
        <w:ind/>
        <w:jc w:val="both"/>
        <w:rPr>
          <w:rFonts w:hint="eastAsia" w:ascii="黑体" w:hAnsi="黑体" w:eastAsia="黑体"/>
          <w:bCs/>
          <w:sz w:val="36"/>
          <w:szCs w:val="36"/>
        </w:rPr>
      </w:pPr>
    </w:p>
    <w:p>
      <w:pPr>
        <w:pStyle w:val="00000b"/>
        <w:spacing w:before="0" w:beforeAutospacing="false" w:after="0" w:afterAutospacing="false" w:line="360" w:lineRule="auto"/>
        <w:ind/>
        <w:jc w:val="center"/>
        <w:rPr>
          <w:rFonts w:hint="eastAsia" w:ascii="黑体" w:hAnsi="黑体" w:eastAsia="黑体"/>
          <w:bCs/>
          <w:sz w:val="36"/>
          <w:szCs w:val="36"/>
        </w:rPr>
      </w:pPr>
      <w:r>
        <w:rPr>
          <w:rFonts w:hint="eastAsia" w:ascii="黑体" w:hAnsi="黑体" w:eastAsia="黑体"/>
          <w:bCs/>
          <w:sz w:val="36"/>
          <w:szCs w:val="36"/>
        </w:rPr>
        <w:t>第一部分 部门概况</w:t>
      </w: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360" w:lineRule="auto"/>
        <w:ind w:firstLine="627" w:firstLineChars="196"/>
        <w:jc w:val="both"/>
        <w:rPr/>
      </w:pPr>
      <w:r>
        <w:rPr>
          <w:rFonts w:hint="eastAsia" w:ascii="黑体" w:hAnsi="黑体" w:eastAsia="黑体"/>
          <w:bCs/>
          <w:sz w:val="32"/>
          <w:szCs w:val="32"/>
        </w:rPr>
        <w:t>一、主要职责</w:t>
      </w:r>
    </w:p>
    <w:p>
      <w:pPr>
        <w:pStyle w:val="000001"/>
        <w:spacing w:line="520" w:lineRule="exact"/>
        <w:ind w:firstLine="640" w:firstLineChars="200"/>
        <w:rPr>
          <w:rFonts w:hint="eastAsia" w:ascii="仿宋_GB2312" w:hAnsi="宋体" w:eastAsia="仿宋_GB2312"/>
          <w:bCs/>
          <w:sz w:val="32"/>
          <w:szCs w:val="32"/>
          <w:lang w:eastAsia="zh-CN"/>
        </w:rPr>
      </w:pPr>
      <w:r>
        <w:rPr>
          <w:rFonts w:hint="eastAsia" w:ascii="仿宋_GB2312" w:hAnsi="宋体"/>
          <w:bCs/>
          <w:sz w:val="32"/>
          <w:szCs w:val="32"/>
          <w:lang w:eastAsia="zh-CN"/>
        </w:rPr>
        <w:t>组织实施全县基层医疗卫生机构财务管理、集中支付工作，协助做好机关预算单位预决算、财务、资产管理工作；协助做好会计制度的执行、会计人员的管理、财务制度的监督工作，内部审计工作。</w:t>
      </w:r>
    </w:p>
    <w:p>
      <w:pPr>
        <w:pStyle w:val="00000b"/>
        <w:spacing w:before="0" w:beforeAutospacing="false" w:after="0" w:afterAutospacing="false" w:line="500" w:lineRule="exact"/>
        <w:ind w:firstLine="640" w:firstLineChars="200"/>
        <w:rPr>
          <w:rFonts w:hint="eastAsia" w:ascii="仿宋_GB2312" w:hAnsi="仿宋" w:eastAsia="仿宋_GB2312" w:cs="仿宋"/>
          <w:bCs/>
          <w:sz w:val="32"/>
          <w:szCs w:val="32"/>
        </w:rPr>
      </w:pPr>
    </w:p>
    <w:p>
      <w:pPr>
        <w:pStyle w:val="000001"/>
        <w:widowControl/>
        <w:numPr>
          <w:ilvl w:val="0"/>
          <w:numId w:val="1"/>
        </w:numPr>
        <w:spacing w:line="360" w:lineRule="auto"/>
        <w:ind w:left="3" w:leftChars="0" w:firstLine="627" w:firstLineChars="0"/>
        <w:rPr>
          <w:rFonts w:ascii="黑体" w:hAnsi="黑体" w:eastAsia="黑体" w:cs="宋体"/>
          <w:bCs/>
          <w:kern w:val="0"/>
          <w:sz w:val="32"/>
          <w:szCs w:val="32"/>
        </w:rPr>
      </w:pPr>
      <w:r>
        <w:rPr>
          <w:rFonts w:hint="eastAsia" w:ascii="黑体" w:hAnsi="黑体" w:eastAsia="黑体" w:cs="黑体"/>
          <w:kern w:val="0"/>
          <w:sz w:val="32"/>
          <w:szCs w:val="32"/>
          <w:lang w:eastAsia="zh-CN"/>
        </w:rPr>
        <w:t>濉溪县濉溪县卫生健康系统财务管理中心</w:t>
      </w:r>
      <w:r>
        <w:rPr>
          <w:rFonts w:hint="eastAsia" w:ascii="黑体" w:hAnsi="黑体" w:eastAsia="黑体" w:cs="宋体"/>
          <w:bCs/>
          <w:kern w:val="0"/>
          <w:sz w:val="32"/>
          <w:szCs w:val="32"/>
        </w:rPr>
        <w:t>预算构成</w:t>
      </w:r>
    </w:p>
    <w:tbl>
      <w:tblPr>
        <w:tblW w:w="0" w:type="auto"/>
        <w:tblInd w:w="180" w:type="dxa"/>
        <w:shd w:val="clear" w:color="auto" w:fill="ffffff"/>
        <w:tblLayout w:type="fixed"/>
        <w:tblCellMar>
          <w:top w:w="0" w:type="dxa"/>
          <w:left w:w="108" w:type="dxa"/>
          <w:bottom w:w="0" w:type="dxa"/>
          <w:right w:w="108" w:type="dxa"/>
        </w:tblCellMar>
      </w:tblPr>
      <w:tblGrid>
        <w:gridCol w:w="900"/>
        <w:gridCol w:w="4715"/>
        <w:gridCol w:w="3385"/>
      </w:tblGrid>
      <w:tr>
        <w:trPr>
          <w:wBefore/>
          <w:trHeight w:val="397" w:hRule="exact"/>
        </w:trPr>
        <w:tc>
          <w:tcPr>
            <w:tcW w:w="90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widowControl/>
              <w:spacing w:line="360" w:lineRule="auto"/>
              <w:ind w:firstLine="627" w:firstLineChars="196"/>
              <w:rPr>
                <w:rFonts w:ascii="仿宋_GB2312" w:hAnsi="仿宋" w:eastAsia="仿宋_GB2312" w:cs="仿宋"/>
                <w:bCs/>
                <w:kern w:val="0"/>
                <w:sz w:val="32"/>
                <w:szCs w:val="32"/>
              </w:rPr>
            </w:pPr>
            <w:r>
              <w:rPr>
                <w:rFonts w:hint="eastAsia" w:ascii="仿宋_GB2312" w:hAnsi="仿宋" w:eastAsia="仿宋_GB2312" w:cs="仿宋"/>
                <w:bCs/>
                <w:kern w:val="0"/>
                <w:sz w:val="32"/>
                <w:szCs w:val="32"/>
              </w:rPr>
              <w:t>从预算单位构成看，</w:t>
            </w:r>
            <w:r>
              <w:rPr>
                <w:rFonts w:hint="eastAsia" w:ascii="仿宋_GB2312" w:hAnsi="仿宋" w:eastAsia="仿宋_GB2312" w:cs="仿宋"/>
                <w:bCs/>
                <w:kern w:val="0"/>
                <w:sz w:val="32"/>
                <w:szCs w:val="32"/>
                <w:lang w:eastAsia="zh-CN"/>
              </w:rPr>
              <w:t>濉溪县卫生计生机构财务管理中心2023</w:t>
            </w:r>
            <w:r>
              <w:rPr>
                <w:rFonts w:hint="eastAsia" w:ascii="仿宋_GB2312" w:hAnsi="仿宋" w:eastAsia="仿宋_GB2312" w:cs="仿宋"/>
                <w:bCs/>
                <w:kern w:val="0"/>
                <w:sz w:val="32"/>
                <w:szCs w:val="32"/>
              </w:rPr>
              <w:t>年度部门预算包括本级预算</w:t>
            </w:r>
            <w:r>
              <w:rPr>
                <w:rFonts w:hint="eastAsia" w:ascii="仿宋_GB2312" w:hAnsi="仿宋" w:eastAsia="仿宋_GB2312" w:cs="仿宋"/>
                <w:bCs/>
                <w:kern w:val="0"/>
                <w:sz w:val="32"/>
                <w:szCs w:val="32"/>
                <w:lang w:eastAsia="zh-CN"/>
              </w:rPr>
              <w:t>，无</w:t>
            </w:r>
            <w:r>
              <w:rPr>
                <w:rFonts w:hint="eastAsia" w:ascii="仿宋_GB2312" w:hAnsi="仿宋" w:eastAsia="仿宋_GB2312" w:cs="仿宋"/>
                <w:bCs/>
                <w:kern w:val="0"/>
                <w:sz w:val="32"/>
                <w:szCs w:val="32"/>
              </w:rPr>
              <w:t>下属单位预算，纳入部门预算编制范围的预算单位共</w:t>
            </w:r>
            <w:r>
              <w:rPr>
                <w:rFonts w:hint="eastAsia" w:ascii="仿宋_GB2312" w:hAnsi="仿宋" w:eastAsia="仿宋_GB2312" w:cs="仿宋"/>
                <w:bCs/>
                <w:kern w:val="0"/>
                <w:sz w:val="32"/>
                <w:szCs w:val="32"/>
                <w:lang w:val="en-US" w:eastAsia="zh-CN"/>
              </w:rPr>
              <w:t>1</w:t>
            </w:r>
            <w:r>
              <w:rPr>
                <w:rFonts w:hint="eastAsia" w:ascii="仿宋_GB2312" w:hAnsi="仿宋" w:eastAsia="仿宋_GB2312" w:cs="仿宋"/>
                <w:bCs/>
                <w:kern w:val="0"/>
                <w:sz w:val="32"/>
                <w:szCs w:val="32"/>
              </w:rPr>
              <w:t>个，具体情况见下表。</w:t>
            </w:r>
          </w:p>
          <w:p>
            <w:pPr>
              <w:pStyle w:val="000001"/>
              <w:spacing w:line="360" w:lineRule="auto"/>
              <w:ind/>
              <w:jc w:val="center"/>
              <w:rPr>
                <w:rFonts w:ascii="仿宋_GB2312" w:hAnsi="宋体" w:eastAsia="仿宋_GB2312"/>
                <w:sz w:val="24"/>
                <w:szCs w:val="22"/>
              </w:rPr>
            </w:pPr>
            <w:r>
              <w:rPr>
                <w:rFonts w:hint="eastAsia" w:ascii="仿宋_GB2312" w:hAnsi="宋体" w:eastAsia="仿宋_GB2312"/>
                <w:sz w:val="24"/>
                <w:szCs w:val="22"/>
              </w:rPr>
              <w:t>序号</w:t>
            </w:r>
          </w:p>
        </w:tc>
        <w:tc>
          <w:tcPr>
            <w:tcW w:w="4715"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sz w:val="24"/>
                <w:szCs w:val="22"/>
              </w:rPr>
            </w:pPr>
            <w:r>
              <w:rPr>
                <w:rFonts w:hint="eastAsia" w:ascii="仿宋_GB2312" w:hAnsi="宋体" w:eastAsia="仿宋_GB2312"/>
                <w:sz w:val="24"/>
                <w:szCs w:val="22"/>
              </w:rPr>
              <w:t>单位名称</w:t>
            </w:r>
          </w:p>
        </w:tc>
        <w:tc>
          <w:tcPr>
            <w:tcW w:w="3385" w:type="dxa"/>
            <w:tcBorders>
              <w:top w:val="single" w:color="auto" w:sz="8" w:space="0"/>
              <w:left w:val="nil"/>
              <w:bottom w:val="single" w:color="auto" w:sz="8" w:space="0"/>
              <w:right w:val="single" w:color="auto" w:sz="8" w:space="0"/>
            </w:tcBorders>
            <w:shd w:val="clear" w:color="auto" w:fill="ffffff"/>
            <w:textDirection w:val="lrTb"/>
            <w:vAlign w:val="top"/>
          </w:tcPr>
          <w:p>
            <w:pPr>
              <w:pStyle w:val="000001"/>
              <w:spacing w:line="360" w:lineRule="auto"/>
              <w:ind/>
              <w:jc w:val="center"/>
              <w:rPr>
                <w:rFonts w:ascii="仿宋_GB2312" w:hAnsi="宋体" w:eastAsia="仿宋_GB2312"/>
                <w:sz w:val="24"/>
                <w:szCs w:val="22"/>
              </w:rPr>
            </w:pPr>
            <w:r>
              <w:rPr>
                <w:rFonts w:hint="eastAsia" w:ascii="仿宋_GB2312" w:hAnsi="宋体" w:eastAsia="仿宋_GB2312"/>
                <w:sz w:val="24"/>
                <w:szCs w:val="22"/>
              </w:rPr>
              <w:t>单位性质</w:t>
            </w:r>
          </w:p>
        </w:tc>
      </w:tr>
      <w:tr>
        <w:trPr>
          <w:wBefore/>
          <w:trHeight w:val="420"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r>
              <w:rPr>
                <w:rFonts w:hint="eastAsia" w:ascii="仿宋_GB2312" w:hAnsi="宋体" w:eastAsia="仿宋_GB2312"/>
                <w:sz w:val="24"/>
                <w:szCs w:val="22"/>
              </w:rPr>
              <w:t>1</w:t>
            </w: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r>
              <w:rPr>
                <w:rFonts w:hint="eastAsia" w:ascii="仿宋_GB2312" w:hAnsi="仿宋" w:eastAsia="仿宋_GB2312" w:cs="仿宋"/>
                <w:bCs/>
                <w:sz w:val="24"/>
                <w:szCs w:val="22"/>
              </w:rPr>
              <w:t>行政单位</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r>
              <w:rPr>
                <w:rFonts w:hint="eastAsia" w:ascii="仿宋_GB2312" w:hAnsi="宋体" w:eastAsia="仿宋_GB2312"/>
                <w:sz w:val="24"/>
                <w:szCs w:val="22"/>
              </w:rPr>
              <w:t>2</w:t>
            </w: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r>
              <w:rPr>
                <w:rFonts w:hint="eastAsia" w:ascii="仿宋_GB2312" w:hAnsi="仿宋" w:eastAsia="仿宋_GB2312" w:cs="仿宋"/>
                <w:bCs/>
                <w:sz w:val="24"/>
                <w:szCs w:val="22"/>
              </w:rPr>
              <w:t>参照公务员法管理的事业单位</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r>
              <w:rPr>
                <w:rFonts w:hint="eastAsia" w:ascii="仿宋_GB2312" w:hAnsi="宋体" w:eastAsia="仿宋_GB2312"/>
                <w:sz w:val="24"/>
                <w:szCs w:val="22"/>
              </w:rPr>
              <w:t>3</w:t>
            </w: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hint="eastAsia" w:ascii="仿宋_GB2312" w:hAnsi="宋体" w:eastAsia="仿宋_GB2312"/>
                <w:sz w:val="24"/>
                <w:szCs w:val="22"/>
                <w:u w:val="single"/>
                <w:lang w:eastAsia="zh-CN"/>
              </w:rPr>
            </w:pPr>
            <w:r>
              <w:rPr>
                <w:rFonts w:hint="eastAsia" w:ascii="仿宋_GB2312" w:hAnsi="宋体" w:eastAsia="仿宋_GB2312"/>
                <w:sz w:val="24"/>
                <w:szCs w:val="22"/>
                <w:u w:val="single"/>
                <w:lang w:eastAsia="zh-CN"/>
              </w:rPr>
              <w:t>濉溪县卫生健康系统财务管理中心</w:t>
            </w: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r>
              <w:rPr>
                <w:rFonts w:hint="eastAsia" w:ascii="仿宋_GB2312" w:hAnsi="仿宋" w:eastAsia="仿宋_GB2312" w:cs="仿宋"/>
                <w:bCs/>
                <w:sz w:val="24"/>
                <w:szCs w:val="22"/>
              </w:rPr>
              <w:t>公益一类事业单位</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r>
              <w:rPr>
                <w:rFonts w:hint="eastAsia" w:ascii="仿宋_GB2312" w:hAnsi="宋体" w:eastAsia="仿宋_GB2312"/>
                <w:sz w:val="24"/>
                <w:szCs w:val="22"/>
              </w:rPr>
              <w:t>4</w:t>
            </w: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r>
              <w:rPr>
                <w:rFonts w:hint="eastAsia" w:ascii="仿宋_GB2312" w:hAnsi="仿宋" w:eastAsia="仿宋_GB2312" w:cs="仿宋"/>
                <w:bCs/>
                <w:sz w:val="24"/>
                <w:szCs w:val="22"/>
              </w:rPr>
              <w:t>公益二类事业单位</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sz w:val="24"/>
                <w:szCs w:val="22"/>
              </w:rPr>
            </w:pPr>
            <w:r>
              <w:rPr>
                <w:rFonts w:hint="eastAsia" w:ascii="仿宋_GB2312" w:hAnsi="宋体" w:eastAsia="仿宋_GB2312"/>
                <w:sz w:val="24"/>
                <w:szCs w:val="22"/>
              </w:rPr>
              <w:t>5</w:t>
            </w: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r>
              <w:rPr>
                <w:rFonts w:hint="eastAsia" w:ascii="仿宋_GB2312" w:hAnsi="仿宋" w:eastAsia="仿宋_GB2312" w:cs="仿宋"/>
                <w:bCs/>
                <w:sz w:val="24"/>
                <w:szCs w:val="22"/>
              </w:rPr>
              <w:t>暂未划分类别事业单位</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rPr>
            </w:pPr>
            <w:r>
              <w:rPr>
                <w:rFonts w:hint="eastAsia" w:ascii="仿宋_GB2312" w:hAnsi="宋体" w:eastAsia="仿宋_GB2312"/>
                <w:sz w:val="24"/>
                <w:szCs w:val="22"/>
              </w:rPr>
              <w:t>……</w:t>
            </w:r>
          </w:p>
        </w:tc>
      </w:tr>
      <w:tr>
        <w:trPr>
          <w:wBefore/>
          <w:trHeight w:val="397" w:hRule="exact"/>
        </w:trPr>
        <w:tc>
          <w:tcPr>
            <w:tcW w:w="90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jc w:val="center"/>
              <w:rPr>
                <w:rFonts w:ascii="仿宋_GB2312" w:hAnsi="宋体" w:eastAsia="仿宋_GB2312" w:cs="宋体"/>
                <w:sz w:val="24"/>
                <w:szCs w:val="22"/>
              </w:rPr>
            </w:pPr>
          </w:p>
        </w:tc>
        <w:tc>
          <w:tcPr>
            <w:tcW w:w="471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extDirection w:val="lrTb"/>
            <w:vAlign w:val="center"/>
          </w:tcPr>
          <w:p>
            <w:pPr>
              <w:pStyle w:val="000001"/>
              <w:spacing w:line="360" w:lineRule="auto"/>
              <w:ind/>
              <w:rPr>
                <w:rFonts w:ascii="仿宋_GB2312" w:hAnsi="宋体" w:eastAsia="仿宋_GB2312"/>
                <w:sz w:val="24"/>
                <w:szCs w:val="22"/>
                <w:u w:val="single"/>
              </w:rPr>
            </w:pPr>
          </w:p>
        </w:tc>
        <w:tc>
          <w:tcPr>
            <w:tcW w:w="3385" w:type="dxa"/>
            <w:tcBorders>
              <w:top w:val="nil"/>
              <w:left w:val="nil"/>
              <w:bottom w:val="single" w:color="auto" w:sz="8" w:space="0"/>
              <w:right w:val="single" w:color="auto" w:sz="8" w:space="0"/>
            </w:tcBorders>
            <w:shd w:val="clear" w:color="auto" w:fill="ffffff"/>
            <w:textDirection w:val="lrTb"/>
            <w:vAlign w:val="top"/>
          </w:tcPr>
          <w:p>
            <w:pPr>
              <w:pStyle w:val="000001"/>
              <w:spacing w:line="360" w:lineRule="auto"/>
              <w:ind/>
              <w:rPr>
                <w:rFonts w:ascii="仿宋_GB2312" w:hAnsi="宋体" w:eastAsia="仿宋_GB2312"/>
                <w:sz w:val="24"/>
                <w:szCs w:val="22"/>
                <w:u w:val="single"/>
              </w:rPr>
            </w:pPr>
          </w:p>
        </w:tc>
      </w:tr>
    </w:tbl>
    <w:p>
      <w:pPr>
        <w:pStyle w:val="000001"/>
        <w:widowControl/>
        <w:spacing w:line="360" w:lineRule="auto"/>
        <w:ind w:firstLine="627" w:firstLineChars="196"/>
        <w:rPr>
          <w:rFonts w:ascii="仿宋_GB2312" w:hAnsi="仿宋" w:eastAsia="仿宋_GB2312" w:cs="仿宋"/>
          <w:bCs/>
          <w:kern w:val="0"/>
          <w:sz w:val="32"/>
          <w:szCs w:val="32"/>
        </w:rPr>
      </w:pPr>
      <w:r>
        <w:rPr>
          <w:rFonts w:hint="eastAsia" w:ascii="仿宋_GB2312" w:hAnsi="仿宋" w:eastAsia="仿宋_GB2312" w:cs="宋体"/>
          <w:kern w:val="0"/>
          <w:sz w:val="32"/>
          <w:szCs w:val="32"/>
        </w:rPr>
        <w:t>从预算单位构成看，</w:t>
      </w:r>
      <w:r>
        <w:rPr>
          <w:rFonts w:hint="eastAsia" w:ascii="仿宋_GB2312" w:hAnsi="仿宋" w:eastAsia="仿宋_GB2312" w:cs="仿宋"/>
          <w:bCs/>
          <w:kern w:val="0"/>
          <w:sz w:val="32"/>
          <w:szCs w:val="32"/>
          <w:lang w:eastAsia="zh-CN"/>
        </w:rPr>
        <w:t>濉溪县</w:t>
      </w:r>
      <w:r>
        <w:rPr>
          <w:rFonts w:hint="eastAsia" w:ascii="仿宋_GB2312" w:hAnsi="仿宋" w:eastAsia="仿宋_GB2312" w:cs="仿宋"/>
          <w:bCs/>
          <w:kern w:val="0"/>
          <w:sz w:val="32"/>
          <w:szCs w:val="32"/>
        </w:rPr>
        <w:t>从预算单位构成看，</w:t>
      </w:r>
      <w:r>
        <w:rPr>
          <w:rFonts w:hint="eastAsia" w:ascii="仿宋_GB2312" w:hAnsi="仿宋" w:eastAsia="仿宋_GB2312" w:cs="仿宋"/>
          <w:bCs/>
          <w:kern w:val="0"/>
          <w:sz w:val="32"/>
          <w:szCs w:val="32"/>
          <w:lang w:eastAsia="zh-CN"/>
        </w:rPr>
        <w:t>濉溪县卫生健康系统财务管理中心2024</w:t>
      </w:r>
      <w:r>
        <w:rPr>
          <w:rFonts w:hint="eastAsia" w:ascii="仿宋_GB2312" w:hAnsi="仿宋" w:eastAsia="仿宋_GB2312" w:cs="仿宋"/>
          <w:bCs/>
          <w:kern w:val="0"/>
          <w:sz w:val="32"/>
          <w:szCs w:val="32"/>
        </w:rPr>
        <w:t>年度部门预算包括本级预算</w:t>
      </w:r>
      <w:r>
        <w:rPr>
          <w:rFonts w:hint="eastAsia" w:ascii="仿宋_GB2312" w:hAnsi="仿宋" w:eastAsia="仿宋_GB2312" w:cs="仿宋"/>
          <w:bCs/>
          <w:kern w:val="0"/>
          <w:sz w:val="32"/>
          <w:szCs w:val="32"/>
          <w:lang w:eastAsia="zh-CN"/>
        </w:rPr>
        <w:t>，无</w:t>
      </w:r>
      <w:r>
        <w:rPr>
          <w:rFonts w:hint="eastAsia" w:ascii="仿宋_GB2312" w:hAnsi="仿宋" w:eastAsia="仿宋_GB2312" w:cs="仿宋"/>
          <w:bCs/>
          <w:kern w:val="0"/>
          <w:sz w:val="32"/>
          <w:szCs w:val="32"/>
        </w:rPr>
        <w:t>下属单位预算，纳入部门预算编制范围的预算单位共</w:t>
      </w:r>
      <w:r>
        <w:rPr>
          <w:rFonts w:hint="eastAsia" w:ascii="仿宋_GB2312" w:hAnsi="仿宋" w:eastAsia="仿宋_GB2312" w:cs="仿宋"/>
          <w:bCs/>
          <w:kern w:val="0"/>
          <w:sz w:val="32"/>
          <w:szCs w:val="32"/>
          <w:lang w:val="en-US" w:eastAsia="zh-CN"/>
        </w:rPr>
        <w:t>1</w:t>
      </w:r>
      <w:r>
        <w:rPr>
          <w:rFonts w:hint="eastAsia" w:ascii="仿宋_GB2312" w:hAnsi="仿宋" w:eastAsia="仿宋_GB2312" w:cs="仿宋"/>
          <w:bCs/>
          <w:kern w:val="0"/>
          <w:sz w:val="32"/>
          <w:szCs w:val="32"/>
        </w:rPr>
        <w:t>个，具体情况见下表。</w:t>
      </w:r>
    </w:p>
    <w:p>
      <w:pPr>
        <w:pStyle w:val="000001"/>
        <w:widowControl/>
        <w:spacing w:line="600" w:lineRule="exact"/>
        <w:ind w:firstLine="480" w:firstLineChars="150"/>
        <w:jc w:val="left"/>
        <w:outlineLvl w:val="0"/>
        <w:rPr>
          <w:rFonts w:ascii="楷体_GB2312" w:hAnsi="仿宋" w:eastAsia="楷体_GB2312"/>
          <w:color w:val="ff0000"/>
          <w:sz w:val="32"/>
          <w:szCs w:val="32"/>
        </w:rPr>
      </w:pPr>
      <w:r>
        <w:rPr>
          <w:rFonts w:hint="eastAsia" w:ascii="仿宋_GB2312" w:hAnsi="仿宋" w:eastAsia="仿宋_GB2312" w:cs="宋体"/>
          <w:kern w:val="0"/>
          <w:sz w:val="32"/>
          <w:szCs w:val="32"/>
          <w:lang w:eastAsia="zh-CN"/>
        </w:rPr>
        <w:t>2024</w:t>
      </w:r>
      <w:r>
        <w:rPr>
          <w:rFonts w:hint="eastAsia" w:ascii="仿宋_GB2312" w:hAnsi="仿宋" w:eastAsia="仿宋_GB2312" w:cs="宋体"/>
          <w:kern w:val="0"/>
          <w:sz w:val="32"/>
          <w:szCs w:val="32"/>
        </w:rPr>
        <w:t>年度部门预算仅包括</w:t>
      </w:r>
      <w:r>
        <w:rPr>
          <w:rFonts w:hint="eastAsia" w:ascii="仿宋_GB2312" w:hAnsi="仿宋" w:eastAsia="仿宋_GB2312" w:cs="仿宋"/>
          <w:bCs/>
          <w:kern w:val="0"/>
          <w:sz w:val="32"/>
          <w:szCs w:val="32"/>
          <w:lang w:eastAsia="zh-CN"/>
        </w:rPr>
        <w:t>濉溪县卫生健康系统财务管理中心</w:t>
      </w:r>
      <w:r>
        <w:rPr>
          <w:rFonts w:hint="eastAsia" w:ascii="仿宋_GB2312" w:hAnsi="仿宋" w:eastAsia="仿宋_GB2312" w:cs="宋体"/>
          <w:kern w:val="0"/>
          <w:sz w:val="32"/>
          <w:szCs w:val="32"/>
        </w:rPr>
        <w:t>本级预算，无其他下属单位预算。</w:t>
      </w:r>
    </w:p>
    <w:p>
      <w:pPr>
        <w:pStyle w:val="00000b"/>
        <w:spacing w:before="0" w:beforeAutospacing="false" w:after="0" w:afterAutospacing="false" w:line="360" w:lineRule="auto"/>
        <w:ind w:firstLine="627" w:firstLineChars="196"/>
        <w:rPr>
          <w:rFonts w:hint="eastAsia" w:ascii="黑体" w:hAnsi="黑体" w:eastAsia="黑体"/>
          <w:bCs/>
          <w:sz w:val="32"/>
          <w:szCs w:val="32"/>
        </w:rPr>
      </w:pPr>
      <w:r>
        <w:rPr>
          <w:rFonts w:hint="eastAsia" w:ascii="黑体" w:hAnsi="黑体" w:eastAsia="黑体"/>
          <w:bCs/>
          <w:sz w:val="32"/>
          <w:szCs w:val="32"/>
        </w:rPr>
        <w:t>三、</w:t>
      </w:r>
      <w:r>
        <w:rPr>
          <w:rFonts w:hint="eastAsia" w:ascii="黑体" w:hAnsi="黑体" w:eastAsia="黑体"/>
          <w:bCs/>
          <w:sz w:val="32"/>
          <w:szCs w:val="32"/>
          <w:lang w:eastAsia="zh-CN"/>
        </w:rPr>
        <w:t>2024</w:t>
      </w:r>
      <w:r>
        <w:rPr>
          <w:rFonts w:hint="eastAsia" w:ascii="黑体" w:hAnsi="黑体" w:eastAsia="黑体"/>
          <w:bCs/>
          <w:sz w:val="32"/>
          <w:szCs w:val="32"/>
        </w:rPr>
        <w:t>年度主要工作任务</w:t>
      </w:r>
    </w:p>
    <w:p>
      <w:pPr>
        <w:pStyle w:val="000001"/>
        <w:ind w:firstLine="960" w:firstLineChars="300"/>
        <w:rPr>
          <w:rFonts w:hint="eastAsia" w:ascii="仿宋" w:hAnsi="仿宋" w:eastAsia="仿宋"/>
          <w:sz w:val="32"/>
          <w:szCs w:val="30"/>
        </w:rPr>
      </w:pPr>
      <w:r>
        <w:rPr>
          <w:rFonts w:hint="eastAsia" w:ascii="仿宋" w:hAnsi="仿宋" w:eastAsia="仿宋"/>
          <w:sz w:val="32"/>
          <w:szCs w:val="30"/>
        </w:rPr>
        <w:t>一、认真执行预算，严格预算约束，确保年底各项收支任务的完成。</w:t>
      </w:r>
    </w:p>
    <w:p>
      <w:pPr>
        <w:pStyle w:val="000001"/>
        <w:ind w:firstLine="960" w:firstLineChars="300"/>
        <w:rPr>
          <w:rFonts w:hint="eastAsia" w:ascii="仿宋" w:hAnsi="仿宋" w:eastAsia="仿宋"/>
          <w:sz w:val="32"/>
          <w:szCs w:val="30"/>
        </w:rPr>
      </w:pPr>
      <w:r>
        <w:rPr>
          <w:rFonts w:hint="eastAsia" w:ascii="仿宋" w:hAnsi="仿宋" w:eastAsia="仿宋"/>
          <w:sz w:val="32"/>
          <w:szCs w:val="30"/>
        </w:rPr>
        <w:t>二、进一步加强会计审核，规范各项支出行为，严格控制各项支出。</w:t>
      </w:r>
    </w:p>
    <w:p>
      <w:pPr>
        <w:pStyle w:val="000001"/>
        <w:ind w:firstLine="960" w:firstLineChars="300"/>
        <w:rPr>
          <w:rFonts w:hint="eastAsia" w:ascii="仿宋" w:hAnsi="仿宋" w:eastAsia="仿宋"/>
          <w:sz w:val="32"/>
          <w:szCs w:val="30"/>
        </w:rPr>
      </w:pPr>
      <w:r>
        <w:rPr>
          <w:rFonts w:hint="eastAsia" w:ascii="仿宋" w:hAnsi="仿宋" w:eastAsia="仿宋"/>
          <w:sz w:val="32"/>
          <w:szCs w:val="30"/>
        </w:rPr>
        <w:t>三、做好县审计局对蔡晓春主任离任审计反馈问题的进行整改。</w:t>
      </w:r>
    </w:p>
    <w:p>
      <w:pPr>
        <w:pStyle w:val="000001"/>
        <w:ind w:firstLine="960" w:firstLineChars="300"/>
        <w:rPr>
          <w:rFonts w:hint="eastAsia" w:ascii="仿宋" w:hAnsi="仿宋" w:eastAsia="仿宋"/>
          <w:sz w:val="32"/>
          <w:szCs w:val="30"/>
        </w:rPr>
      </w:pPr>
      <w:r>
        <w:rPr>
          <w:rFonts w:hint="eastAsia" w:ascii="仿宋" w:hAnsi="仿宋" w:eastAsia="仿宋"/>
          <w:sz w:val="32"/>
          <w:szCs w:val="30"/>
        </w:rPr>
        <w:t>四、继续做好</w:t>
      </w:r>
      <w:r>
        <w:rPr>
          <w:rFonts w:hint="eastAsia" w:ascii="仿宋" w:hAnsi="仿宋" w:eastAsia="仿宋"/>
          <w:sz w:val="32"/>
          <w:szCs w:val="32"/>
        </w:rPr>
        <w:t>全面规范和加强政府采购管理三年专项行动工作。</w:t>
      </w:r>
    </w:p>
    <w:p>
      <w:pPr>
        <w:pStyle w:val="000001"/>
        <w:ind w:firstLine="960" w:firstLineChars="300"/>
        <w:rPr>
          <w:rFonts w:hint="eastAsia" w:ascii="仿宋" w:hAnsi="仿宋" w:eastAsia="仿宋"/>
          <w:sz w:val="32"/>
          <w:szCs w:val="30"/>
        </w:rPr>
      </w:pPr>
      <w:r>
        <w:rPr>
          <w:rFonts w:hint="eastAsia" w:ascii="仿宋" w:hAnsi="仿宋" w:eastAsia="仿宋"/>
          <w:sz w:val="32"/>
          <w:szCs w:val="30"/>
        </w:rPr>
        <w:t>五、做好委里安排的其他工作。</w:t>
      </w:r>
    </w:p>
    <w:p>
      <w:pPr>
        <w:pStyle w:val="00000b"/>
        <w:spacing w:before="0" w:beforeAutospacing="false" w:after="0" w:afterAutospacing="false" w:line="360" w:lineRule="auto"/>
        <w:ind/>
        <w:jc w:val="both"/>
        <w:rPr>
          <w:rFonts w:hint="eastAsia" w:ascii="仿宋_GB2312" w:hAnsi="黑体" w:eastAsia="仿宋_GB2312"/>
          <w:bCs/>
          <w:sz w:val="32"/>
          <w:szCs w:val="32"/>
        </w:rPr>
      </w:pPr>
    </w:p>
    <w:p>
      <w:pPr>
        <w:pStyle w:val="00000b"/>
        <w:spacing w:before="0" w:beforeAutospacing="false" w:after="0" w:afterAutospacing="false" w:line="360" w:lineRule="auto"/>
        <w:ind/>
        <w:jc w:val="center"/>
        <w:rPr>
          <w:rFonts w:hint="eastAsia" w:ascii="黑体" w:hAnsi="黑体" w:eastAsia="黑体"/>
          <w:bCs/>
          <w:sz w:val="36"/>
          <w:szCs w:val="36"/>
        </w:rPr>
      </w:pPr>
    </w:p>
    <w:p>
      <w:pPr>
        <w:pStyle w:val="00000b"/>
        <w:spacing w:before="0" w:beforeAutospacing="false" w:after="0" w:afterAutospacing="false" w:line="600" w:lineRule="exact"/>
        <w:ind/>
        <w:jc w:val="center"/>
        <w:rPr>
          <w:rFonts w:hint="eastAsia" w:ascii="黑体" w:hAnsi="黑体" w:eastAsia="黑体"/>
          <w:bCs/>
          <w:sz w:val="36"/>
          <w:szCs w:val="36"/>
        </w:rPr>
      </w:pPr>
      <w:r>
        <w:rPr>
          <w:rFonts w:hint="eastAsia" w:ascii="黑体" w:hAnsi="黑体" w:eastAsia="黑体"/>
          <w:bCs/>
          <w:sz w:val="36"/>
          <w:szCs w:val="36"/>
        </w:rPr>
        <w:t>第二部分</w:t>
      </w:r>
      <w:r>
        <w:rPr>
          <w:rFonts w:hint="eastAsia" w:ascii="黑体" w:hAnsi="黑体" w:eastAsia="黑体"/>
          <w:bCs/>
          <w:sz w:val="36"/>
          <w:szCs w:val="36"/>
          <w:lang w:eastAsia="zh-CN"/>
        </w:rPr>
        <w:t>2024</w:t>
      </w:r>
      <w:r>
        <w:rPr>
          <w:rFonts w:hint="eastAsia" w:ascii="黑体" w:hAnsi="黑体" w:eastAsia="黑体"/>
          <w:bCs/>
          <w:sz w:val="36"/>
          <w:szCs w:val="36"/>
        </w:rPr>
        <w:t>年部门预算表</w:t>
      </w:r>
    </w:p>
    <w:p>
      <w:pPr>
        <w:pStyle w:val="00000b"/>
        <w:spacing w:before="0" w:beforeAutospacing="false" w:after="0" w:afterAutospacing="false" w:line="600" w:lineRule="exact"/>
        <w:ind/>
        <w:jc w:val="center"/>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 xml:space="preserve">见“附件1-2 </w:t>
      </w:r>
      <w:r>
        <w:rPr>
          <w:rFonts w:hint="eastAsia" w:ascii="仿宋_GB2312" w:hAnsi="仿宋" w:eastAsia="仿宋_GB2312" w:cs="Times New Roman"/>
          <w:kern w:val="2"/>
          <w:sz w:val="32"/>
          <w:szCs w:val="32"/>
          <w:lang w:eastAsia="zh-CN"/>
        </w:rPr>
        <w:t>2024</w:t>
      </w:r>
      <w:r>
        <w:rPr>
          <w:rFonts w:hint="eastAsia" w:ascii="仿宋_GB2312" w:hAnsi="仿宋" w:eastAsia="仿宋_GB2312" w:cs="Times New Roman"/>
          <w:kern w:val="2"/>
          <w:sz w:val="32"/>
          <w:szCs w:val="32"/>
        </w:rPr>
        <w:t>年部门预算表”</w:t>
      </w:r>
    </w:p>
    <w:p>
      <w:pPr>
        <w:pStyle w:val="00000b"/>
        <w:spacing w:before="0" w:beforeAutospacing="false" w:after="0" w:afterAutospacing="false" w:line="600" w:lineRule="exact"/>
        <w:ind/>
        <w:jc w:val="center"/>
        <w:rPr>
          <w:rFonts w:hint="eastAsia" w:ascii="黑体" w:hAnsi="黑体" w:eastAsia="黑体"/>
          <w:bCs/>
          <w:sz w:val="36"/>
          <w:szCs w:val="36"/>
        </w:rPr>
      </w:pPr>
    </w:p>
    <w:p>
      <w:pPr>
        <w:pStyle w:val="00000b"/>
        <w:spacing w:before="0" w:beforeAutospacing="false" w:after="0" w:afterAutospacing="false" w:line="600" w:lineRule="exact"/>
        <w:ind/>
        <w:jc w:val="center"/>
        <w:rPr>
          <w:rFonts w:hint="eastAsia" w:ascii="黑体" w:hAnsi="黑体" w:eastAsia="黑体"/>
          <w:bCs/>
          <w:sz w:val="36"/>
          <w:szCs w:val="36"/>
        </w:rPr>
      </w:pPr>
      <w:r>
        <w:rPr>
          <w:rFonts w:hint="eastAsia" w:ascii="黑体" w:hAnsi="黑体" w:eastAsia="黑体"/>
          <w:bCs/>
          <w:sz w:val="36"/>
          <w:szCs w:val="36"/>
        </w:rPr>
        <w:t xml:space="preserve">第三部分 </w:t>
      </w:r>
      <w:r>
        <w:rPr>
          <w:rFonts w:hint="eastAsia" w:ascii="黑体" w:hAnsi="黑体" w:eastAsia="黑体"/>
          <w:bCs/>
          <w:sz w:val="36"/>
          <w:szCs w:val="36"/>
          <w:lang w:eastAsia="zh-CN"/>
        </w:rPr>
        <w:t>2024</w:t>
      </w:r>
      <w:r>
        <w:rPr>
          <w:rFonts w:hint="eastAsia" w:ascii="黑体" w:hAnsi="黑体" w:eastAsia="黑体"/>
          <w:bCs/>
          <w:sz w:val="36"/>
          <w:szCs w:val="36"/>
        </w:rPr>
        <w:t>年部门预算情况说明</w:t>
      </w:r>
    </w:p>
    <w:p>
      <w:pPr>
        <w:pStyle w:val="00000b"/>
        <w:spacing w:before="0" w:beforeAutospacing="false" w:after="0" w:afterAutospacing="false" w:line="600" w:lineRule="exact"/>
        <w:ind/>
        <w:rPr>
          <w:rFonts w:hint="eastAsia" w:ascii="黑体" w:hAnsi="黑体" w:eastAsia="黑体"/>
          <w:bCs/>
          <w:sz w:val="32"/>
          <w:szCs w:val="32"/>
        </w:rPr>
      </w:pPr>
    </w:p>
    <w:p>
      <w:pPr>
        <w:pStyle w:val="00000b"/>
        <w:spacing w:before="0" w:beforeAutospacing="false" w:after="0" w:afterAutospacing="false" w:line="600" w:lineRule="exact"/>
        <w:ind w:firstLine="640" w:firstLineChars="200"/>
        <w:rPr>
          <w:rFonts w:ascii="黑体" w:hAnsi="仿宋" w:eastAsia="黑体"/>
          <w:color w:val="000000"/>
          <w:sz w:val="32"/>
          <w:szCs w:val="32"/>
        </w:rPr>
      </w:pPr>
      <w:r>
        <w:rPr>
          <w:rFonts w:hint="eastAsia" w:ascii="黑体" w:hAnsi="仿宋" w:eastAsia="黑体"/>
          <w:color w:val="000000"/>
          <w:sz w:val="32"/>
          <w:szCs w:val="32"/>
        </w:rPr>
        <w:t>一、关于</w:t>
      </w:r>
      <w:r>
        <w:rPr>
          <w:rFonts w:hint="eastAsia" w:ascii="黑体" w:hAnsi="仿宋" w:eastAsia="黑体"/>
          <w:color w:val="000000"/>
          <w:sz w:val="32"/>
          <w:szCs w:val="32"/>
          <w:lang w:eastAsia="zh-CN"/>
        </w:rPr>
        <w:t>2024</w:t>
      </w:r>
      <w:r>
        <w:rPr>
          <w:rFonts w:hint="eastAsia" w:ascii="黑体" w:hAnsi="仿宋" w:eastAsia="黑体"/>
          <w:color w:val="000000"/>
          <w:sz w:val="32"/>
          <w:szCs w:val="32"/>
        </w:rPr>
        <w:t>年收支总表的说明</w:t>
      </w:r>
    </w:p>
    <w:p>
      <w:pPr>
        <w:pStyle w:val="00000b"/>
        <w:spacing w:before="0" w:beforeAutospacing="false" w:after="0" w:afterAutospacing="false" w:line="600" w:lineRule="exact"/>
        <w:ind w:firstLine="627" w:firstLineChars="196"/>
        <w:jc w:val="both"/>
        <w:rPr>
          <w:rFonts w:ascii="仿宋_GB2312" w:hAnsi="仿宋" w:eastAsia="仿宋_GB2312"/>
          <w:sz w:val="32"/>
          <w:szCs w:val="32"/>
        </w:rPr>
      </w:pPr>
      <w:r>
        <w:rPr>
          <w:rFonts w:hint="eastAsia" w:ascii="仿宋_GB2312" w:hAnsi="仿宋" w:eastAsia="仿宋_GB2312"/>
          <w:sz w:val="32"/>
          <w:szCs w:val="32"/>
        </w:rPr>
        <w:t>按照综合预算的原则，</w:t>
      </w:r>
      <w:r>
        <w:rPr>
          <w:rFonts w:hint="eastAsia" w:ascii="仿宋_GB2312" w:hAnsi="仿宋" w:eastAsia="仿宋_GB2312"/>
          <w:sz w:val="32"/>
          <w:szCs w:val="32"/>
          <w:lang w:eastAsia="zh-CN"/>
        </w:rPr>
        <w:t>濉溪县濉溪县卫生健康系统财务管理中心</w:t>
      </w:r>
      <w:r>
        <w:rPr>
          <w:rFonts w:hint="eastAsia" w:ascii="仿宋_GB2312" w:hAnsi="仿宋" w:eastAsia="仿宋_GB2312"/>
          <w:sz w:val="32"/>
          <w:szCs w:val="32"/>
        </w:rPr>
        <w:t>所有收入和支出均纳入部门预算管理。</w:t>
      </w: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年收支总预算</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收入包括一般公共预算拨款收入、政府性基金预算拨款收入、国有资本经营预算拨款收入、财政专户管理资金收入等，支出包括：一般公共服务支出、社会保障和就业支出、卫生健康支出、住房保障支出、……。</w:t>
      </w:r>
    </w:p>
    <w:p>
      <w:pPr>
        <w:pStyle w:val="00000b"/>
        <w:spacing w:before="0" w:beforeAutospacing="false" w:after="0" w:afterAutospacing="false" w:line="600" w:lineRule="exact"/>
        <w:ind w:firstLine="627" w:firstLineChars="196"/>
        <w:rPr>
          <w:rFonts w:ascii="黑体" w:hAnsi="仿宋" w:eastAsia="黑体"/>
          <w:color w:val="000000"/>
          <w:sz w:val="32"/>
          <w:szCs w:val="32"/>
        </w:rPr>
      </w:pPr>
      <w:r>
        <w:rPr>
          <w:rFonts w:hint="eastAsia" w:ascii="黑体" w:hAnsi="仿宋" w:eastAsia="黑体"/>
          <w:color w:val="000000"/>
          <w:sz w:val="32"/>
          <w:szCs w:val="32"/>
        </w:rPr>
        <w:t>二、关于</w:t>
      </w:r>
      <w:r>
        <w:rPr>
          <w:rFonts w:hint="eastAsia" w:ascii="黑体" w:hAnsi="仿宋" w:eastAsia="黑体"/>
          <w:color w:val="000000"/>
          <w:sz w:val="32"/>
          <w:szCs w:val="32"/>
          <w:lang w:eastAsia="zh-CN"/>
        </w:rPr>
        <w:t>2024</w:t>
      </w:r>
      <w:r>
        <w:rPr>
          <w:rFonts w:hint="eastAsia" w:ascii="黑体" w:hAnsi="仿宋" w:eastAsia="黑体"/>
          <w:color w:val="000000"/>
          <w:sz w:val="32"/>
          <w:szCs w:val="32"/>
        </w:rPr>
        <w:t>年收入总表的说明</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cs="宋体"/>
          <w:kern w:val="0"/>
          <w:sz w:val="32"/>
          <w:szCs w:val="32"/>
          <w:lang w:eastAsia="zh-CN"/>
        </w:rPr>
        <w:t>濉溪县濉溪县卫生健康系统财务管理中心</w:t>
      </w:r>
      <w:r>
        <w:rPr>
          <w:rFonts w:hint="eastAsia" w:ascii="仿宋_GB2312" w:hAnsi="仿宋" w:eastAsia="仿宋_GB2312"/>
          <w:sz w:val="32"/>
          <w:szCs w:val="32"/>
          <w:lang w:eastAsia="zh-CN"/>
        </w:rPr>
        <w:t>2024</w:t>
      </w:r>
      <w:r>
        <w:rPr>
          <w:rFonts w:hint="eastAsia" w:ascii="仿宋_GB2312" w:hAnsi="仿宋" w:eastAsia="仿宋_GB2312"/>
          <w:sz w:val="32"/>
          <w:szCs w:val="32"/>
        </w:rPr>
        <w:t>年收入预算</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万元，其中，本年收入</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sz w:val="32"/>
          <w:szCs w:val="32"/>
        </w:rPr>
        <w:t>（一）本年收入</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万元，主要包括：一般公共预算拨款收入</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100</w:t>
      </w:r>
      <w:r>
        <w:rPr>
          <w:rFonts w:hint="eastAsia" w:ascii="仿宋_GB2312" w:hAnsi="仿宋" w:eastAsia="仿宋_GB2312"/>
          <w:sz w:val="32"/>
          <w:szCs w:val="32"/>
        </w:rPr>
        <w:t>%，比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w:t>
      </w:r>
      <w:r>
        <w:rPr>
          <w:rFonts w:hint="eastAsia" w:ascii="仿宋_GB2312" w:hAnsi="仿宋" w:eastAsia="仿宋_GB2312"/>
          <w:sz w:val="32"/>
          <w:szCs w:val="32"/>
          <w:lang w:val="en-US" w:eastAsia="zh-CN"/>
        </w:rPr>
        <w:t>1.23</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1.8</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调资、公积金和社保增加</w:t>
      </w:r>
      <w:r>
        <w:rPr>
          <w:rFonts w:hint="eastAsia" w:ascii="仿宋_GB2312" w:hAnsi="仿宋" w:eastAsia="仿宋_GB2312"/>
          <w:sz w:val="32"/>
          <w:szCs w:val="32"/>
          <w:lang w:val="en-US" w:eastAsia="zh-CN"/>
        </w:rPr>
        <w:t>,</w:t>
      </w:r>
      <w:r>
        <w:rPr>
          <w:rFonts w:hint="eastAsia" w:ascii="仿宋_GB2312" w:hAnsi="仿宋" w:eastAsia="仿宋_GB2312"/>
          <w:sz w:val="32"/>
          <w:szCs w:val="32"/>
        </w:rPr>
        <w:t>；政府性基金预算拨款收入</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w:t>
      </w:r>
      <w:r>
        <w:rPr>
          <w:rFonts w:hint="eastAsia" w:ascii="仿宋_GB2312" w:hAnsi="仿宋" w:eastAsia="仿宋_GB2312"/>
          <w:sz w:val="32"/>
          <w:szCs w:val="32"/>
        </w:rPr>
        <w:t>%，比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本单位无政府性基金支出</w:t>
      </w:r>
      <w:r>
        <w:rPr>
          <w:rFonts w:hint="eastAsia" w:ascii="仿宋_GB2312" w:hAnsi="仿宋" w:eastAsia="仿宋_GB2312"/>
          <w:sz w:val="32"/>
          <w:szCs w:val="32"/>
        </w:rPr>
        <w:t>；财政专户管理资金收入</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w:t>
      </w:r>
      <w:r>
        <w:rPr>
          <w:rFonts w:hint="eastAsia" w:ascii="仿宋_GB2312" w:hAnsi="仿宋" w:eastAsia="仿宋_GB2312"/>
          <w:sz w:val="32"/>
          <w:szCs w:val="32"/>
        </w:rPr>
        <w:t>%，比</w:t>
      </w:r>
      <w:r>
        <w:rPr>
          <w:rFonts w:hint="eastAsia" w:ascii="仿宋_GB2312" w:hAnsi="仿宋" w:eastAsia="仿宋_GB2312"/>
          <w:sz w:val="32"/>
          <w:szCs w:val="32"/>
          <w:lang w:val="en-US"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本单位无财政专户支出</w:t>
      </w:r>
      <w:r>
        <w:rPr>
          <w:rFonts w:hint="eastAsia" w:ascii="仿宋_GB2312" w:hAnsi="仿宋" w:eastAsia="仿宋_GB2312"/>
          <w:sz w:val="32"/>
          <w:szCs w:val="32"/>
        </w:rPr>
        <w:t>。</w:t>
      </w:r>
    </w:p>
    <w:p>
      <w:pPr>
        <w:pStyle w:val="000001"/>
        <w:spacing w:line="600" w:lineRule="exact"/>
        <w:ind w:firstLine="640" w:firstLineChars="200"/>
        <w:rPr>
          <w:rFonts w:ascii="黑体" w:hAnsi="仿宋" w:eastAsia="黑体" w:cs="宋体"/>
          <w:color w:val="000000"/>
          <w:kern w:val="0"/>
          <w:sz w:val="32"/>
          <w:szCs w:val="32"/>
        </w:rPr>
      </w:pPr>
      <w:r>
        <w:rPr>
          <w:rFonts w:hint="eastAsia" w:ascii="黑体" w:hAnsi="仿宋" w:eastAsia="黑体" w:cs="宋体"/>
          <w:color w:val="000000"/>
          <w:kern w:val="0"/>
          <w:sz w:val="32"/>
          <w:szCs w:val="32"/>
        </w:rPr>
        <w:t>三、关于</w:t>
      </w:r>
      <w:r>
        <w:rPr>
          <w:rFonts w:hint="eastAsia" w:ascii="黑体" w:hAnsi="仿宋" w:eastAsia="黑体" w:cs="宋体"/>
          <w:color w:val="000000"/>
          <w:kern w:val="0"/>
          <w:sz w:val="32"/>
          <w:szCs w:val="32"/>
          <w:lang w:eastAsia="zh-CN"/>
        </w:rPr>
        <w:t>2024</w:t>
      </w:r>
      <w:r>
        <w:rPr>
          <w:rFonts w:hint="eastAsia" w:ascii="黑体" w:hAnsi="仿宋" w:eastAsia="黑体" w:cs="宋体"/>
          <w:color w:val="000000"/>
          <w:kern w:val="0"/>
          <w:sz w:val="32"/>
          <w:szCs w:val="32"/>
        </w:rPr>
        <w:t>年支出总表的说明</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年支出预算</w:t>
      </w:r>
      <w:r>
        <w:rPr>
          <w:rFonts w:hint="eastAsia" w:ascii="仿宋_GB2312" w:hAnsi="仿宋" w:eastAsia="仿宋_GB2312"/>
          <w:sz w:val="32"/>
          <w:szCs w:val="32"/>
          <w:lang w:val="en-US" w:eastAsia="zh-CN"/>
        </w:rPr>
        <w:t>70.58</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w:t>
      </w:r>
      <w:r>
        <w:rPr>
          <w:rFonts w:hint="eastAsia" w:ascii="仿宋_GB2312" w:hAnsi="仿宋" w:eastAsia="仿宋_GB2312"/>
          <w:sz w:val="32"/>
          <w:szCs w:val="32"/>
          <w:lang w:val="en-US" w:eastAsia="zh-CN"/>
        </w:rPr>
        <w:t>1.23</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1.8</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调资、公积金和社保增加</w:t>
      </w:r>
      <w:r>
        <w:rPr>
          <w:rFonts w:hint="eastAsia" w:ascii="仿宋_GB2312" w:hAnsi="仿宋" w:eastAsia="仿宋_GB2312"/>
          <w:sz w:val="32"/>
          <w:szCs w:val="32"/>
        </w:rPr>
        <w:t>。其中，基本支出</w:t>
      </w:r>
      <w:r>
        <w:rPr>
          <w:rFonts w:hint="eastAsia" w:ascii="仿宋_GB2312" w:hAnsi="仿宋" w:eastAsia="仿宋_GB2312"/>
          <w:sz w:val="32"/>
          <w:szCs w:val="32"/>
          <w:lang w:val="en-US" w:eastAsia="zh-CN"/>
        </w:rPr>
        <w:t>62.58</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88.67</w:t>
      </w:r>
      <w:r>
        <w:rPr>
          <w:rFonts w:hint="eastAsia" w:ascii="仿宋_GB2312" w:hAnsi="仿宋" w:eastAsia="仿宋_GB2312"/>
          <w:sz w:val="32"/>
          <w:szCs w:val="32"/>
        </w:rPr>
        <w:t>%，主要用于保障机构日常运转、完成日常工作任务；项目支出</w:t>
      </w:r>
      <w:r>
        <w:rPr>
          <w:rFonts w:hint="eastAsia" w:ascii="仿宋_GB2312" w:hAnsi="仿宋" w:eastAsia="仿宋_GB2312"/>
          <w:sz w:val="32"/>
          <w:szCs w:val="32"/>
          <w:lang w:val="en-US" w:eastAsia="zh-CN"/>
        </w:rPr>
        <w:t>8</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11.33</w:t>
      </w:r>
      <w:r>
        <w:rPr>
          <w:rFonts w:hint="eastAsia" w:ascii="仿宋_GB2312" w:hAnsi="仿宋" w:eastAsia="仿宋_GB2312"/>
          <w:sz w:val="32"/>
          <w:szCs w:val="32"/>
        </w:rPr>
        <w:t>%，主要用于</w:t>
      </w:r>
      <w:r>
        <w:rPr>
          <w:rFonts w:hint="eastAsia" w:ascii="仿宋_GB2312" w:hAnsi="仿宋" w:eastAsia="仿宋_GB2312"/>
          <w:sz w:val="32"/>
          <w:szCs w:val="32"/>
          <w:lang w:eastAsia="zh-CN"/>
        </w:rPr>
        <w:t>日常运转</w:t>
      </w:r>
      <w:r>
        <w:rPr>
          <w:rFonts w:hint="eastAsia" w:ascii="仿宋_GB2312" w:hAnsi="仿宋" w:eastAsia="仿宋_GB2312"/>
          <w:sz w:val="32"/>
          <w:szCs w:val="32"/>
        </w:rPr>
        <w:t>。</w:t>
      </w:r>
    </w:p>
    <w:p>
      <w:pPr>
        <w:pStyle w:val="000001"/>
        <w:spacing w:line="600" w:lineRule="exact"/>
        <w:ind w:firstLine="640" w:firstLineChars="200"/>
        <w:rPr>
          <w:rFonts w:ascii="黑体" w:hAnsi="仿宋" w:eastAsia="黑体" w:cs="宋体"/>
          <w:color w:val="000000"/>
          <w:kern w:val="0"/>
          <w:sz w:val="32"/>
          <w:szCs w:val="32"/>
        </w:rPr>
      </w:pPr>
      <w:r>
        <w:rPr>
          <w:rFonts w:hint="eastAsia" w:ascii="黑体" w:hAnsi="仿宋" w:eastAsia="黑体" w:cs="宋体"/>
          <w:color w:val="000000"/>
          <w:kern w:val="0"/>
          <w:sz w:val="32"/>
          <w:szCs w:val="32"/>
        </w:rPr>
        <w:t>四、关于</w:t>
      </w:r>
      <w:r>
        <w:rPr>
          <w:rFonts w:hint="eastAsia" w:ascii="黑体" w:hAnsi="仿宋" w:eastAsia="黑体" w:cs="宋体"/>
          <w:color w:val="000000"/>
          <w:kern w:val="0"/>
          <w:sz w:val="32"/>
          <w:szCs w:val="32"/>
          <w:lang w:eastAsia="zh-CN"/>
        </w:rPr>
        <w:t>2024</w:t>
      </w:r>
      <w:r>
        <w:rPr>
          <w:rFonts w:hint="eastAsia" w:ascii="黑体" w:hAnsi="仿宋" w:eastAsia="黑体" w:cs="宋体"/>
          <w:color w:val="000000"/>
          <w:kern w:val="0"/>
          <w:sz w:val="32"/>
          <w:szCs w:val="32"/>
        </w:rPr>
        <w:t>年财政拨款收支总表的说明</w:t>
      </w:r>
    </w:p>
    <w:p>
      <w:pPr>
        <w:pStyle w:val="00000b"/>
        <w:spacing w:before="0" w:beforeAutospacing="false" w:after="0" w:afterAutospacing="false" w:line="600" w:lineRule="exact"/>
        <w:ind w:firstLine="640" w:firstLineChars="200"/>
        <w:rPr>
          <w:rFonts w:ascii="仿宋_GB2312" w:hAnsi="仿宋" w:eastAsia="仿宋_GB2312" w:cs="Times New Roman"/>
          <w:kern w:val="2"/>
          <w:sz w:val="32"/>
          <w:szCs w:val="32"/>
        </w:rPr>
      </w:pPr>
      <w:r>
        <w:rPr>
          <w:rFonts w:hint="eastAsia" w:ascii="仿宋_GB2312" w:hAnsi="仿宋" w:eastAsia="仿宋_GB2312" w:cs="Times New Roman"/>
          <w:kern w:val="2"/>
          <w:sz w:val="32"/>
          <w:szCs w:val="32"/>
          <w:lang w:eastAsia="zh-CN"/>
        </w:rPr>
        <w:t>濉溪县濉溪县卫生健康系统财务管理中心2024</w:t>
      </w:r>
      <w:r>
        <w:rPr>
          <w:rFonts w:hint="eastAsia" w:ascii="仿宋_GB2312" w:hAnsi="仿宋" w:eastAsia="仿宋_GB2312" w:cs="Times New Roman"/>
          <w:kern w:val="2"/>
          <w:sz w:val="32"/>
          <w:szCs w:val="32"/>
        </w:rPr>
        <w:t>年财政拨款收支预算</w:t>
      </w:r>
      <w:r>
        <w:rPr>
          <w:rFonts w:hint="eastAsia" w:ascii="仿宋_GB2312" w:hAnsi="仿宋" w:eastAsia="仿宋_GB2312" w:cs="Times New Roman"/>
          <w:kern w:val="2"/>
          <w:sz w:val="32"/>
          <w:szCs w:val="32"/>
          <w:lang w:val="en-US" w:eastAsia="zh-CN"/>
        </w:rPr>
        <w:t>70.58</w:t>
      </w:r>
      <w:r>
        <w:rPr>
          <w:rFonts w:hint="eastAsia" w:ascii="仿宋_GB2312" w:hAnsi="仿宋" w:eastAsia="仿宋_GB2312" w:cs="Times New Roman"/>
          <w:kern w:val="2"/>
          <w:sz w:val="32"/>
          <w:szCs w:val="32"/>
        </w:rPr>
        <w:t>万元。收入按资金来源分为：一般公共预算拨款</w:t>
      </w:r>
      <w:r>
        <w:rPr>
          <w:rFonts w:hint="eastAsia" w:ascii="仿宋_GB2312" w:hAnsi="仿宋" w:eastAsia="仿宋_GB2312" w:cs="Times New Roman"/>
          <w:kern w:val="2"/>
          <w:sz w:val="32"/>
          <w:szCs w:val="32"/>
          <w:lang w:val="en-US" w:eastAsia="zh-CN"/>
        </w:rPr>
        <w:t>70.58</w:t>
      </w:r>
      <w:r>
        <w:rPr>
          <w:rFonts w:hint="eastAsia" w:ascii="仿宋_GB2312" w:hAnsi="仿宋" w:eastAsia="仿宋_GB2312" w:cs="Times New Roman"/>
          <w:kern w:val="2"/>
          <w:sz w:val="32"/>
          <w:szCs w:val="32"/>
        </w:rPr>
        <w:t>万元、政府性基金预算拨款</w:t>
      </w:r>
      <w:r>
        <w:rPr>
          <w:rFonts w:hint="eastAsia" w:ascii="仿宋_GB2312" w:hAnsi="仿宋" w:eastAsia="仿宋_GB2312" w:cs="Times New Roman"/>
          <w:kern w:val="2"/>
          <w:sz w:val="32"/>
          <w:szCs w:val="32"/>
          <w:lang w:val="en-US" w:eastAsia="zh-CN"/>
        </w:rPr>
        <w:t>0</w:t>
      </w:r>
      <w:r>
        <w:rPr>
          <w:rFonts w:hint="eastAsia" w:ascii="仿宋_GB2312" w:hAnsi="仿宋" w:eastAsia="仿宋_GB2312" w:cs="Times New Roman"/>
          <w:kern w:val="2"/>
          <w:sz w:val="32"/>
          <w:szCs w:val="32"/>
        </w:rPr>
        <w:t>万元；按资金年度分为：本年财政拨款收入</w:t>
      </w:r>
      <w:r>
        <w:rPr>
          <w:rFonts w:hint="eastAsia" w:ascii="仿宋_GB2312" w:hAnsi="仿宋" w:eastAsia="仿宋_GB2312" w:cs="Times New Roman"/>
          <w:kern w:val="2"/>
          <w:sz w:val="32"/>
          <w:szCs w:val="32"/>
          <w:lang w:val="en-US" w:eastAsia="zh-CN"/>
        </w:rPr>
        <w:t>70.58</w:t>
      </w:r>
      <w:r>
        <w:rPr>
          <w:rFonts w:hint="eastAsia" w:ascii="仿宋_GB2312" w:hAnsi="仿宋" w:eastAsia="仿宋_GB2312" w:cs="Times New Roman"/>
          <w:kern w:val="2"/>
          <w:sz w:val="32"/>
          <w:szCs w:val="32"/>
        </w:rPr>
        <w:t>万元。支出按功能分类分为：社会保障和就业支出</w:t>
      </w:r>
      <w:r>
        <w:rPr>
          <w:rFonts w:hint="eastAsia" w:ascii="仿宋_GB2312" w:hAnsi="仿宋" w:eastAsia="仿宋_GB2312" w:cs="Times New Roman"/>
          <w:kern w:val="2"/>
          <w:sz w:val="32"/>
          <w:szCs w:val="32"/>
          <w:lang w:val="en-US" w:eastAsia="zh-CN"/>
        </w:rPr>
        <w:t>9.59</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13.59</w:t>
      </w:r>
      <w:r>
        <w:rPr>
          <w:rFonts w:hint="eastAsia" w:ascii="仿宋_GB2312" w:hAnsi="仿宋" w:eastAsia="仿宋_GB2312" w:cs="Times New Roman"/>
          <w:kern w:val="2"/>
          <w:sz w:val="32"/>
          <w:szCs w:val="32"/>
        </w:rPr>
        <w:t>%；卫生健康支出</w:t>
      </w:r>
      <w:r>
        <w:rPr>
          <w:rFonts w:hint="eastAsia" w:ascii="仿宋_GB2312" w:hAnsi="仿宋" w:eastAsia="仿宋_GB2312" w:cs="Times New Roman"/>
          <w:kern w:val="2"/>
          <w:sz w:val="32"/>
          <w:szCs w:val="32"/>
          <w:lang w:val="en-US" w:eastAsia="zh-CN"/>
        </w:rPr>
        <w:t>53.92</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76.40</w:t>
      </w:r>
      <w:r>
        <w:rPr>
          <w:rFonts w:hint="eastAsia" w:ascii="仿宋_GB2312" w:hAnsi="仿宋" w:eastAsia="仿宋_GB2312" w:cs="Times New Roman"/>
          <w:kern w:val="2"/>
          <w:sz w:val="32"/>
          <w:szCs w:val="32"/>
        </w:rPr>
        <w:t>%；住房保障支出</w:t>
      </w:r>
      <w:r>
        <w:rPr>
          <w:rFonts w:hint="eastAsia" w:ascii="仿宋_GB2312" w:hAnsi="仿宋" w:eastAsia="仿宋_GB2312" w:cs="Times New Roman"/>
          <w:kern w:val="2"/>
          <w:sz w:val="32"/>
          <w:szCs w:val="32"/>
          <w:lang w:val="en-US" w:eastAsia="zh-CN"/>
        </w:rPr>
        <w:t>7.07</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10.01</w:t>
      </w:r>
      <w:r>
        <w:rPr>
          <w:rFonts w:hint="eastAsia" w:ascii="仿宋_GB2312" w:hAnsi="仿宋" w:eastAsia="仿宋_GB2312" w:cs="Times New Roman"/>
          <w:kern w:val="2"/>
          <w:sz w:val="32"/>
          <w:szCs w:val="32"/>
        </w:rPr>
        <w:t>%；。</w:t>
      </w:r>
    </w:p>
    <w:p>
      <w:pPr>
        <w:pStyle w:val="00000b"/>
        <w:spacing w:before="0" w:beforeAutospacing="false" w:after="0" w:afterAutospacing="false" w:line="600" w:lineRule="exact"/>
        <w:ind w:firstLine="640" w:firstLineChars="200"/>
        <w:rPr>
          <w:rFonts w:ascii="黑体" w:hAnsi="仿宋" w:eastAsia="黑体"/>
          <w:color w:val="000000"/>
          <w:sz w:val="32"/>
          <w:szCs w:val="32"/>
        </w:rPr>
      </w:pPr>
      <w:r>
        <w:rPr>
          <w:rFonts w:hint="eastAsia" w:ascii="黑体" w:hAnsi="仿宋" w:eastAsia="黑体"/>
          <w:color w:val="000000"/>
          <w:sz w:val="32"/>
          <w:szCs w:val="32"/>
        </w:rPr>
        <w:t>五、关于</w:t>
      </w:r>
      <w:r>
        <w:rPr>
          <w:rFonts w:hint="eastAsia" w:ascii="黑体" w:hAnsi="仿宋" w:eastAsia="黑体"/>
          <w:color w:val="000000"/>
          <w:sz w:val="32"/>
          <w:szCs w:val="32"/>
          <w:lang w:eastAsia="zh-CN"/>
        </w:rPr>
        <w:t>2024</w:t>
      </w:r>
      <w:r>
        <w:rPr>
          <w:rFonts w:hint="eastAsia" w:ascii="黑体" w:hAnsi="仿宋" w:eastAsia="黑体"/>
          <w:color w:val="000000"/>
          <w:sz w:val="32"/>
          <w:szCs w:val="32"/>
        </w:rPr>
        <w:t>年一般公共预算支出表的说明</w:t>
      </w:r>
    </w:p>
    <w:p>
      <w:pPr>
        <w:pStyle w:val="00000b"/>
        <w:spacing w:before="0" w:beforeAutospacing="false" w:after="0" w:afterAutospacing="false" w:line="600" w:lineRule="exact"/>
        <w:ind w:firstLine="627" w:firstLineChars="196"/>
        <w:rPr>
          <w:rFonts w:ascii="楷体_GB2312" w:hAnsi="仿宋" w:eastAsia="楷体_GB2312" w:cs="Times New Roman"/>
          <w:b/>
          <w:kern w:val="2"/>
          <w:sz w:val="32"/>
          <w:szCs w:val="32"/>
        </w:rPr>
      </w:pPr>
      <w:r>
        <w:rPr>
          <w:rFonts w:hint="eastAsia" w:ascii="楷体_GB2312" w:hAnsi="仿宋" w:eastAsia="楷体_GB2312" w:cs="Times New Roman"/>
          <w:b/>
          <w:kern w:val="2"/>
          <w:sz w:val="32"/>
          <w:szCs w:val="32"/>
        </w:rPr>
        <w:t>（一）一般公共预算支出规模变化情况。</w:t>
      </w:r>
    </w:p>
    <w:p>
      <w:pPr>
        <w:pStyle w:val="00000b"/>
        <w:spacing w:before="0" w:beforeAutospacing="false" w:after="0" w:afterAutospacing="false" w:line="600" w:lineRule="exact"/>
        <w:ind w:firstLine="627" w:firstLineChars="196"/>
        <w:rPr>
          <w:rFonts w:ascii="仿宋_GB2312" w:hAnsi="仿宋" w:eastAsia="仿宋_GB2312" w:cs="Times New Roman"/>
          <w:kern w:val="2"/>
          <w:sz w:val="32"/>
          <w:szCs w:val="32"/>
        </w:rPr>
      </w:pPr>
      <w:r>
        <w:rPr>
          <w:rFonts w:hint="eastAsia" w:ascii="仿宋_GB2312" w:hAnsi="仿宋" w:eastAsia="仿宋_GB2312" w:cs="Times New Roman"/>
          <w:kern w:val="2"/>
          <w:sz w:val="32"/>
          <w:szCs w:val="32"/>
          <w:lang w:eastAsia="zh-CN"/>
        </w:rPr>
        <w:t>濉溪县濉溪县卫生健康系统财务管理中心2024</w:t>
      </w:r>
      <w:r>
        <w:rPr>
          <w:rFonts w:hint="eastAsia" w:ascii="仿宋_GB2312" w:hAnsi="仿宋" w:eastAsia="仿宋_GB2312" w:cs="Times New Roman"/>
          <w:kern w:val="2"/>
          <w:sz w:val="32"/>
          <w:szCs w:val="32"/>
        </w:rPr>
        <w:t>年一般公共预算支出</w:t>
      </w:r>
      <w:r>
        <w:rPr>
          <w:rFonts w:hint="eastAsia" w:ascii="仿宋_GB2312" w:hAnsi="仿宋" w:eastAsia="仿宋_GB2312" w:cs="Times New Roman"/>
          <w:kern w:val="2"/>
          <w:sz w:val="32"/>
          <w:szCs w:val="32"/>
          <w:lang w:val="en-US" w:eastAsia="zh-CN"/>
        </w:rPr>
        <w:t>69.35</w:t>
      </w:r>
      <w:r>
        <w:rPr>
          <w:rFonts w:hint="eastAsia" w:ascii="仿宋_GB2312" w:hAnsi="仿宋" w:eastAsia="仿宋_GB2312" w:cs="Times New Roman"/>
          <w:kern w:val="2"/>
          <w:sz w:val="32"/>
          <w:szCs w:val="32"/>
        </w:rPr>
        <w:t>万元，比</w:t>
      </w:r>
      <w:r>
        <w:rPr>
          <w:rFonts w:hint="eastAsia" w:ascii="仿宋_GB2312" w:hAnsi="仿宋" w:eastAsia="仿宋_GB2312" w:cs="Times New Roman"/>
          <w:kern w:val="2"/>
          <w:sz w:val="32"/>
          <w:szCs w:val="32"/>
          <w:lang w:eastAsia="zh-CN"/>
        </w:rPr>
        <w:t>2023</w:t>
      </w:r>
      <w:r>
        <w:rPr>
          <w:rFonts w:hint="eastAsia" w:ascii="仿宋_GB2312" w:hAnsi="仿宋" w:eastAsia="仿宋_GB2312" w:cs="Times New Roman"/>
          <w:kern w:val="2"/>
          <w:sz w:val="32"/>
          <w:szCs w:val="32"/>
        </w:rPr>
        <w:t>年预算增加</w:t>
      </w:r>
      <w:r>
        <w:rPr>
          <w:rFonts w:hint="eastAsia" w:ascii="仿宋_GB2312" w:hAnsi="仿宋" w:eastAsia="仿宋_GB2312" w:cs="Times New Roman"/>
          <w:kern w:val="2"/>
          <w:sz w:val="32"/>
          <w:szCs w:val="32"/>
          <w:lang w:val="en-US" w:eastAsia="zh-CN"/>
        </w:rPr>
        <w:t>17.28</w:t>
      </w:r>
      <w:r>
        <w:rPr>
          <w:rFonts w:hint="eastAsia" w:ascii="仿宋_GB2312" w:hAnsi="仿宋" w:eastAsia="仿宋_GB2312" w:cs="Times New Roman"/>
          <w:kern w:val="2"/>
          <w:sz w:val="32"/>
          <w:szCs w:val="32"/>
        </w:rPr>
        <w:t>万元，增长</w:t>
      </w:r>
      <w:r>
        <w:rPr>
          <w:rFonts w:hint="eastAsia" w:ascii="仿宋_GB2312" w:hAnsi="仿宋" w:eastAsia="仿宋_GB2312" w:cs="Times New Roman"/>
          <w:kern w:val="2"/>
          <w:sz w:val="32"/>
          <w:szCs w:val="32"/>
          <w:lang w:val="en-US" w:eastAsia="zh-CN"/>
        </w:rPr>
        <w:t>33</w:t>
      </w:r>
      <w:r>
        <w:rPr>
          <w:rFonts w:hint="eastAsia" w:ascii="仿宋_GB2312" w:hAnsi="仿宋" w:eastAsia="仿宋_GB2312" w:cs="Times New Roman"/>
          <w:kern w:val="2"/>
          <w:sz w:val="32"/>
          <w:szCs w:val="32"/>
        </w:rPr>
        <w:t>%，主要原因：</w:t>
      </w:r>
      <w:r>
        <w:rPr>
          <w:rFonts w:hint="eastAsia" w:ascii="仿宋_GB2312" w:hAnsi="仿宋" w:eastAsia="仿宋_GB2312"/>
          <w:sz w:val="32"/>
          <w:szCs w:val="32"/>
          <w:lang w:eastAsia="zh-CN"/>
        </w:rPr>
        <w:t>调资、公积金和社保增加</w:t>
      </w:r>
      <w:r>
        <w:rPr>
          <w:rFonts w:hint="eastAsia" w:ascii="仿宋_GB2312" w:hAnsi="仿宋" w:eastAsia="仿宋_GB2312" w:cs="Times New Roman"/>
          <w:kern w:val="2"/>
          <w:sz w:val="32"/>
          <w:szCs w:val="32"/>
        </w:rPr>
        <w:t>。</w:t>
      </w:r>
    </w:p>
    <w:p>
      <w:pPr>
        <w:pStyle w:val="00000b"/>
        <w:spacing w:before="0" w:beforeAutospacing="false" w:after="0" w:afterAutospacing="false" w:line="600" w:lineRule="exact"/>
        <w:ind w:firstLine="627" w:firstLineChars="196"/>
        <w:rPr>
          <w:rFonts w:ascii="楷体_GB2312" w:hAnsi="仿宋" w:eastAsia="楷体_GB2312" w:cs="Times New Roman"/>
          <w:b/>
          <w:kern w:val="2"/>
          <w:sz w:val="32"/>
          <w:szCs w:val="32"/>
        </w:rPr>
      </w:pPr>
      <w:r>
        <w:rPr>
          <w:rFonts w:hint="eastAsia" w:ascii="楷体_GB2312" w:hAnsi="仿宋" w:eastAsia="楷体_GB2312" w:cs="Times New Roman"/>
          <w:b/>
          <w:kern w:val="2"/>
          <w:sz w:val="32"/>
          <w:szCs w:val="32"/>
        </w:rPr>
        <w:t>（二</w:t>
      </w:r>
      <w:r>
        <w:rPr>
          <w:rFonts w:ascii="楷体_GB2312" w:hAnsi="仿宋" w:eastAsia="楷体_GB2312" w:cs="Times New Roman"/>
          <w:b/>
          <w:kern w:val="2"/>
          <w:sz w:val="32"/>
          <w:szCs w:val="32"/>
        </w:rPr>
        <w:t>）</w:t>
      </w:r>
      <w:r>
        <w:rPr>
          <w:rFonts w:hint="eastAsia" w:ascii="楷体_GB2312" w:hAnsi="仿宋" w:eastAsia="楷体_GB2312" w:cs="Times New Roman"/>
          <w:b/>
          <w:kern w:val="2"/>
          <w:sz w:val="32"/>
          <w:szCs w:val="32"/>
        </w:rPr>
        <w:t>一般公共预算支出结构情况。</w:t>
      </w:r>
    </w:p>
    <w:p>
      <w:pPr>
        <w:pStyle w:val="00000b"/>
        <w:spacing w:before="0" w:beforeAutospacing="false" w:after="0" w:afterAutospacing="false" w:line="600" w:lineRule="exact"/>
        <w:ind w:firstLine="627" w:firstLineChars="196"/>
        <w:rPr>
          <w:rFonts w:ascii="仿宋_GB2312" w:hAnsi="仿宋" w:eastAsia="仿宋_GB2312" w:cs="Times New Roman"/>
          <w:kern w:val="2"/>
          <w:sz w:val="32"/>
          <w:szCs w:val="32"/>
        </w:rPr>
      </w:pPr>
      <w:r>
        <w:rPr>
          <w:rFonts w:hint="eastAsia" w:ascii="仿宋_GB2312" w:hAnsi="仿宋" w:eastAsia="仿宋_GB2312" w:cs="Times New Roman"/>
          <w:kern w:val="2"/>
          <w:sz w:val="32"/>
          <w:szCs w:val="32"/>
        </w:rPr>
        <w:t>一般公共服务支出</w:t>
      </w:r>
      <w:r>
        <w:rPr>
          <w:rFonts w:hint="eastAsia" w:ascii="仿宋_GB2312" w:hAnsi="仿宋" w:eastAsia="仿宋_GB2312" w:cs="Times New Roman"/>
          <w:kern w:val="2"/>
          <w:sz w:val="32"/>
          <w:szCs w:val="32"/>
          <w:lang w:val="en-US" w:eastAsia="zh-CN"/>
        </w:rPr>
        <w:t>0</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0</w:t>
      </w:r>
      <w:r>
        <w:rPr>
          <w:rFonts w:hint="eastAsia" w:ascii="仿宋_GB2312" w:hAnsi="仿宋" w:eastAsia="仿宋_GB2312" w:cs="Times New Roman"/>
          <w:kern w:val="2"/>
          <w:sz w:val="32"/>
          <w:szCs w:val="32"/>
        </w:rPr>
        <w:t>%；社会保障和就业支出</w:t>
      </w:r>
      <w:r>
        <w:rPr>
          <w:rFonts w:hint="eastAsia" w:ascii="仿宋_GB2312" w:hAnsi="仿宋" w:eastAsia="仿宋_GB2312" w:cs="Times New Roman"/>
          <w:kern w:val="2"/>
          <w:sz w:val="32"/>
          <w:szCs w:val="32"/>
          <w:lang w:val="en-US" w:eastAsia="zh-CN"/>
        </w:rPr>
        <w:t>9.59</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13.59</w:t>
      </w:r>
      <w:r>
        <w:rPr>
          <w:rFonts w:hint="eastAsia" w:ascii="仿宋_GB2312" w:hAnsi="仿宋" w:eastAsia="仿宋_GB2312" w:cs="Times New Roman"/>
          <w:kern w:val="2"/>
          <w:sz w:val="32"/>
          <w:szCs w:val="32"/>
        </w:rPr>
        <w:t>%；卫生健康支出</w:t>
      </w:r>
      <w:r>
        <w:rPr>
          <w:rFonts w:hint="eastAsia" w:ascii="仿宋_GB2312" w:hAnsi="仿宋" w:eastAsia="仿宋_GB2312" w:cs="Times New Roman"/>
          <w:kern w:val="2"/>
          <w:sz w:val="32"/>
          <w:szCs w:val="32"/>
          <w:lang w:val="en-US" w:eastAsia="zh-CN"/>
        </w:rPr>
        <w:t>53.92</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76.4</w:t>
      </w:r>
      <w:r>
        <w:rPr>
          <w:rFonts w:hint="eastAsia" w:ascii="仿宋_GB2312" w:hAnsi="仿宋" w:eastAsia="仿宋_GB2312" w:cs="Times New Roman"/>
          <w:kern w:val="2"/>
          <w:sz w:val="32"/>
          <w:szCs w:val="32"/>
        </w:rPr>
        <w:t>%；住房保障支出</w:t>
      </w:r>
      <w:r>
        <w:rPr>
          <w:rFonts w:hint="eastAsia" w:ascii="仿宋_GB2312" w:hAnsi="仿宋" w:eastAsia="仿宋_GB2312" w:cs="Times New Roman"/>
          <w:kern w:val="2"/>
          <w:sz w:val="32"/>
          <w:szCs w:val="32"/>
          <w:lang w:val="en-US" w:eastAsia="zh-CN"/>
        </w:rPr>
        <w:t>7.07</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10.01</w:t>
      </w:r>
      <w:r>
        <w:rPr>
          <w:rFonts w:hint="eastAsia" w:ascii="仿宋_GB2312" w:hAnsi="仿宋" w:eastAsia="仿宋_GB2312" w:cs="Times New Roman"/>
          <w:kern w:val="2"/>
          <w:sz w:val="32"/>
          <w:szCs w:val="32"/>
        </w:rPr>
        <w:t>%。</w:t>
      </w:r>
    </w:p>
    <w:p>
      <w:pPr>
        <w:pStyle w:val="000001"/>
        <w:spacing w:line="600" w:lineRule="exact"/>
        <w:ind w:firstLine="640" w:firstLineChars="200"/>
        <w:rPr>
          <w:rFonts w:ascii="楷体_GB2312" w:hAnsi="仿宋" w:eastAsia="楷体_GB2312"/>
          <w:b/>
          <w:sz w:val="32"/>
          <w:szCs w:val="32"/>
        </w:rPr>
      </w:pPr>
      <w:r>
        <w:rPr>
          <w:rFonts w:hint="eastAsia" w:ascii="楷体_GB2312" w:hAnsi="仿宋" w:eastAsia="楷体_GB2312"/>
          <w:b/>
          <w:sz w:val="32"/>
          <w:szCs w:val="32"/>
        </w:rPr>
        <w:t>（三）一般公共预算支出具体使用情况。</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b/>
          <w:sz w:val="32"/>
          <w:szCs w:val="32"/>
        </w:rPr>
        <w:t>1.一般公共服务支出（类）财政事务（款）行政运行（项）</w:t>
      </w:r>
      <w:r>
        <w:rPr>
          <w:rFonts w:hint="eastAsia" w:ascii="仿宋_GB2312" w:hAnsi="仿宋" w:eastAsia="仿宋_GB2312"/>
          <w:sz w:val="32"/>
          <w:szCs w:val="32"/>
          <w:lang w:eastAsia="zh-CN"/>
        </w:rPr>
        <w:t>2024</w:t>
      </w:r>
      <w:r>
        <w:rPr>
          <w:rFonts w:hint="eastAsia" w:ascii="仿宋_GB2312" w:hAnsi="仿宋" w:eastAsia="仿宋_GB2312"/>
          <w:sz w:val="32"/>
          <w:szCs w:val="32"/>
        </w:rPr>
        <w:t>年预算</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万元，增长（下降）%，增长（下降）原因主要是</w:t>
      </w:r>
      <w:r>
        <w:rPr>
          <w:rFonts w:hint="eastAsia" w:ascii="仿宋_GB2312" w:hAnsi="仿宋" w:eastAsia="仿宋_GB2312"/>
          <w:sz w:val="32"/>
          <w:szCs w:val="32"/>
          <w:lang w:eastAsia="zh-CN"/>
        </w:rPr>
        <w:t>本单位无公共服务支出</w:t>
      </w:r>
      <w:r>
        <w:rPr>
          <w:rFonts w:hint="eastAsia" w:ascii="仿宋_GB2312" w:hAnsi="仿宋" w:eastAsia="仿宋_GB2312"/>
          <w:sz w:val="32"/>
          <w:szCs w:val="32"/>
        </w:rPr>
        <w:t>。</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b/>
          <w:sz w:val="32"/>
          <w:szCs w:val="32"/>
        </w:rPr>
        <w:t>2.一般公共服务支出（类）财政事务（款）一般行政管理事务（项）</w:t>
      </w:r>
      <w:r>
        <w:rPr>
          <w:rFonts w:hint="eastAsia" w:ascii="仿宋_GB2312" w:hAnsi="仿宋" w:eastAsia="仿宋_GB2312"/>
          <w:sz w:val="32"/>
          <w:szCs w:val="32"/>
          <w:lang w:eastAsia="zh-CN"/>
        </w:rPr>
        <w:t>2024</w:t>
      </w:r>
      <w:r>
        <w:rPr>
          <w:rFonts w:hint="eastAsia" w:ascii="仿宋_GB2312" w:hAnsi="仿宋" w:eastAsia="仿宋_GB2312"/>
          <w:sz w:val="32"/>
          <w:szCs w:val="32"/>
        </w:rPr>
        <w:t>年预算</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%，增长（下降）原因主要是</w:t>
      </w:r>
      <w:r>
        <w:rPr>
          <w:rFonts w:hint="eastAsia" w:ascii="仿宋_GB2312" w:hAnsi="仿宋" w:eastAsia="仿宋_GB2312"/>
          <w:sz w:val="32"/>
          <w:szCs w:val="32"/>
          <w:lang w:eastAsia="zh-CN"/>
        </w:rPr>
        <w:t>本单位无行政管理事务支出</w:t>
      </w:r>
      <w:r>
        <w:rPr>
          <w:rFonts w:hint="eastAsia" w:ascii="仿宋_GB2312" w:hAnsi="仿宋" w:eastAsia="仿宋_GB2312"/>
          <w:sz w:val="32"/>
          <w:szCs w:val="32"/>
        </w:rPr>
        <w:t>。</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b/>
          <w:sz w:val="32"/>
          <w:szCs w:val="32"/>
        </w:rPr>
        <w:t>3.社会保障和就业支出（类）行政事业单位离退休（款）归口管理的行政事业单位离退休（项）</w:t>
      </w:r>
      <w:r>
        <w:rPr>
          <w:rFonts w:hint="eastAsia" w:ascii="仿宋_GB2312" w:hAnsi="仿宋" w:eastAsia="仿宋_GB2312"/>
          <w:sz w:val="32"/>
          <w:szCs w:val="32"/>
          <w:lang w:eastAsia="zh-CN"/>
        </w:rPr>
        <w:t>2024</w:t>
      </w:r>
      <w:r>
        <w:rPr>
          <w:rFonts w:hint="eastAsia" w:ascii="仿宋_GB2312" w:hAnsi="仿宋" w:eastAsia="仿宋_GB2312"/>
          <w:sz w:val="32"/>
          <w:szCs w:val="32"/>
        </w:rPr>
        <w:t>年预算</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%，增长（下降）原因主要是</w:t>
      </w:r>
      <w:r>
        <w:rPr>
          <w:rFonts w:hint="eastAsia" w:ascii="仿宋_GB2312" w:hAnsi="仿宋" w:eastAsia="仿宋_GB2312"/>
          <w:sz w:val="32"/>
          <w:szCs w:val="32"/>
          <w:lang w:eastAsia="zh-CN"/>
        </w:rPr>
        <w:t>本单位无离退休人员</w:t>
      </w:r>
      <w:r>
        <w:rPr>
          <w:rFonts w:hint="eastAsia" w:ascii="仿宋_GB2312" w:hAnsi="仿宋" w:eastAsia="仿宋_GB2312"/>
          <w:sz w:val="32"/>
          <w:szCs w:val="32"/>
        </w:rPr>
        <w:t>。</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b/>
          <w:sz w:val="32"/>
          <w:szCs w:val="32"/>
        </w:rPr>
        <w:t>4.住房保障支出（类）住房改革支出（款）住房公积金（项）</w:t>
      </w:r>
      <w:r>
        <w:rPr>
          <w:rFonts w:hint="eastAsia" w:ascii="仿宋_GB2312" w:hAnsi="仿宋" w:eastAsia="仿宋_GB2312"/>
          <w:sz w:val="32"/>
          <w:szCs w:val="32"/>
          <w:lang w:eastAsia="zh-CN"/>
        </w:rPr>
        <w:t>2024</w:t>
      </w:r>
      <w:r>
        <w:rPr>
          <w:rFonts w:hint="eastAsia" w:ascii="仿宋_GB2312" w:hAnsi="仿宋" w:eastAsia="仿宋_GB2312"/>
          <w:sz w:val="32"/>
          <w:szCs w:val="32"/>
        </w:rPr>
        <w:t>年预算</w:t>
      </w:r>
      <w:r>
        <w:rPr>
          <w:rFonts w:hint="eastAsia" w:ascii="仿宋_GB2312" w:hAnsi="仿宋" w:eastAsia="仿宋_GB2312"/>
          <w:sz w:val="32"/>
          <w:szCs w:val="32"/>
          <w:lang w:val="en-US" w:eastAsia="zh-CN"/>
        </w:rPr>
        <w:t>7.07</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w:t>
      </w:r>
      <w:r>
        <w:rPr>
          <w:rFonts w:hint="eastAsia" w:ascii="仿宋_GB2312" w:hAnsi="仿宋" w:eastAsia="仿宋_GB2312"/>
          <w:sz w:val="32"/>
          <w:szCs w:val="32"/>
          <w:lang w:val="en-US" w:eastAsia="zh-CN"/>
        </w:rPr>
        <w:t>0.62</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9.61</w:t>
      </w:r>
      <w:r>
        <w:rPr>
          <w:rFonts w:hint="eastAsia" w:ascii="仿宋_GB2312" w:hAnsi="仿宋" w:eastAsia="仿宋_GB2312"/>
          <w:sz w:val="32"/>
          <w:szCs w:val="32"/>
        </w:rPr>
        <w:t>%，增长（下降）原因主要是</w:t>
      </w:r>
      <w:r>
        <w:rPr>
          <w:rFonts w:hint="eastAsia" w:ascii="仿宋_GB2312" w:hAnsi="仿宋" w:eastAsia="仿宋_GB2312"/>
          <w:sz w:val="32"/>
          <w:szCs w:val="32"/>
          <w:lang w:eastAsia="zh-CN"/>
        </w:rPr>
        <w:t>调整公积金基数</w:t>
      </w:r>
      <w:r>
        <w:rPr>
          <w:rFonts w:hint="eastAsia" w:ascii="仿宋_GB2312" w:hAnsi="仿宋" w:eastAsia="仿宋_GB2312"/>
          <w:sz w:val="32"/>
          <w:szCs w:val="32"/>
        </w:rPr>
        <w:t>。</w:t>
      </w:r>
    </w:p>
    <w:p>
      <w:pPr>
        <w:pStyle w:val="000001"/>
        <w:spacing w:line="600" w:lineRule="exact"/>
        <w:ind/>
        <w:rPr>
          <w:rFonts w:ascii="仿宋_GB2312" w:hAnsi="仿宋" w:eastAsia="仿宋_GB2312"/>
          <w:sz w:val="32"/>
          <w:szCs w:val="32"/>
        </w:rPr>
      </w:pPr>
    </w:p>
    <w:p>
      <w:pPr>
        <w:pStyle w:val="00000b"/>
        <w:spacing w:before="0" w:beforeAutospacing="false" w:after="0" w:afterAutospacing="false" w:line="600" w:lineRule="exact"/>
        <w:ind w:firstLine="640" w:firstLineChars="200"/>
        <w:rPr>
          <w:rFonts w:ascii="黑体" w:eastAsia="黑体"/>
          <w:color w:val="000000"/>
        </w:rPr>
      </w:pPr>
      <w:r>
        <w:rPr>
          <w:rFonts w:hint="eastAsia" w:ascii="黑体" w:hAnsi="仿宋" w:eastAsia="黑体" w:cs="Times New Roman"/>
          <w:color w:val="000000"/>
          <w:kern w:val="2"/>
          <w:sz w:val="32"/>
          <w:szCs w:val="32"/>
        </w:rPr>
        <w:t>六、关于</w:t>
      </w:r>
      <w:r>
        <w:rPr>
          <w:rFonts w:hint="eastAsia" w:ascii="黑体" w:hAnsi="仿宋" w:eastAsia="黑体" w:cs="Times New Roman"/>
          <w:color w:val="000000"/>
          <w:kern w:val="2"/>
          <w:sz w:val="32"/>
          <w:szCs w:val="32"/>
          <w:lang w:eastAsia="zh-CN"/>
        </w:rPr>
        <w:t>2024</w:t>
      </w:r>
      <w:r>
        <w:rPr>
          <w:rFonts w:hint="eastAsia" w:ascii="黑体" w:hAnsi="仿宋" w:eastAsia="黑体" w:cs="Times New Roman"/>
          <w:color w:val="000000"/>
          <w:kern w:val="2"/>
          <w:sz w:val="32"/>
          <w:szCs w:val="32"/>
        </w:rPr>
        <w:t>年一般公共预算基本支出表的说明</w:t>
      </w:r>
    </w:p>
    <w:p>
      <w:pPr>
        <w:pStyle w:val="000001"/>
        <w:ind w:firstLine="640" w:firstLineChars="200"/>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年一般公共预算基本支出</w:t>
      </w:r>
      <w:r>
        <w:rPr>
          <w:rFonts w:hint="eastAsia" w:ascii="仿宋_GB2312" w:hAnsi="仿宋" w:eastAsia="仿宋_GB2312"/>
          <w:sz w:val="32"/>
          <w:szCs w:val="32"/>
          <w:lang w:val="en-US" w:eastAsia="zh-CN"/>
        </w:rPr>
        <w:t>62.58</w:t>
      </w:r>
      <w:r>
        <w:rPr>
          <w:rFonts w:hint="eastAsia" w:ascii="仿宋_GB2312" w:hAnsi="仿宋" w:eastAsia="仿宋_GB2312"/>
          <w:sz w:val="32"/>
          <w:szCs w:val="32"/>
        </w:rPr>
        <w:t>万元，其中，人员经费</w:t>
      </w:r>
      <w:r>
        <w:rPr>
          <w:rFonts w:hint="eastAsia" w:ascii="仿宋_GB2312" w:hAnsi="仿宋" w:eastAsia="仿宋_GB2312"/>
          <w:sz w:val="32"/>
          <w:szCs w:val="32"/>
          <w:lang w:val="en-US" w:eastAsia="zh-CN"/>
        </w:rPr>
        <w:t>59.2</w:t>
      </w:r>
      <w:r>
        <w:rPr>
          <w:rFonts w:hint="eastAsia" w:ascii="仿宋_GB2312" w:hAnsi="仿宋" w:eastAsia="仿宋_GB2312"/>
          <w:sz w:val="32"/>
          <w:szCs w:val="32"/>
        </w:rPr>
        <w:t>万元，公用经费</w:t>
      </w:r>
      <w:r>
        <w:rPr>
          <w:rFonts w:hint="eastAsia" w:ascii="仿宋_GB2312" w:hAnsi="仿宋" w:eastAsia="仿宋_GB2312"/>
          <w:sz w:val="32"/>
          <w:szCs w:val="32"/>
          <w:lang w:val="en-US" w:eastAsia="zh-CN"/>
        </w:rPr>
        <w:t>3..38</w:t>
      </w:r>
      <w:r>
        <w:rPr>
          <w:rFonts w:hint="eastAsia" w:ascii="仿宋_GB2312" w:hAnsi="仿宋" w:eastAsia="仿宋_GB2312"/>
          <w:sz w:val="32"/>
          <w:szCs w:val="32"/>
        </w:rPr>
        <w:t>万元。</w:t>
      </w:r>
    </w:p>
    <w:p>
      <w:pPr>
        <w:pStyle w:val="000001"/>
        <w:ind w:firstLine="640" w:firstLineChars="200"/>
        <w:rPr>
          <w:rFonts w:ascii="仿宋_GB2312" w:hAnsi="仿宋" w:eastAsia="仿宋_GB2312"/>
          <w:sz w:val="32"/>
          <w:szCs w:val="32"/>
        </w:rPr>
      </w:pPr>
      <w:r>
        <w:rPr>
          <w:rFonts w:hint="eastAsia" w:ascii="仿宋_GB2312" w:hAnsi="仿宋" w:eastAsia="仿宋_GB2312"/>
          <w:sz w:val="32"/>
          <w:szCs w:val="32"/>
        </w:rPr>
        <w:t>（一）人员经费</w:t>
      </w:r>
      <w:r>
        <w:rPr>
          <w:rFonts w:hint="eastAsia" w:ascii="仿宋_GB2312" w:hAnsi="仿宋" w:eastAsia="仿宋_GB2312"/>
          <w:sz w:val="32"/>
          <w:szCs w:val="32"/>
          <w:lang w:val="en-US" w:eastAsia="zh-CN"/>
        </w:rPr>
        <w:t>59.2</w:t>
      </w:r>
      <w:r>
        <w:rPr>
          <w:rFonts w:hint="eastAsia" w:ascii="仿宋_GB2312" w:hAnsi="仿宋" w:eastAsia="仿宋_GB2312"/>
          <w:sz w:val="32"/>
          <w:szCs w:val="32"/>
        </w:rPr>
        <w:t>万元，主要包括:基本工资、津贴补贴、奖金、伙食补助费、绩效工资、机关事业单位基本养老保险费、职业年金缴费、职工基本医疗保险缴费、公务员医疗补助缴费、其他社会保障缴费、住房公积金、离休费、对其他个人和家庭的补助支出。</w:t>
      </w:r>
    </w:p>
    <w:p>
      <w:pPr>
        <w:pStyle w:val="000001"/>
        <w:ind w:firstLine="640" w:firstLineChars="200"/>
        <w:rPr>
          <w:rFonts w:ascii="仿宋_GB2312" w:hAnsi="仿宋" w:eastAsia="仿宋_GB2312"/>
          <w:sz w:val="32"/>
          <w:szCs w:val="32"/>
        </w:rPr>
      </w:pPr>
      <w:r>
        <w:rPr>
          <w:rFonts w:hint="eastAsia" w:ascii="仿宋_GB2312" w:hAnsi="仿宋" w:eastAsia="仿宋_GB2312"/>
          <w:sz w:val="32"/>
          <w:szCs w:val="32"/>
        </w:rPr>
        <w:t>（二）公用经费</w:t>
      </w:r>
      <w:r>
        <w:rPr>
          <w:rFonts w:hint="eastAsia" w:ascii="仿宋_GB2312" w:hAnsi="仿宋" w:eastAsia="仿宋_GB2312"/>
          <w:sz w:val="32"/>
          <w:szCs w:val="32"/>
          <w:lang w:val="en-US" w:eastAsia="zh-CN"/>
        </w:rPr>
        <w:t>3.38</w:t>
      </w:r>
      <w:r>
        <w:rPr>
          <w:rFonts w:hint="eastAsia" w:ascii="仿宋_GB2312" w:hAnsi="仿宋" w:eastAsia="仿宋_GB2312"/>
          <w:sz w:val="32"/>
          <w:szCs w:val="32"/>
        </w:rPr>
        <w:t>万元，主要包括：办公费、印刷费、咨询费、手续费、水费、电费、邮电费、取暖费、物业管理费、差旅费、因公出国（境）费、维修（护）费、租赁费、会议费、培训费、公务接待费、专用材料费、被装购置费、专用燃料费、劳务费、委托业务费、公务用车运行维护费、其他交通费用、其他商品服务支出、房屋建筑物购建、办公设备购置、专用设备购置、基础设施建设、大型修缮、信息网络及软件购置更新、公务用车购置、其他交通工具购置、无形资产购置、其他资本性支出等。</w:t>
      </w:r>
    </w:p>
    <w:p>
      <w:pPr>
        <w:pStyle w:val="00000b"/>
        <w:spacing w:before="0" w:beforeAutospacing="false" w:after="0" w:afterAutospacing="false" w:line="600" w:lineRule="exact"/>
        <w:ind w:firstLine="640" w:firstLineChars="200"/>
        <w:rPr>
          <w:rFonts w:ascii="黑体" w:hAnsi="仿宋" w:eastAsia="黑体"/>
          <w:sz w:val="32"/>
          <w:szCs w:val="32"/>
        </w:rPr>
      </w:pPr>
      <w:r>
        <w:rPr>
          <w:rFonts w:hint="eastAsia" w:ascii="黑体" w:hAnsi="仿宋" w:eastAsia="黑体"/>
          <w:sz w:val="32"/>
          <w:szCs w:val="32"/>
        </w:rPr>
        <w:t>七、关于</w:t>
      </w:r>
      <w:r>
        <w:rPr>
          <w:rFonts w:hint="eastAsia" w:ascii="黑体" w:hAnsi="仿宋" w:eastAsia="黑体"/>
          <w:sz w:val="32"/>
          <w:szCs w:val="32"/>
          <w:lang w:eastAsia="zh-CN"/>
        </w:rPr>
        <w:t>2024</w:t>
      </w:r>
      <w:r>
        <w:rPr>
          <w:rFonts w:hint="eastAsia" w:ascii="黑体" w:hAnsi="仿宋" w:eastAsia="黑体"/>
          <w:sz w:val="32"/>
          <w:szCs w:val="32"/>
        </w:rPr>
        <w:t>年政府性基金预算支出表的说明</w:t>
      </w:r>
    </w:p>
    <w:p>
      <w:pPr>
        <w:pStyle w:val="00000b"/>
        <w:spacing w:before="0" w:beforeAutospacing="false" w:after="0" w:afterAutospacing="false" w:line="580" w:lineRule="exact"/>
        <w:ind w:firstLine="640" w:firstLineChars="200"/>
        <w:jc w:val="both"/>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年没有政府性基金预算拨款收入，也没有使用政府性基金预算拨款安排的支出。</w:t>
      </w:r>
    </w:p>
    <w:p>
      <w:pPr>
        <w:pStyle w:val="00000b"/>
        <w:spacing w:before="0" w:beforeAutospacing="false" w:after="0" w:afterAutospacing="false" w:line="600" w:lineRule="exact"/>
        <w:ind w:firstLine="640" w:firstLineChars="200"/>
        <w:rPr>
          <w:rFonts w:hint="eastAsia" w:ascii="仿宋_GB2312" w:hAnsi="仿宋" w:eastAsia="仿宋_GB2312"/>
          <w:sz w:val="32"/>
          <w:szCs w:val="32"/>
        </w:rPr>
      </w:pPr>
      <w:r>
        <w:rPr>
          <w:rFonts w:hint="eastAsia" w:ascii="仿宋_GB2312" w:hAnsi="仿宋" w:eastAsia="仿宋_GB2312"/>
          <w:b/>
          <w:sz w:val="32"/>
          <w:szCs w:val="32"/>
        </w:rPr>
        <w:t>（一）城乡社区支出—城市基础设施配套费</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本单位无城市基础设施配套费</w:t>
      </w:r>
      <w:r>
        <w:rPr>
          <w:rFonts w:hint="eastAsia" w:ascii="仿宋_GB2312" w:hAnsi="仿宋" w:eastAsia="仿宋_GB2312"/>
          <w:sz w:val="32"/>
          <w:szCs w:val="32"/>
        </w:rPr>
        <w:t>。</w:t>
      </w:r>
    </w:p>
    <w:p>
      <w:pPr>
        <w:pStyle w:val="00000b"/>
        <w:spacing w:before="0" w:beforeAutospacing="false" w:after="0" w:afterAutospacing="false" w:line="600" w:lineRule="exact"/>
        <w:ind w:firstLine="640" w:firstLineChars="200"/>
        <w:rPr>
          <w:rFonts w:hint="eastAsia" w:ascii="仿宋_GB2312" w:hAnsi="仿宋" w:eastAsia="仿宋_GB2312"/>
          <w:sz w:val="32"/>
          <w:szCs w:val="32"/>
        </w:rPr>
      </w:pPr>
      <w:r>
        <w:rPr>
          <w:rFonts w:hint="eastAsia" w:ascii="仿宋_GB2312" w:hAnsi="仿宋" w:eastAsia="仿宋_GB2312"/>
          <w:b/>
          <w:sz w:val="32"/>
          <w:szCs w:val="32"/>
        </w:rPr>
        <w:t>（二）城乡社区支出—污水处理费安排的支出</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%，原因主要是</w:t>
      </w:r>
      <w:r>
        <w:rPr>
          <w:rFonts w:hint="eastAsia" w:ascii="仿宋_GB2312" w:hAnsi="仿宋" w:eastAsia="仿宋_GB2312"/>
          <w:sz w:val="32"/>
          <w:szCs w:val="32"/>
          <w:lang w:eastAsia="zh-CN"/>
        </w:rPr>
        <w:t>无</w:t>
      </w:r>
      <w:r>
        <w:rPr>
          <w:rFonts w:hint="eastAsia" w:ascii="仿宋_GB2312" w:hAnsi="仿宋" w:eastAsia="仿宋_GB2312"/>
          <w:b w:val="false"/>
          <w:bCs/>
          <w:sz w:val="32"/>
          <w:szCs w:val="32"/>
        </w:rPr>
        <w:t>城乡社区支出—污水处理费</w:t>
      </w:r>
      <w:r>
        <w:rPr>
          <w:rFonts w:hint="eastAsia" w:ascii="仿宋_GB2312" w:hAnsi="仿宋" w:eastAsia="仿宋_GB2312"/>
          <w:sz w:val="32"/>
          <w:szCs w:val="32"/>
        </w:rPr>
        <w:t>。</w:t>
      </w:r>
    </w:p>
    <w:p>
      <w:pPr>
        <w:pStyle w:val="00000b"/>
        <w:spacing w:before="0" w:beforeAutospacing="false" w:after="0" w:afterAutospacing="false" w:line="600" w:lineRule="exact"/>
        <w:ind w:firstLine="640" w:firstLineChars="200"/>
        <w:rPr>
          <w:rFonts w:hint="eastAsia" w:ascii="仿宋_GB2312" w:hAnsi="仿宋" w:eastAsia="仿宋_GB2312"/>
          <w:sz w:val="32"/>
          <w:szCs w:val="32"/>
        </w:rPr>
      </w:pPr>
      <w:r>
        <w:rPr>
          <w:rFonts w:hint="eastAsia" w:ascii="仿宋_GB2312" w:hAnsi="仿宋" w:eastAsia="仿宋_GB2312"/>
          <w:b/>
          <w:sz w:val="32"/>
          <w:szCs w:val="32"/>
        </w:rPr>
        <w:t>（三）其他支出—彩票公益金安排的支出</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万元，增长（下降）%，原因主要是</w:t>
      </w:r>
      <w:r>
        <w:rPr>
          <w:rFonts w:hint="eastAsia" w:ascii="仿宋_GB2312" w:hAnsi="仿宋" w:eastAsia="仿宋_GB2312"/>
          <w:sz w:val="32"/>
          <w:szCs w:val="32"/>
          <w:lang w:eastAsia="zh-CN"/>
        </w:rPr>
        <w:t>本单位无其他支出</w:t>
      </w:r>
      <w:r>
        <w:rPr>
          <w:rFonts w:hint="eastAsia" w:ascii="仿宋_GB2312" w:hAnsi="仿宋" w:eastAsia="仿宋_GB2312"/>
          <w:sz w:val="32"/>
          <w:szCs w:val="32"/>
        </w:rPr>
        <w:t>。</w:t>
      </w:r>
    </w:p>
    <w:p>
      <w:pPr>
        <w:pStyle w:val="00000b"/>
        <w:spacing w:before="0" w:beforeAutospacing="false" w:after="0" w:afterAutospacing="false" w:line="600" w:lineRule="exact"/>
        <w:ind w:firstLine="640" w:firstLineChars="200"/>
        <w:rPr>
          <w:rFonts w:hint="eastAsia" w:ascii="仿宋_GB2312" w:hAnsi="仿宋" w:eastAsia="仿宋_GB2312"/>
          <w:sz w:val="32"/>
          <w:szCs w:val="32"/>
        </w:rPr>
      </w:pPr>
    </w:p>
    <w:p>
      <w:pPr>
        <w:pStyle w:val="00000b"/>
        <w:spacing w:before="0" w:beforeAutospacing="false" w:after="0" w:afterAutospacing="false" w:line="600" w:lineRule="exact"/>
        <w:ind w:firstLine="640" w:firstLineChars="200"/>
        <w:rPr>
          <w:rFonts w:ascii="黑体" w:hAnsi="仿宋" w:eastAsia="黑体"/>
          <w:sz w:val="32"/>
          <w:szCs w:val="32"/>
        </w:rPr>
      </w:pPr>
      <w:r>
        <w:rPr>
          <w:rFonts w:hint="eastAsia" w:ascii="黑体" w:hAnsi="仿宋" w:eastAsia="黑体"/>
          <w:sz w:val="32"/>
          <w:szCs w:val="32"/>
        </w:rPr>
        <w:t>八、关于</w:t>
      </w:r>
      <w:r>
        <w:rPr>
          <w:rFonts w:hint="eastAsia" w:ascii="黑体" w:hAnsi="仿宋" w:eastAsia="黑体"/>
          <w:sz w:val="32"/>
          <w:szCs w:val="32"/>
          <w:lang w:eastAsia="zh-CN"/>
        </w:rPr>
        <w:t>2024</w:t>
      </w:r>
      <w:r>
        <w:rPr>
          <w:rFonts w:hint="eastAsia" w:ascii="黑体" w:hAnsi="仿宋" w:eastAsia="黑体"/>
          <w:sz w:val="32"/>
          <w:szCs w:val="32"/>
        </w:rPr>
        <w:t>年国有资本经营预算支出表的说明</w:t>
      </w:r>
    </w:p>
    <w:p>
      <w:pPr>
        <w:pStyle w:val="00000b"/>
        <w:spacing w:before="0" w:beforeAutospacing="false" w:after="0" w:afterAutospacing="false" w:line="600" w:lineRule="exact"/>
        <w:ind w:firstLine="640" w:firstLineChars="200"/>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年没有国有资本经营预算拨款收入，也没有使用国有资本经营预算拨款安排的支出。</w:t>
      </w:r>
    </w:p>
    <w:p>
      <w:pPr>
        <w:pStyle w:val="00000b"/>
        <w:spacing w:before="0" w:beforeAutospacing="false" w:after="0" w:afterAutospacing="false" w:line="600" w:lineRule="exact"/>
        <w:ind w:firstLine="640" w:firstLineChars="200"/>
        <w:rPr>
          <w:rFonts w:ascii="黑体" w:hAnsi="仿宋" w:eastAsia="黑体"/>
          <w:sz w:val="32"/>
          <w:szCs w:val="32"/>
        </w:rPr>
      </w:pPr>
      <w:r>
        <w:rPr>
          <w:rFonts w:hint="eastAsia" w:ascii="黑体" w:hAnsi="仿宋" w:eastAsia="黑体"/>
          <w:sz w:val="32"/>
          <w:szCs w:val="32"/>
        </w:rPr>
        <w:t>九、关于</w:t>
      </w:r>
      <w:r>
        <w:rPr>
          <w:rFonts w:hint="eastAsia" w:ascii="黑体" w:hAnsi="仿宋" w:eastAsia="黑体"/>
          <w:sz w:val="32"/>
          <w:szCs w:val="32"/>
          <w:lang w:eastAsia="zh-CN"/>
        </w:rPr>
        <w:t>2024</w:t>
      </w:r>
      <w:r>
        <w:rPr>
          <w:rFonts w:hint="eastAsia" w:ascii="黑体" w:hAnsi="仿宋" w:eastAsia="黑体"/>
          <w:sz w:val="32"/>
          <w:szCs w:val="32"/>
        </w:rPr>
        <w:t>年项目支出表的说明</w:t>
      </w:r>
    </w:p>
    <w:p>
      <w:pPr>
        <w:pStyle w:val="00000b"/>
        <w:spacing w:before="0" w:beforeAutospacing="false" w:after="0" w:afterAutospacing="false" w:line="600" w:lineRule="exact"/>
        <w:ind w:firstLine="640" w:firstLineChars="200"/>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年没有使用政府性基金预算拨款、国有资本经营预算拨款、财政专户管理资金和单位资金安排的项目支出。</w:t>
      </w:r>
    </w:p>
    <w:p>
      <w:pPr>
        <w:pStyle w:val="00000b"/>
        <w:spacing w:before="0" w:beforeAutospacing="false" w:after="0" w:afterAutospacing="false" w:line="600" w:lineRule="exact"/>
        <w:ind w:firstLine="640" w:firstLineChars="200"/>
        <w:rPr>
          <w:rFonts w:ascii="仿宋_GB2312" w:hAnsi="仿宋" w:eastAsia="仿宋_GB2312"/>
          <w:sz w:val="32"/>
          <w:szCs w:val="32"/>
        </w:rPr>
      </w:pPr>
      <w:r>
        <w:rPr>
          <w:rFonts w:hint="eastAsia" w:ascii="仿宋_GB2312" w:hAnsi="仿宋" w:eastAsia="仿宋_GB2312"/>
          <w:sz w:val="32"/>
          <w:szCs w:val="32"/>
          <w:lang w:eastAsia="zh-CN"/>
        </w:rPr>
        <w:t>濉溪县濉溪县卫生健康系统财务管理中心2024</w:t>
      </w:r>
      <w:r>
        <w:rPr>
          <w:rFonts w:hint="eastAsia" w:ascii="仿宋_GB2312" w:hAnsi="仿宋" w:eastAsia="仿宋_GB2312"/>
          <w:sz w:val="32"/>
          <w:szCs w:val="32"/>
        </w:rPr>
        <w:t>年预算共安排项目支出</w:t>
      </w:r>
      <w:r>
        <w:rPr>
          <w:rFonts w:hint="eastAsia" w:ascii="仿宋_GB2312" w:hAnsi="仿宋" w:eastAsia="仿宋_GB2312"/>
          <w:sz w:val="32"/>
          <w:szCs w:val="32"/>
          <w:lang w:val="en-US" w:eastAsia="zh-CN"/>
        </w:rPr>
        <w:t>8</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 xml:space="preserve">%。主要包括：本年财政拨款安排 </w:t>
      </w:r>
      <w:r>
        <w:rPr>
          <w:rFonts w:hint="eastAsia" w:ascii="仿宋_GB2312" w:hAnsi="仿宋" w:eastAsia="仿宋_GB2312"/>
          <w:sz w:val="32"/>
          <w:szCs w:val="32"/>
          <w:lang w:val="en-US" w:eastAsia="zh-CN"/>
        </w:rPr>
        <w:t>8</w:t>
      </w:r>
      <w:r>
        <w:rPr>
          <w:rFonts w:hint="eastAsia" w:ascii="仿宋_GB2312" w:hAnsi="仿宋" w:eastAsia="仿宋_GB2312"/>
          <w:sz w:val="32"/>
          <w:szCs w:val="32"/>
        </w:rPr>
        <w:t xml:space="preserve">万元（其中，一般公共预算拨款安排 </w:t>
      </w:r>
      <w:r>
        <w:rPr>
          <w:rFonts w:hint="eastAsia" w:ascii="仿宋_GB2312" w:hAnsi="仿宋" w:eastAsia="仿宋_GB2312"/>
          <w:sz w:val="32"/>
          <w:szCs w:val="32"/>
          <w:lang w:val="en-US" w:eastAsia="zh-CN"/>
        </w:rPr>
        <w:t>8</w:t>
      </w:r>
      <w:r>
        <w:rPr>
          <w:rFonts w:hint="eastAsia" w:ascii="仿宋_GB2312" w:hAnsi="仿宋" w:eastAsia="仿宋_GB2312"/>
          <w:sz w:val="32"/>
          <w:szCs w:val="32"/>
        </w:rPr>
        <w:t>万元，政府性基金预算拨款安排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万元，国有资本经营预算拨款安排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万元），财政拨款结转结余安排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 xml:space="preserve">万元（其中，一般公共预算拨款安排 </w:t>
      </w:r>
      <w:r>
        <w:rPr>
          <w:rFonts w:hint="eastAsia" w:ascii="仿宋_GB2312" w:hAnsi="仿宋" w:eastAsia="仿宋_GB2312"/>
          <w:sz w:val="32"/>
          <w:szCs w:val="32"/>
          <w:lang w:val="en-US" w:eastAsia="zh-CN"/>
        </w:rPr>
        <w:t>8</w:t>
      </w:r>
      <w:r>
        <w:rPr>
          <w:rFonts w:hint="eastAsia" w:ascii="仿宋_GB2312" w:hAnsi="仿宋" w:eastAsia="仿宋_GB2312"/>
          <w:sz w:val="32"/>
          <w:szCs w:val="32"/>
        </w:rPr>
        <w:t>万元，政府性基金预算拨款安排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万元，国有资本经营预算拨款安排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万元）、财政专户管理资金安排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万元和单位资金安排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w:t>
      </w:r>
    </w:p>
    <w:p>
      <w:pPr>
        <w:pStyle w:val="00000b"/>
        <w:spacing w:before="0" w:beforeAutospacing="false" w:after="0" w:afterAutospacing="false" w:line="600" w:lineRule="exact"/>
        <w:ind w:firstLine="640" w:firstLineChars="200"/>
        <w:rPr>
          <w:rFonts w:ascii="黑体" w:hAnsi="仿宋" w:eastAsia="黑体"/>
          <w:sz w:val="32"/>
          <w:szCs w:val="32"/>
        </w:rPr>
      </w:pPr>
      <w:r>
        <w:rPr>
          <w:rFonts w:hint="eastAsia" w:ascii="黑体" w:hAnsi="仿宋" w:eastAsia="黑体"/>
          <w:sz w:val="32"/>
          <w:szCs w:val="32"/>
        </w:rPr>
        <w:t>十、关于</w:t>
      </w:r>
      <w:r>
        <w:rPr>
          <w:rFonts w:hint="eastAsia" w:ascii="黑体" w:hAnsi="仿宋" w:eastAsia="黑体"/>
          <w:sz w:val="32"/>
          <w:szCs w:val="32"/>
          <w:lang w:eastAsia="zh-CN"/>
        </w:rPr>
        <w:t>2024</w:t>
      </w:r>
      <w:r>
        <w:rPr>
          <w:rFonts w:hint="eastAsia" w:ascii="黑体" w:hAnsi="仿宋" w:eastAsia="黑体"/>
          <w:sz w:val="32"/>
          <w:szCs w:val="32"/>
        </w:rPr>
        <w:t>年政府采购支出表的说明</w:t>
      </w:r>
    </w:p>
    <w:p>
      <w:pPr>
        <w:pStyle w:val="00000b"/>
        <w:spacing w:before="0" w:beforeAutospacing="false" w:after="0" w:afterAutospacing="false" w:line="600" w:lineRule="exact"/>
        <w:ind w:firstLine="640" w:firstLineChars="200"/>
        <w:outlineLvl w:val="0"/>
        <w:rPr>
          <w:rFonts w:ascii="仿宋_GB2312" w:hAnsi="仿宋" w:eastAsia="仿宋_GB2312"/>
          <w:sz w:val="32"/>
          <w:szCs w:val="32"/>
        </w:rPr>
      </w:pPr>
      <w:r>
        <w:rPr>
          <w:rFonts w:hint="eastAsia" w:ascii="仿宋_GB2312" w:hAnsi="仿宋" w:eastAsia="仿宋_GB2312"/>
          <w:sz w:val="32"/>
          <w:szCs w:val="32"/>
          <w:lang w:eastAsia="zh-CN"/>
        </w:rPr>
        <w:t>濉溪县卫生健康系统财务管理中心2024</w:t>
      </w:r>
      <w:r>
        <w:rPr>
          <w:rFonts w:hint="eastAsia" w:ascii="仿宋_GB2312" w:hAnsi="仿宋" w:eastAsia="仿宋_GB2312"/>
          <w:sz w:val="32"/>
          <w:szCs w:val="32"/>
        </w:rPr>
        <w:t>年没有使用一般公共预算拨款、政府性基金预算拨款、国有资本经营预算拨款、财政专户管理资金和单位资金安排的政府采购支出。</w:t>
      </w:r>
    </w:p>
    <w:p>
      <w:pPr>
        <w:pStyle w:val="00000b"/>
        <w:spacing w:before="0" w:beforeAutospacing="false" w:after="0" w:afterAutospacing="false" w:line="600" w:lineRule="exact"/>
        <w:ind w:firstLine="640" w:firstLineChars="200"/>
        <w:rPr>
          <w:rFonts w:ascii="黑体" w:hAnsi="仿宋" w:eastAsia="黑体"/>
          <w:sz w:val="32"/>
          <w:szCs w:val="32"/>
        </w:rPr>
      </w:pPr>
      <w:r>
        <w:rPr>
          <w:rFonts w:hint="eastAsia" w:ascii="黑体" w:hAnsi="仿宋" w:eastAsia="黑体"/>
          <w:sz w:val="32"/>
          <w:szCs w:val="32"/>
        </w:rPr>
        <w:t>十一、关于</w:t>
      </w:r>
      <w:r>
        <w:rPr>
          <w:rFonts w:hint="eastAsia" w:ascii="黑体" w:hAnsi="仿宋" w:eastAsia="黑体"/>
          <w:sz w:val="32"/>
          <w:szCs w:val="32"/>
          <w:lang w:eastAsia="zh-CN"/>
        </w:rPr>
        <w:t>2024</w:t>
      </w:r>
      <w:r>
        <w:rPr>
          <w:rFonts w:hint="eastAsia" w:ascii="黑体" w:hAnsi="仿宋" w:eastAsia="黑体"/>
          <w:sz w:val="32"/>
          <w:szCs w:val="32"/>
        </w:rPr>
        <w:t>年政府购买服务支出表的说明</w:t>
      </w:r>
    </w:p>
    <w:p>
      <w:pPr>
        <w:pStyle w:val="00000b"/>
        <w:spacing w:before="0" w:beforeAutospacing="false" w:after="0" w:afterAutospacing="false" w:line="600" w:lineRule="exact"/>
        <w:ind/>
        <w:outlineLvl w:val="0"/>
        <w:rPr>
          <w:rFonts w:ascii="楷体_GB2312" w:hAnsi="仿宋" w:eastAsia="楷体_GB2312" w:cs="Times New Roman"/>
          <w:color w:val="ff0000"/>
          <w:kern w:val="2"/>
          <w:sz w:val="32"/>
          <w:szCs w:val="32"/>
        </w:rPr>
      </w:pPr>
    </w:p>
    <w:p>
      <w:pPr>
        <w:pStyle w:val="00000b"/>
        <w:spacing w:before="0" w:beforeAutospacing="false" w:after="0" w:afterAutospacing="false" w:line="600" w:lineRule="exact"/>
        <w:ind w:firstLine="640" w:firstLineChars="200"/>
        <w:outlineLvl w:val="0"/>
        <w:rPr>
          <w:rFonts w:ascii="仿宋_GB2312" w:hAnsi="仿宋" w:eastAsia="仿宋_GB2312"/>
          <w:sz w:val="32"/>
          <w:szCs w:val="32"/>
        </w:rPr>
      </w:pPr>
      <w:r>
        <w:rPr>
          <w:rFonts w:hint="eastAsia" w:ascii="仿宋_GB2312" w:hAnsi="仿宋" w:eastAsia="仿宋_GB2312"/>
          <w:sz w:val="32"/>
          <w:szCs w:val="32"/>
          <w:lang w:eastAsia="zh-CN"/>
        </w:rPr>
        <w:t>濉溪县卫生健康系统财务管理中心2024</w:t>
      </w:r>
      <w:r>
        <w:rPr>
          <w:rFonts w:hint="eastAsia" w:ascii="仿宋_GB2312" w:hAnsi="仿宋" w:eastAsia="仿宋_GB2312"/>
          <w:sz w:val="32"/>
          <w:szCs w:val="32"/>
        </w:rPr>
        <w:t>年没有安排政府购买服务支出。</w:t>
      </w:r>
    </w:p>
    <w:p>
      <w:pPr>
        <w:pStyle w:val="000001"/>
        <w:spacing w:line="600" w:lineRule="exact"/>
        <w:ind w:firstLine="640" w:firstLineChars="200"/>
        <w:rPr>
          <w:rFonts w:ascii="黑体" w:hAnsi="黑体" w:eastAsia="黑体"/>
          <w:sz w:val="32"/>
          <w:szCs w:val="32"/>
        </w:rPr>
      </w:pPr>
      <w:r>
        <w:rPr>
          <w:rFonts w:hint="eastAsia" w:ascii="黑体" w:hAnsi="黑体" w:eastAsia="黑体"/>
          <w:sz w:val="32"/>
          <w:szCs w:val="32"/>
        </w:rPr>
        <w:t>十二、其他重要事项情况说明</w:t>
      </w: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（一）项目及绩效目标情况。</w:t>
      </w:r>
    </w:p>
    <w:p>
      <w:pPr>
        <w:pStyle w:val="000001"/>
        <w:spacing w:line="600" w:lineRule="exact"/>
        <w:ind w:firstLine="800" w:firstLineChars="250"/>
        <w:rPr>
          <w:rFonts w:ascii="仿宋_GB2312" w:hAnsi="楷体" w:eastAsia="仿宋_GB2312"/>
          <w:b/>
          <w:sz w:val="32"/>
          <w:szCs w:val="32"/>
        </w:rPr>
      </w:pPr>
      <w:r>
        <w:rPr>
          <w:rFonts w:hint="eastAsia" w:ascii="仿宋_GB2312" w:hAnsi="楷体" w:eastAsia="仿宋_GB2312"/>
          <w:b/>
          <w:sz w:val="32"/>
          <w:szCs w:val="32"/>
        </w:rPr>
        <w:t>1..“</w:t>
      </w:r>
      <w:r>
        <w:rPr>
          <w:rFonts w:hint="eastAsia" w:ascii="仿宋_GB2312" w:hAnsi="楷体" w:eastAsia="仿宋_GB2312"/>
          <w:b/>
          <w:sz w:val="32"/>
          <w:szCs w:val="32"/>
          <w:lang w:eastAsia="zh-CN"/>
        </w:rPr>
        <w:t>核算审核乡镇卫生院业务经费</w:t>
      </w:r>
      <w:r>
        <w:rPr>
          <w:rFonts w:hint="eastAsia" w:ascii="仿宋_GB2312" w:hAnsi="楷体" w:eastAsia="仿宋_GB2312"/>
          <w:b/>
          <w:sz w:val="32"/>
          <w:szCs w:val="32"/>
        </w:rPr>
        <w:t>”项目。</w:t>
      </w:r>
    </w:p>
    <w:p>
      <w:pPr>
        <w:pStyle w:val="000001"/>
        <w:spacing w:line="600" w:lineRule="exact"/>
        <w:ind w:firstLine="640" w:firstLineChars="200"/>
        <w:rPr>
          <w:rFonts w:hint="eastAsia" w:ascii="仿宋_GB2312" w:hAnsi="楷体" w:eastAsia="仿宋_GB2312"/>
          <w:sz w:val="32"/>
          <w:szCs w:val="32"/>
          <w:lang w:eastAsia="zh-CN"/>
        </w:rPr>
      </w:pPr>
      <w:r>
        <w:rPr>
          <w:rFonts w:hint="eastAsia" w:ascii="仿宋_GB2312" w:hAnsi="楷体" w:eastAsia="仿宋_GB2312"/>
          <w:sz w:val="32"/>
          <w:szCs w:val="32"/>
        </w:rPr>
        <w:t>（1）项目概述。</w:t>
      </w:r>
      <w:r>
        <w:rPr>
          <w:rFonts w:hint="eastAsia" w:ascii="仿宋_GB2312" w:hAnsi="楷体" w:eastAsia="仿宋_GB2312"/>
          <w:sz w:val="32"/>
          <w:szCs w:val="32"/>
          <w:lang w:eastAsia="zh-CN"/>
        </w:rPr>
        <w:t>保障基层医疗卫生机构国库支付管理，加强基层医疗卫生机构财务管理，保障财管中心正常运转</w:t>
      </w:r>
    </w:p>
    <w:p>
      <w:pPr>
        <w:pStyle w:val="000001"/>
        <w:spacing w:line="600" w:lineRule="exact"/>
        <w:ind w:firstLine="640" w:firstLineChars="200"/>
        <w:rPr>
          <w:rFonts w:hint="eastAsia" w:ascii="仿宋_GB2312" w:hAnsi="楷体" w:eastAsia="仿宋_GB2312"/>
          <w:sz w:val="32"/>
          <w:szCs w:val="32"/>
          <w:lang w:eastAsia="zh-CN"/>
        </w:rPr>
      </w:pPr>
      <w:r>
        <w:rPr>
          <w:rFonts w:hint="eastAsia" w:ascii="仿宋_GB2312" w:hAnsi="楷体" w:eastAsia="仿宋_GB2312"/>
          <w:sz w:val="32"/>
          <w:szCs w:val="32"/>
        </w:rPr>
        <w:t>（2）立项依据。</w:t>
      </w:r>
      <w:r>
        <w:rPr>
          <w:rFonts w:hint="eastAsia" w:ascii="仿宋_GB2312" w:hAnsi="楷体" w:eastAsia="仿宋_GB2312"/>
          <w:sz w:val="32"/>
          <w:szCs w:val="32"/>
          <w:lang w:eastAsia="zh-CN"/>
        </w:rPr>
        <w:t>专项业务费申请报告</w:t>
      </w:r>
    </w:p>
    <w:p>
      <w:pPr>
        <w:pStyle w:val="000001"/>
        <w:spacing w:line="600" w:lineRule="exact"/>
        <w:ind w:firstLine="640" w:firstLineChars="200"/>
        <w:rPr>
          <w:rFonts w:hint="eastAsia" w:ascii="仿宋_GB2312" w:hAnsi="楷体" w:eastAsia="仿宋_GB2312"/>
          <w:sz w:val="32"/>
          <w:szCs w:val="32"/>
          <w:lang w:eastAsia="zh-CN"/>
        </w:rPr>
      </w:pPr>
      <w:r>
        <w:rPr>
          <w:rFonts w:hint="eastAsia" w:ascii="仿宋_GB2312" w:hAnsi="楷体" w:eastAsia="仿宋_GB2312"/>
          <w:sz w:val="32"/>
          <w:szCs w:val="32"/>
        </w:rPr>
        <w:t>（3）实施主体。</w:t>
      </w:r>
      <w:r>
        <w:rPr>
          <w:rFonts w:hint="eastAsia" w:ascii="仿宋_GB2312" w:hAnsi="楷体" w:eastAsia="仿宋_GB2312"/>
          <w:sz w:val="32"/>
          <w:szCs w:val="32"/>
          <w:lang w:eastAsia="zh-CN"/>
        </w:rPr>
        <w:t>濉溪县卫生健康系统财务管理中心</w:t>
      </w:r>
    </w:p>
    <w:p>
      <w:pPr>
        <w:pStyle w:val="000001"/>
        <w:spacing w:line="600" w:lineRule="exact"/>
        <w:ind w:firstLine="640" w:firstLineChars="200"/>
        <w:rPr>
          <w:rFonts w:hint="eastAsia" w:ascii="仿宋_GB2312" w:hAnsi="仿宋" w:eastAsia="仿宋_GB2312"/>
          <w:sz w:val="32"/>
          <w:szCs w:val="32"/>
          <w:lang w:val="en-US" w:eastAsia="zh-CN"/>
        </w:rPr>
      </w:pPr>
      <w:r>
        <w:rPr>
          <w:rFonts w:hint="eastAsia" w:ascii="仿宋_GB2312" w:hAnsi="楷体" w:eastAsia="仿宋_GB2312"/>
          <w:sz w:val="32"/>
          <w:szCs w:val="32"/>
        </w:rPr>
        <w:t>（4）起止时间。</w:t>
      </w:r>
      <w:r>
        <w:rPr>
          <w:rFonts w:hint="eastAsia" w:ascii="仿宋_GB2312" w:hAnsi="仿宋" w:eastAsia="仿宋_GB2312"/>
          <w:sz w:val="32"/>
          <w:szCs w:val="32"/>
          <w:lang w:val="en-US" w:eastAsia="zh-CN"/>
        </w:rPr>
        <w:t>2024年1月1日至2024年12月31日</w:t>
      </w:r>
    </w:p>
    <w:p>
      <w:pPr>
        <w:pStyle w:val="000001"/>
        <w:spacing w:line="600" w:lineRule="exact"/>
        <w:ind w:firstLine="640" w:firstLineChars="200"/>
        <w:rPr>
          <w:rFonts w:hint="eastAsia" w:ascii="仿宋_GB2312" w:hAnsi="楷体" w:eastAsia="仿宋_GB2312"/>
          <w:sz w:val="32"/>
          <w:szCs w:val="32"/>
          <w:lang w:eastAsia="zh-CN"/>
        </w:rPr>
      </w:pPr>
      <w:r>
        <w:rPr>
          <w:rFonts w:hint="eastAsia" w:ascii="仿宋_GB2312" w:hAnsi="楷体" w:eastAsia="仿宋_GB2312"/>
          <w:sz w:val="32"/>
          <w:szCs w:val="32"/>
        </w:rPr>
        <w:t>（5）项目内容。</w:t>
      </w:r>
      <w:r>
        <w:rPr>
          <w:rFonts w:hint="eastAsia" w:ascii="仿宋_GB2312" w:hAnsi="楷体" w:eastAsia="仿宋_GB2312"/>
          <w:sz w:val="32"/>
          <w:szCs w:val="32"/>
          <w:lang w:eastAsia="zh-CN"/>
        </w:rPr>
        <w:t>保障基层医疗卫生机构国库支付管理，加强基层医疗卫生机构财务管理，保障财管中心正常运转</w:t>
      </w:r>
    </w:p>
    <w:p>
      <w:pPr>
        <w:pStyle w:val="000001"/>
        <w:spacing w:line="600" w:lineRule="exact"/>
        <w:ind w:firstLine="640" w:firstLineChars="200"/>
        <w:rPr>
          <w:rFonts w:hint="eastAsia" w:ascii="仿宋_GB2312" w:hAnsi="仿宋" w:eastAsia="仿宋_GB2312"/>
          <w:sz w:val="32"/>
          <w:szCs w:val="32"/>
          <w:lang w:val="en-US" w:eastAsia="zh-CN"/>
        </w:rPr>
      </w:pPr>
      <w:r>
        <w:rPr>
          <w:rFonts w:hint="eastAsia" w:ascii="仿宋_GB2312" w:hAnsi="楷体" w:eastAsia="仿宋_GB2312"/>
          <w:sz w:val="32"/>
          <w:szCs w:val="32"/>
        </w:rPr>
        <w:t>（6）年度预算安排。</w:t>
      </w:r>
      <w:r>
        <w:rPr>
          <w:rFonts w:hint="eastAsia" w:ascii="仿宋_GB2312" w:hAnsi="仿宋" w:eastAsia="仿宋_GB2312"/>
          <w:sz w:val="32"/>
          <w:szCs w:val="32"/>
          <w:lang w:val="en-US" w:eastAsia="zh-CN"/>
        </w:rPr>
        <w:t>2024年预算安排业务经费8万元</w:t>
      </w:r>
    </w:p>
    <w:p>
      <w:pPr>
        <w:pStyle w:val="000001"/>
        <w:spacing w:line="600" w:lineRule="exact"/>
        <w:ind w:firstLine="640" w:firstLineChars="200"/>
        <w:rPr>
          <w:rFonts w:ascii="仿宋_GB2312" w:hAnsi="楷体" w:eastAsia="仿宋_GB2312"/>
          <w:sz w:val="32"/>
          <w:szCs w:val="32"/>
        </w:rPr>
      </w:pPr>
      <w:r>
        <w:rPr>
          <w:rFonts w:hint="eastAsia" w:ascii="仿宋_GB2312" w:hAnsi="楷体" w:eastAsia="仿宋_GB2312"/>
          <w:sz w:val="32"/>
          <w:szCs w:val="32"/>
        </w:rPr>
        <w:t>（7）绩效目标。</w:t>
      </w:r>
      <w:r>
        <w:rPr>
          <w:rFonts w:hint="eastAsia" w:ascii="仿宋_GB2312" w:hAnsi="楷体" w:eastAsia="仿宋_GB2312"/>
          <w:sz w:val="32"/>
          <w:szCs w:val="32"/>
          <w:lang w:eastAsia="zh-CN"/>
        </w:rPr>
        <w:t>保障基层医疗卫生机构国库支付管理，加强基层医疗卫生机构财务管理，保障财管中心正常运转</w:t>
      </w:r>
    </w:p>
    <w:p>
      <w:pPr>
        <w:pStyle w:val="000001"/>
        <w:spacing w:line="600" w:lineRule="exact"/>
        <w:ind w:firstLine="640" w:firstLineChars="200"/>
        <w:rPr>
          <w:rFonts w:ascii="仿宋_GB2312" w:hAnsi="楷体" w:eastAsia="仿宋_GB2312"/>
          <w:sz w:val="32"/>
          <w:szCs w:val="32"/>
        </w:rPr>
      </w:pPr>
    </w:p>
    <w:tbl>
      <w:tblPr>
        <w:tblW w:w="0" w:type="auto"/>
        <w:tblInd w:w="-15" w:type="dxa"/>
        <w:tblLayout w:type="fixed"/>
        <w:tblCellMar>
          <w:top w:w="0" w:type="dxa"/>
          <w:left w:w="108" w:type="dxa"/>
          <w:bottom w:w="0" w:type="dxa"/>
          <w:right w:w="108" w:type="dxa"/>
        </w:tblCellMar>
      </w:tblPr>
      <w:tblGrid>
        <w:gridCol w:w="416"/>
        <w:gridCol w:w="820"/>
        <w:gridCol w:w="940"/>
        <w:gridCol w:w="2000"/>
        <w:gridCol w:w="860"/>
        <w:gridCol w:w="791"/>
        <w:gridCol w:w="889"/>
        <w:gridCol w:w="1040"/>
        <w:gridCol w:w="623"/>
        <w:gridCol w:w="641"/>
      </w:tblGrid>
      <w:tr>
        <w:trPr>
          <w:wBefore/>
          <w:trHeight w:val="360" w:hRule="atLeast"/>
        </w:trPr>
        <w:tc>
          <w:tcPr>
            <w:tcW w:w="9020" w:type="dxa"/>
            <w:gridSpan w:val="10"/>
            <w:tcBorders>
              <w:top w:val="nil"/>
              <w:left w:val="nil"/>
              <w:bottom w:val="nil"/>
              <w:right w:val="nil"/>
            </w:tcBorders>
            <w:textDirection w:val="lrTb"/>
            <w:vAlign w:val="center"/>
          </w:tcPr>
          <w:p>
            <w:pPr>
              <w:pStyle w:val="000001"/>
              <w:ind/>
              <w:rPr>
                <w:b/>
                <w:bCs/>
                <w:sz w:val="32"/>
                <w:szCs w:val="32"/>
              </w:rPr>
            </w:pPr>
          </w:p>
          <w:p>
            <w:pPr>
              <w:pStyle w:val="000001"/>
              <w:ind/>
              <w:jc w:val="center"/>
              <w:rPr>
                <w:rFonts w:ascii="宋体" w:hAnsi="宋体" w:cs="宋体"/>
                <w:b/>
                <w:bCs/>
                <w:sz w:val="32"/>
                <w:szCs w:val="32"/>
              </w:rPr>
            </w:pPr>
            <w:r>
              <w:rPr>
                <w:rFonts w:hint="eastAsia"/>
                <w:b/>
                <w:bCs/>
                <w:sz w:val="32"/>
                <w:szCs w:val="32"/>
              </w:rPr>
              <w:t>项目支出绩效目标表</w:t>
            </w:r>
          </w:p>
        </w:tc>
      </w:tr>
      <w:tr>
        <w:trPr>
          <w:wBefore/>
          <w:trHeight w:val="270" w:hRule="atLeast"/>
        </w:trPr>
        <w:tc>
          <w:tcPr>
            <w:tcW w:w="9020" w:type="dxa"/>
            <w:gridSpan w:val="10"/>
            <w:tcBorders>
              <w:top w:val="nil"/>
              <w:left w:val="nil"/>
              <w:bottom w:val="nil"/>
              <w:right w:val="nil"/>
            </w:tcBorders>
            <w:textDirection w:val="lrTb"/>
            <w:vAlign w:val="center"/>
          </w:tcPr>
          <w:p>
            <w:pPr>
              <w:pStyle w:val="000001"/>
              <w:ind/>
              <w:jc w:val="center"/>
              <w:rPr>
                <w:rFonts w:ascii="宋体" w:hAnsi="宋体" w:cs="宋体"/>
                <w:sz w:val="20"/>
                <w:szCs w:val="20"/>
              </w:rPr>
            </w:pPr>
            <w:r>
              <w:rPr>
                <w:rFonts w:hint="eastAsia"/>
                <w:sz w:val="20"/>
                <w:szCs w:val="20"/>
              </w:rPr>
              <w:t>（</w:t>
            </w:r>
            <w:r>
              <w:rPr>
                <w:rFonts w:hint="eastAsia"/>
                <w:sz w:val="20"/>
                <w:szCs w:val="20"/>
                <w:lang w:eastAsia="zh-CN"/>
              </w:rPr>
              <w:t>2024</w:t>
            </w:r>
            <w:r>
              <w:rPr>
                <w:rFonts w:hint="eastAsia"/>
                <w:sz w:val="20"/>
                <w:szCs w:val="20"/>
              </w:rPr>
              <w:t>年度）</w:t>
            </w:r>
          </w:p>
        </w:tc>
      </w:tr>
      <w:tr>
        <w:trPr>
          <w:wBefore/>
          <w:trHeight w:val="330" w:hRule="atLeast"/>
        </w:trPr>
        <w:tc>
          <w:tcPr>
            <w:tcW w:w="1236" w:type="dxa"/>
            <w:gridSpan w:val="2"/>
            <w:tcBorders>
              <w:top w:val="single" w:color="auto" w:sz="4" w:space="0"/>
              <w:left w:val="single" w:color="auto" w:sz="4" w:space="0"/>
              <w:bottom w:val="single" w:color="auto" w:sz="4" w:space="0"/>
              <w:right w:val="single" w:color="auto" w:sz="4" w:space="0"/>
            </w:tcBorders>
            <w:textDirection w:val="lrTb"/>
            <w:vAlign w:val="center"/>
          </w:tcPr>
          <w:p>
            <w:pPr>
              <w:pStyle w:val="000001"/>
              <w:ind/>
              <w:jc w:val="center"/>
              <w:rPr>
                <w:rFonts w:ascii="宋体" w:hAnsi="宋体" w:cs="宋体"/>
                <w:color w:val="000000"/>
                <w:sz w:val="20"/>
                <w:szCs w:val="20"/>
              </w:rPr>
            </w:pPr>
            <w:r>
              <w:rPr>
                <w:rFonts w:hint="eastAsia"/>
                <w:color w:val="000000"/>
                <w:sz w:val="20"/>
                <w:szCs w:val="20"/>
              </w:rPr>
              <w:t>项目名称</w:t>
            </w:r>
          </w:p>
        </w:tc>
        <w:tc>
          <w:tcPr>
            <w:tcW w:w="7784" w:type="dxa"/>
            <w:gridSpan w:val="8"/>
            <w:tcBorders>
              <w:top w:val="single" w:color="auto" w:sz="4" w:space="0"/>
              <w:left w:val="nil"/>
              <w:bottom w:val="single" w:color="auto" w:sz="4" w:space="0"/>
              <w:right w:val="single" w:color="000000" w:sz="4" w:space="0"/>
            </w:tcBorders>
            <w:textDirection w:val="lrTb"/>
            <w:vAlign w:val="center"/>
          </w:tcPr>
          <w:p>
            <w:pPr>
              <w:pStyle w:val="000001"/>
              <w:ind/>
              <w:jc w:val="center"/>
              <w:rPr>
                <w:rFonts w:ascii="宋体" w:hAnsi="宋体" w:cs="宋体"/>
                <w:color w:val="000000"/>
                <w:sz w:val="20"/>
                <w:szCs w:val="20"/>
              </w:rPr>
            </w:pPr>
            <w:r>
              <w:rPr>
                <w:rFonts w:hint="eastAsia" w:ascii="仿宋_GB2312" w:hAnsi="楷体" w:eastAsia="仿宋_GB2312"/>
                <w:b/>
                <w:sz w:val="32"/>
                <w:szCs w:val="32"/>
                <w:lang w:eastAsia="zh-CN"/>
              </w:rPr>
              <w:t>核算审核乡镇卫生院业务经费</w:t>
            </w:r>
            <w:r>
              <w:rPr>
                <w:rFonts w:hint="eastAsia"/>
                <w:color w:val="000000"/>
                <w:sz w:val="20"/>
                <w:szCs w:val="20"/>
              </w:rPr>
              <w:t>　</w:t>
            </w:r>
          </w:p>
        </w:tc>
      </w:tr>
      <w:tr>
        <w:trPr>
          <w:wBefore/>
          <w:trHeight w:val="330" w:hRule="atLeast"/>
        </w:trPr>
        <w:tc>
          <w:tcPr>
            <w:tcW w:w="1236" w:type="dxa"/>
            <w:gridSpan w:val="2"/>
            <w:tcBorders>
              <w:top w:val="single" w:color="auto" w:sz="4" w:space="0"/>
              <w:left w:val="single" w:color="auto" w:sz="4" w:space="0"/>
              <w:bottom w:val="single" w:color="auto" w:sz="4" w:space="0"/>
              <w:right w:val="single" w:color="auto" w:sz="4" w:space="0"/>
            </w:tcBorders>
            <w:textDirection w:val="lrTb"/>
            <w:vAlign w:val="center"/>
          </w:tcPr>
          <w:p>
            <w:pPr>
              <w:pStyle w:val="000001"/>
              <w:ind/>
              <w:jc w:val="center"/>
              <w:rPr>
                <w:rFonts w:ascii="宋体" w:hAnsi="宋体" w:cs="宋体"/>
                <w:color w:val="000000"/>
                <w:sz w:val="20"/>
                <w:szCs w:val="20"/>
              </w:rPr>
            </w:pPr>
            <w:r>
              <w:rPr>
                <w:rFonts w:hint="eastAsia"/>
                <w:color w:val="000000"/>
                <w:sz w:val="20"/>
                <w:szCs w:val="20"/>
              </w:rPr>
              <w:t>实施单位</w:t>
            </w:r>
          </w:p>
        </w:tc>
        <w:tc>
          <w:tcPr>
            <w:tcW w:w="7784" w:type="dxa"/>
            <w:gridSpan w:val="8"/>
            <w:tcBorders>
              <w:top w:val="single" w:color="auto" w:sz="4" w:space="0"/>
              <w:left w:val="nil"/>
              <w:bottom w:val="single" w:color="auto" w:sz="4" w:space="0"/>
              <w:right w:val="single" w:color="auto" w:sz="4" w:space="0"/>
            </w:tcBorders>
            <w:textDirection w:val="lrTb"/>
            <w:vAlign w:val="center"/>
          </w:tcPr>
          <w:p>
            <w:pPr>
              <w:pStyle w:val="000001"/>
              <w:ind/>
              <w:jc w:val="center"/>
              <w:rPr>
                <w:rFonts w:ascii="宋体" w:hAnsi="宋体" w:cs="宋体"/>
                <w:color w:val="000000"/>
                <w:sz w:val="20"/>
                <w:szCs w:val="20"/>
              </w:rPr>
            </w:pPr>
            <w:r>
              <w:rPr>
                <w:rFonts w:hint="eastAsia"/>
                <w:color w:val="000000"/>
                <w:sz w:val="22"/>
                <w:szCs w:val="22"/>
                <w:lang w:eastAsia="zh-CN"/>
              </w:rPr>
              <w:t>濉溪县卫生健康系统财务管理中心</w:t>
            </w:r>
            <w:r>
              <w:rPr>
                <w:rFonts w:hint="eastAsia"/>
                <w:color w:val="000000"/>
                <w:sz w:val="20"/>
                <w:szCs w:val="20"/>
              </w:rPr>
              <w:t>　</w:t>
            </w:r>
          </w:p>
        </w:tc>
      </w:tr>
      <w:tr>
        <w:trPr>
          <w:wBefore/>
          <w:trHeight w:val="330" w:hRule="atLeast"/>
        </w:trPr>
        <w:tc>
          <w:tcPr>
            <w:tcW w:w="1236" w:type="dxa"/>
            <w:gridSpan w:val="2"/>
            <w:tcBorders>
              <w:top w:val="single" w:color="auto" w:sz="4" w:space="0"/>
              <w:left w:val="single" w:color="auto" w:sz="4" w:space="0"/>
              <w:bottom w:val="single" w:color="auto" w:sz="4" w:space="0"/>
              <w:right w:val="single" w:color="auto" w:sz="4" w:space="0"/>
            </w:tcBorders>
            <w:textDirection w:val="lrTb"/>
            <w:vAlign w:val="center"/>
          </w:tcPr>
          <w:p>
            <w:pPr>
              <w:pStyle w:val="000001"/>
              <w:ind/>
              <w:jc w:val="center"/>
              <w:rPr>
                <w:rFonts w:ascii="宋体" w:hAnsi="宋体" w:cs="宋体"/>
                <w:color w:val="000000"/>
                <w:sz w:val="20"/>
                <w:szCs w:val="20"/>
              </w:rPr>
            </w:pPr>
            <w:r>
              <w:rPr>
                <w:rFonts w:hint="eastAsia"/>
                <w:color w:val="000000"/>
                <w:sz w:val="20"/>
                <w:szCs w:val="20"/>
              </w:rPr>
              <w:t>项目属性</w:t>
            </w:r>
          </w:p>
        </w:tc>
        <w:tc>
          <w:tcPr>
            <w:tcW w:w="7784" w:type="dxa"/>
            <w:gridSpan w:val="8"/>
            <w:tcBorders>
              <w:top w:val="single" w:color="auto" w:sz="4" w:space="0"/>
              <w:left w:val="nil"/>
              <w:bottom w:val="single" w:color="auto" w:sz="4" w:space="0"/>
              <w:right w:val="single" w:color="auto" w:sz="4" w:space="0"/>
            </w:tcBorders>
            <w:textDirection w:val="lrTb"/>
            <w:vAlign w:val="center"/>
          </w:tcPr>
          <w:p>
            <w:pPr>
              <w:pStyle w:val="000001"/>
              <w:ind/>
              <w:jc w:val="center"/>
              <w:rPr>
                <w:rFonts w:ascii="宋体" w:hAnsi="宋体" w:cs="宋体"/>
                <w:color w:val="000000"/>
                <w:sz w:val="20"/>
                <w:szCs w:val="20"/>
              </w:rPr>
            </w:pPr>
            <w:r>
              <w:rPr>
                <w:rFonts w:hint="eastAsia"/>
                <w:color w:val="000000"/>
                <w:sz w:val="24"/>
                <w:szCs w:val="24"/>
                <w:lang w:eastAsia="zh-CN"/>
              </w:rPr>
              <w:t>业务经费</w:t>
            </w:r>
            <w:r>
              <w:rPr>
                <w:rFonts w:hint="eastAsia"/>
                <w:color w:val="000000"/>
                <w:sz w:val="20"/>
                <w:szCs w:val="20"/>
              </w:rPr>
              <w:t>　</w:t>
            </w:r>
          </w:p>
        </w:tc>
      </w:tr>
      <w:tr>
        <w:trPr>
          <w:wBefore/>
          <w:trHeight w:val="330" w:hRule="atLeast"/>
        </w:trPr>
        <w:tc>
          <w:tcPr>
            <w:tcW w:w="2176" w:type="dxa"/>
            <w:gridSpan w:val="3"/>
            <w:vMerge w:val="restart"/>
            <w:tcBorders>
              <w:top w:val="single" w:color="auto" w:sz="4" w:space="0"/>
              <w:left w:val="single" w:color="auto" w:sz="4" w:space="0"/>
              <w:bottom w:val="single" w:color="000000" w:sz="4" w:space="0"/>
              <w:right w:val="single" w:color="000000" w:sz="4" w:space="0"/>
            </w:tcBorders>
            <w:textDirection w:val="lrTb"/>
            <w:vAlign w:val="center"/>
          </w:tcPr>
          <w:p>
            <w:pPr>
              <w:pStyle w:val="000001"/>
              <w:ind/>
              <w:jc w:val="center"/>
              <w:rPr>
                <w:rFonts w:ascii="宋体" w:hAnsi="宋体" w:cs="宋体"/>
                <w:sz w:val="20"/>
                <w:szCs w:val="20"/>
              </w:rPr>
            </w:pPr>
            <w:r>
              <w:rPr>
                <w:rFonts w:hint="eastAsia"/>
                <w:sz w:val="20"/>
                <w:szCs w:val="20"/>
              </w:rPr>
              <w:t>项目资金</w:t>
            </w:r>
            <w:r>
              <w:rPr>
                <w:rFonts w:hint="eastAsia"/>
                <w:sz w:val="20"/>
                <w:szCs w:val="20"/>
              </w:rPr>
              <w:br w:type="textWrapping" w:clear="all"/>
            </w:r>
            <w:r>
              <w:rPr>
                <w:rFonts w:hint="eastAsia"/>
                <w:sz w:val="20"/>
                <w:szCs w:val="20"/>
              </w:rPr>
              <w:t>（万元）</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中期资金总额：</w:t>
            </w:r>
          </w:p>
        </w:tc>
        <w:tc>
          <w:tcPr>
            <w:tcW w:w="1651" w:type="dxa"/>
            <w:gridSpan w:val="2"/>
            <w:tcBorders>
              <w:top w:val="single" w:color="auto" w:sz="4" w:space="0"/>
              <w:left w:val="nil"/>
              <w:bottom w:val="single" w:color="auto" w:sz="4" w:space="0"/>
              <w:right w:val="single" w:color="auto" w:sz="4" w:space="0"/>
            </w:tcBorders>
            <w:textDirection w:val="lrTb"/>
            <w:vAlign w:val="center"/>
          </w:tcPr>
          <w:p>
            <w:pPr>
              <w:pStyle w:val="000001"/>
              <w:ind/>
              <w:jc w:val="center"/>
              <w:rPr>
                <w:rFonts w:ascii="宋体" w:hAnsi="宋体" w:cs="宋体"/>
                <w:sz w:val="24"/>
                <w:szCs w:val="24"/>
              </w:rPr>
            </w:pPr>
            <w:r>
              <w:rPr>
                <w:rFonts w:hint="eastAsia"/>
                <w:sz w:val="24"/>
                <w:szCs w:val="24"/>
                <w:lang w:val="en-US" w:eastAsia="zh-CN"/>
              </w:rPr>
              <w:t>8</w:t>
            </w:r>
            <w:r>
              <w:rPr>
                <w:rFonts w:hint="eastAsia"/>
                <w:sz w:val="24"/>
                <w:szCs w:val="24"/>
              </w:rPr>
              <w:t>　</w:t>
            </w:r>
          </w:p>
        </w:tc>
        <w:tc>
          <w:tcPr>
            <w:tcW w:w="1929" w:type="dxa"/>
            <w:gridSpan w:val="2"/>
            <w:tcBorders>
              <w:top w:val="single" w:color="auto" w:sz="4" w:space="0"/>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年度资金总额：</w:t>
            </w:r>
          </w:p>
        </w:tc>
        <w:tc>
          <w:tcPr>
            <w:tcW w:w="1264" w:type="dxa"/>
            <w:gridSpan w:val="2"/>
            <w:tcBorders>
              <w:top w:val="single" w:color="auto" w:sz="4" w:space="0"/>
              <w:left w:val="nil"/>
              <w:bottom w:val="single" w:color="auto" w:sz="4" w:space="0"/>
              <w:right w:val="single" w:color="000000" w:sz="4" w:space="0"/>
            </w:tcBorders>
            <w:textDirection w:val="lrTb"/>
            <w:vAlign w:val="center"/>
          </w:tcPr>
          <w:p>
            <w:pPr>
              <w:pStyle w:val="000001"/>
              <w:ind/>
              <w:jc w:val="center"/>
              <w:rPr>
                <w:rFonts w:hint="eastAsia" w:ascii="宋体" w:hAnsi="宋体" w:eastAsia="宋体" w:cs="宋体"/>
                <w:sz w:val="24"/>
                <w:szCs w:val="24"/>
                <w:lang w:val="en-US" w:eastAsia="zh-CN"/>
              </w:rPr>
            </w:pPr>
            <w:r>
              <w:rPr>
                <w:rFonts w:hint="eastAsia"/>
                <w:sz w:val="24"/>
                <w:szCs w:val="24"/>
                <w:lang w:val="en-US" w:eastAsia="zh-CN"/>
              </w:rPr>
              <w:t>8</w:t>
            </w:r>
          </w:p>
        </w:tc>
      </w:tr>
      <w:tr>
        <w:trPr>
          <w:wBefore/>
          <w:trHeight w:val="330" w:hRule="atLeast"/>
        </w:trPr>
        <w:tc>
          <w:tcPr>
            <w:tcW w:w="2176" w:type="dxa"/>
            <w:gridSpan w:val="3"/>
            <w:vMerge w:val="continue"/>
            <w:tcBorders>
              <w:top w:val="single" w:color="auto" w:sz="4" w:space="0"/>
              <w:left w:val="single" w:color="auto" w:sz="4" w:space="0"/>
              <w:bottom w:val="single" w:color="000000" w:sz="4" w:space="0"/>
              <w:right w:val="single" w:color="000000"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其中：财政拨款</w:t>
            </w:r>
          </w:p>
        </w:tc>
        <w:tc>
          <w:tcPr>
            <w:tcW w:w="1651" w:type="dxa"/>
            <w:gridSpan w:val="2"/>
            <w:tcBorders>
              <w:top w:val="single" w:color="auto" w:sz="4" w:space="0"/>
              <w:left w:val="nil"/>
              <w:bottom w:val="single" w:color="auto" w:sz="4" w:space="0"/>
              <w:right w:val="single" w:color="auto" w:sz="4" w:space="0"/>
            </w:tcBorders>
            <w:textDirection w:val="lrTb"/>
            <w:vAlign w:val="center"/>
          </w:tcPr>
          <w:p>
            <w:pPr>
              <w:pStyle w:val="000001"/>
              <w:ind/>
              <w:jc w:val="center"/>
              <w:rPr>
                <w:rFonts w:ascii="宋体" w:hAnsi="宋体" w:cs="宋体"/>
                <w:sz w:val="24"/>
                <w:szCs w:val="24"/>
              </w:rPr>
            </w:pPr>
            <w:r>
              <w:rPr>
                <w:rFonts w:hint="eastAsia"/>
                <w:sz w:val="24"/>
                <w:szCs w:val="24"/>
                <w:lang w:val="en-US" w:eastAsia="zh-CN"/>
              </w:rPr>
              <w:t>8</w:t>
            </w:r>
            <w:r>
              <w:rPr>
                <w:rFonts w:hint="eastAsia"/>
                <w:sz w:val="24"/>
                <w:szCs w:val="24"/>
              </w:rPr>
              <w:t>　</w:t>
            </w:r>
          </w:p>
        </w:tc>
        <w:tc>
          <w:tcPr>
            <w:tcW w:w="1929" w:type="dxa"/>
            <w:gridSpan w:val="2"/>
            <w:tcBorders>
              <w:top w:val="single" w:color="auto" w:sz="4" w:space="0"/>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其中：财政拨款</w:t>
            </w:r>
          </w:p>
        </w:tc>
        <w:tc>
          <w:tcPr>
            <w:tcW w:w="1264" w:type="dxa"/>
            <w:gridSpan w:val="2"/>
            <w:tcBorders>
              <w:top w:val="single" w:color="auto" w:sz="4" w:space="0"/>
              <w:left w:val="nil"/>
              <w:bottom w:val="single" w:color="auto" w:sz="4" w:space="0"/>
              <w:right w:val="single" w:color="000000" w:sz="4" w:space="0"/>
            </w:tcBorders>
            <w:textDirection w:val="lrTb"/>
            <w:vAlign w:val="center"/>
          </w:tcPr>
          <w:p>
            <w:pPr>
              <w:pStyle w:val="000001"/>
              <w:ind/>
              <w:jc w:val="center"/>
              <w:rPr>
                <w:rFonts w:ascii="宋体" w:hAnsi="宋体" w:cs="宋体"/>
                <w:sz w:val="24"/>
                <w:szCs w:val="24"/>
              </w:rPr>
            </w:pPr>
            <w:r>
              <w:rPr>
                <w:rFonts w:hint="eastAsia"/>
                <w:sz w:val="24"/>
                <w:szCs w:val="24"/>
                <w:lang w:val="en-US" w:eastAsia="zh-CN"/>
              </w:rPr>
              <w:t>8</w:t>
            </w:r>
          </w:p>
        </w:tc>
      </w:tr>
      <w:tr>
        <w:trPr>
          <w:wBefore/>
          <w:trHeight w:val="330" w:hRule="atLeast"/>
        </w:trPr>
        <w:tc>
          <w:tcPr>
            <w:tcW w:w="2176" w:type="dxa"/>
            <w:gridSpan w:val="3"/>
            <w:vMerge w:val="continue"/>
            <w:tcBorders>
              <w:top w:val="single" w:color="auto" w:sz="4" w:space="0"/>
              <w:left w:val="single" w:color="auto" w:sz="4" w:space="0"/>
              <w:bottom w:val="single" w:color="000000" w:sz="4" w:space="0"/>
              <w:right w:val="single" w:color="000000"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其他资金</w:t>
            </w:r>
          </w:p>
        </w:tc>
        <w:tc>
          <w:tcPr>
            <w:tcW w:w="1651" w:type="dxa"/>
            <w:gridSpan w:val="2"/>
            <w:tcBorders>
              <w:top w:val="single" w:color="auto" w:sz="4" w:space="0"/>
              <w:left w:val="nil"/>
              <w:bottom w:val="single" w:color="auto" w:sz="4" w:space="0"/>
              <w:right w:val="single" w:color="000000"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c>
          <w:tcPr>
            <w:tcW w:w="1929" w:type="dxa"/>
            <w:gridSpan w:val="2"/>
            <w:tcBorders>
              <w:top w:val="single" w:color="auto" w:sz="4" w:space="0"/>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其他资金</w:t>
            </w:r>
          </w:p>
        </w:tc>
        <w:tc>
          <w:tcPr>
            <w:tcW w:w="1264" w:type="dxa"/>
            <w:gridSpan w:val="2"/>
            <w:tcBorders>
              <w:top w:val="single" w:color="auto" w:sz="4" w:space="0"/>
              <w:left w:val="nil"/>
              <w:bottom w:val="single" w:color="auto" w:sz="4" w:space="0"/>
              <w:right w:val="single" w:color="000000"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r>
      <w:tr>
        <w:trPr>
          <w:wBefore/>
          <w:trHeight w:val="330" w:hRule="atLeast"/>
        </w:trPr>
        <w:tc>
          <w:tcPr>
            <w:tcW w:w="416" w:type="dxa"/>
            <w:vMerge w:val="restart"/>
            <w:tcBorders>
              <w:top w:val="nil"/>
              <w:left w:val="single" w:color="auto" w:sz="4" w:space="0"/>
              <w:bottom w:val="single" w:color="auto" w:sz="4" w:space="0"/>
              <w:right w:val="single" w:color="auto" w:sz="4" w:space="0"/>
            </w:tcBorders>
            <w:textDirection w:val="lrTb"/>
            <w:vAlign w:val="center"/>
          </w:tcPr>
          <w:p>
            <w:pPr>
              <w:pStyle w:val="000001"/>
              <w:ind/>
              <w:jc w:val="center"/>
              <w:rPr>
                <w:rFonts w:hint="eastAsia" w:eastAsia="宋体"/>
                <w:sz w:val="20"/>
                <w:szCs w:val="20"/>
                <w:lang w:eastAsia="zh-CN"/>
              </w:rPr>
            </w:pPr>
            <w:r>
              <w:rPr>
                <w:rFonts w:hint="eastAsia"/>
                <w:sz w:val="20"/>
                <w:szCs w:val="20"/>
              </w:rPr>
              <w:t>总</w:t>
            </w:r>
          </w:p>
          <w:p>
            <w:pPr>
              <w:pStyle w:val="000001"/>
              <w:ind/>
              <w:jc w:val="center"/>
              <w:rPr>
                <w:rFonts w:hint="eastAsia" w:eastAsia="宋体"/>
                <w:sz w:val="20"/>
                <w:szCs w:val="20"/>
                <w:lang w:eastAsia="zh-CN"/>
              </w:rPr>
            </w:pPr>
            <w:r>
              <w:rPr>
                <w:rFonts w:hint="eastAsia"/>
                <w:sz w:val="20"/>
                <w:szCs w:val="20"/>
              </w:rPr>
              <w:t>体</w:t>
            </w:r>
          </w:p>
          <w:p>
            <w:pPr>
              <w:pStyle w:val="000001"/>
              <w:ind/>
              <w:jc w:val="center"/>
              <w:rPr>
                <w:rFonts w:hint="eastAsia" w:eastAsia="宋体"/>
                <w:sz w:val="20"/>
                <w:szCs w:val="20"/>
                <w:lang w:eastAsia="zh-CN"/>
              </w:rPr>
            </w:pPr>
            <w:r>
              <w:rPr>
                <w:rFonts w:hint="eastAsia"/>
                <w:sz w:val="20"/>
                <w:szCs w:val="20"/>
              </w:rPr>
              <w:t>目</w:t>
            </w:r>
          </w:p>
          <w:p>
            <w:pPr>
              <w:pStyle w:val="000001"/>
              <w:ind/>
              <w:jc w:val="center"/>
              <w:rPr>
                <w:rFonts w:ascii="宋体" w:hAnsi="宋体" w:cs="宋体"/>
                <w:sz w:val="20"/>
                <w:szCs w:val="20"/>
              </w:rPr>
            </w:pPr>
            <w:r>
              <w:rPr>
                <w:rFonts w:hint="eastAsia"/>
                <w:sz w:val="20"/>
                <w:szCs w:val="20"/>
              </w:rPr>
              <w:t>标</w:t>
            </w:r>
          </w:p>
        </w:tc>
        <w:tc>
          <w:tcPr>
            <w:tcW w:w="5411" w:type="dxa"/>
            <w:gridSpan w:val="5"/>
            <w:tcBorders>
              <w:top w:val="single" w:color="auto" w:sz="4" w:space="0"/>
              <w:left w:val="nil"/>
              <w:bottom w:val="single" w:color="auto" w:sz="4" w:space="0"/>
              <w:right w:val="nil"/>
            </w:tcBorders>
            <w:textDirection w:val="lrTb"/>
            <w:vAlign w:val="center"/>
          </w:tcPr>
          <w:p>
            <w:pPr>
              <w:pStyle w:val="000001"/>
              <w:ind/>
              <w:jc w:val="center"/>
              <w:rPr>
                <w:rFonts w:ascii="宋体" w:hAnsi="宋体" w:cs="宋体"/>
                <w:sz w:val="20"/>
                <w:szCs w:val="20"/>
              </w:rPr>
            </w:pPr>
            <w:r>
              <w:rPr>
                <w:rFonts w:hint="eastAsia"/>
                <w:sz w:val="20"/>
                <w:szCs w:val="20"/>
              </w:rPr>
              <w:t>中期目标（20××年—20××+n年）</w:t>
            </w:r>
          </w:p>
        </w:tc>
        <w:tc>
          <w:tcPr>
            <w:tcW w:w="3193" w:type="dxa"/>
            <w:gridSpan w:val="4"/>
            <w:tcBorders>
              <w:top w:val="single" w:color="auto" w:sz="4" w:space="0"/>
              <w:left w:val="single" w:color="auto" w:sz="4" w:space="0"/>
              <w:bottom w:val="single" w:color="auto" w:sz="4" w:space="0"/>
              <w:right w:val="single" w:color="000000" w:sz="4" w:space="0"/>
            </w:tcBorders>
            <w:textDirection w:val="lrTb"/>
            <w:vAlign w:val="center"/>
          </w:tcPr>
          <w:p>
            <w:pPr>
              <w:pStyle w:val="000001"/>
              <w:ind/>
              <w:jc w:val="center"/>
              <w:rPr>
                <w:rFonts w:ascii="宋体" w:hAnsi="宋体" w:cs="宋体"/>
                <w:sz w:val="20"/>
                <w:szCs w:val="20"/>
              </w:rPr>
            </w:pPr>
            <w:r>
              <w:rPr>
                <w:rFonts w:hint="eastAsia"/>
                <w:sz w:val="20"/>
                <w:szCs w:val="20"/>
              </w:rPr>
              <w:t>年度目标</w:t>
            </w:r>
          </w:p>
        </w:tc>
      </w:tr>
      <w:tr>
        <w:trPr>
          <w:wBefore/>
          <w:trHeight w:val="660" w:hRule="atLeast"/>
        </w:trPr>
        <w:tc>
          <w:tcPr>
            <w:tcW w:w="416"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5411" w:type="dxa"/>
            <w:gridSpan w:val="5"/>
            <w:tcBorders>
              <w:top w:val="single" w:color="auto" w:sz="4" w:space="0"/>
              <w:left w:val="nil"/>
              <w:bottom w:val="single" w:color="auto" w:sz="4" w:space="0"/>
              <w:right w:val="nil"/>
            </w:tcBorders>
            <w:textDirection w:val="lrTb"/>
            <w:vAlign w:val="top"/>
          </w:tcPr>
          <w:p>
            <w:pPr>
              <w:pStyle w:val="000001"/>
              <w:ind/>
              <w:rPr>
                <w:rFonts w:hint="eastAsia" w:eastAsia="宋体"/>
                <w:sz w:val="20"/>
                <w:szCs w:val="20"/>
                <w:lang w:eastAsia="zh-CN"/>
              </w:rPr>
            </w:pPr>
            <w:r>
              <w:rPr>
                <w:rFonts w:hint="eastAsia"/>
                <w:sz w:val="20"/>
                <w:szCs w:val="20"/>
              </w:rPr>
              <w:t xml:space="preserve">  目标1：</w:t>
            </w:r>
            <w:r>
              <w:rPr>
                <w:rFonts w:hint="eastAsia"/>
                <w:sz w:val="20"/>
                <w:szCs w:val="20"/>
                <w:lang w:eastAsia="zh-CN"/>
              </w:rPr>
              <w:t>核算审核乡镇卫生院业务，保障财管中心正常运转</w:t>
            </w:r>
            <w:r>
              <w:rPr>
                <w:rFonts w:hint="eastAsia"/>
                <w:sz w:val="20"/>
                <w:szCs w:val="20"/>
              </w:rPr>
              <w:br w:type="textWrapping" w:clear="all"/>
            </w:r>
            <w:r>
              <w:rPr>
                <w:rFonts w:hint="eastAsia"/>
                <w:sz w:val="20"/>
                <w:szCs w:val="20"/>
              </w:rPr>
              <w:t xml:space="preserve"> </w:t>
            </w:r>
            <w:r>
              <w:rPr>
                <w:rFonts w:hint="eastAsia"/>
                <w:sz w:val="20"/>
                <w:szCs w:val="20"/>
              </w:rPr>
              <w:br w:type="textWrapping" w:clear="all"/>
            </w:r>
          </w:p>
          <w:p>
            <w:pPr>
              <w:pStyle w:val="000001"/>
              <w:ind/>
              <w:rPr>
                <w:rFonts w:ascii="宋体" w:hAnsi="宋体" w:cs="宋体"/>
                <w:sz w:val="20"/>
                <w:szCs w:val="20"/>
              </w:rPr>
            </w:pPr>
          </w:p>
        </w:tc>
        <w:tc>
          <w:tcPr>
            <w:tcW w:w="3193" w:type="dxa"/>
            <w:gridSpan w:val="4"/>
            <w:tcBorders>
              <w:top w:val="single" w:color="auto" w:sz="4" w:space="0"/>
              <w:left w:val="single" w:color="auto" w:sz="4" w:space="0"/>
              <w:bottom w:val="single" w:color="auto" w:sz="4" w:space="0"/>
              <w:right w:val="single" w:color="000000" w:sz="4" w:space="0"/>
            </w:tcBorders>
            <w:textDirection w:val="lrTb"/>
            <w:vAlign w:val="top"/>
          </w:tcPr>
          <w:p>
            <w:pPr>
              <w:pStyle w:val="000001"/>
              <w:ind/>
              <w:rPr>
                <w:rFonts w:hint="eastAsia" w:eastAsia="宋体"/>
                <w:sz w:val="20"/>
                <w:szCs w:val="20"/>
                <w:lang w:eastAsia="zh-CN"/>
              </w:rPr>
            </w:pPr>
            <w:r>
              <w:rPr>
                <w:rFonts w:hint="eastAsia"/>
                <w:sz w:val="20"/>
                <w:szCs w:val="20"/>
              </w:rPr>
              <w:t xml:space="preserve"> </w:t>
            </w:r>
          </w:p>
          <w:p>
            <w:pPr>
              <w:pStyle w:val="000001"/>
              <w:ind/>
              <w:rPr>
                <w:rFonts w:hint="eastAsia" w:eastAsia="宋体"/>
                <w:sz w:val="20"/>
                <w:szCs w:val="20"/>
                <w:lang w:eastAsia="zh-CN"/>
              </w:rPr>
            </w:pPr>
            <w:r>
              <w:rPr>
                <w:rFonts w:hint="eastAsia"/>
                <w:sz w:val="20"/>
                <w:szCs w:val="20"/>
              </w:rPr>
              <w:t xml:space="preserve"> </w:t>
            </w:r>
          </w:p>
          <w:p>
            <w:pPr>
              <w:pStyle w:val="000001"/>
              <w:ind/>
              <w:rPr>
                <w:rFonts w:ascii="宋体" w:hAnsi="宋体" w:cs="宋体"/>
                <w:sz w:val="20"/>
                <w:szCs w:val="20"/>
              </w:rPr>
            </w:pPr>
          </w:p>
        </w:tc>
      </w:tr>
      <w:tr>
        <w:trPr>
          <w:wBefore/>
          <w:trHeight w:val="830" w:hRule="atLeast"/>
        </w:trPr>
        <w:tc>
          <w:tcPr>
            <w:tcW w:w="416"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hint="eastAsia" w:eastAsia="宋体"/>
                <w:sz w:val="20"/>
                <w:szCs w:val="20"/>
                <w:lang w:eastAsia="zh-CN"/>
              </w:rPr>
            </w:pPr>
            <w:r>
              <w:rPr>
                <w:rFonts w:hint="eastAsia"/>
                <w:sz w:val="20"/>
                <w:szCs w:val="20"/>
              </w:rPr>
              <w:t>绩</w:t>
            </w:r>
          </w:p>
          <w:p>
            <w:pPr>
              <w:pStyle w:val="000001"/>
              <w:ind/>
              <w:jc w:val="center"/>
              <w:rPr>
                <w:rFonts w:hint="eastAsia" w:eastAsia="宋体"/>
                <w:sz w:val="20"/>
                <w:szCs w:val="20"/>
                <w:lang w:eastAsia="zh-CN"/>
              </w:rPr>
            </w:pPr>
            <w:r>
              <w:rPr>
                <w:rFonts w:hint="eastAsia"/>
                <w:sz w:val="20"/>
                <w:szCs w:val="20"/>
              </w:rPr>
              <w:t>效</w:t>
            </w:r>
          </w:p>
          <w:p>
            <w:pPr>
              <w:pStyle w:val="000001"/>
              <w:ind/>
              <w:jc w:val="center"/>
              <w:rPr>
                <w:rFonts w:hint="eastAsia" w:eastAsia="宋体"/>
                <w:sz w:val="20"/>
                <w:szCs w:val="20"/>
                <w:lang w:eastAsia="zh-CN"/>
              </w:rPr>
            </w:pPr>
            <w:r>
              <w:rPr>
                <w:rFonts w:hint="eastAsia"/>
                <w:sz w:val="20"/>
                <w:szCs w:val="20"/>
              </w:rPr>
              <w:t>指</w:t>
            </w:r>
          </w:p>
          <w:p>
            <w:pPr>
              <w:pStyle w:val="000001"/>
              <w:ind/>
              <w:jc w:val="center"/>
              <w:rPr>
                <w:rFonts w:ascii="宋体" w:hAnsi="宋体" w:cs="宋体"/>
                <w:sz w:val="20"/>
                <w:szCs w:val="20"/>
              </w:rPr>
            </w:pPr>
            <w:r>
              <w:rPr>
                <w:rFonts w:hint="eastAsia"/>
                <w:sz w:val="20"/>
                <w:szCs w:val="20"/>
              </w:rPr>
              <w:t>标</w:t>
            </w:r>
          </w:p>
        </w:tc>
        <w:tc>
          <w:tcPr>
            <w:tcW w:w="820" w:type="dxa"/>
            <w:tcBorders>
              <w:top w:val="nil"/>
              <w:left w:val="nil"/>
              <w:bottom w:val="nil"/>
              <w:right w:val="single" w:color="auto" w:sz="4" w:space="0"/>
            </w:tcBorders>
            <w:textDirection w:val="lrTb"/>
            <w:vAlign w:val="center"/>
          </w:tcPr>
          <w:p>
            <w:pPr>
              <w:pStyle w:val="000001"/>
              <w:ind/>
              <w:jc w:val="center"/>
              <w:rPr>
                <w:rFonts w:hint="eastAsia" w:eastAsia="宋体"/>
                <w:sz w:val="20"/>
                <w:szCs w:val="20"/>
                <w:lang w:eastAsia="zh-CN"/>
              </w:rPr>
            </w:pPr>
            <w:r>
              <w:rPr>
                <w:rFonts w:hint="eastAsia"/>
                <w:sz w:val="20"/>
                <w:szCs w:val="20"/>
              </w:rPr>
              <w:t>一级</w:t>
            </w:r>
          </w:p>
          <w:p>
            <w:pPr>
              <w:pStyle w:val="000001"/>
              <w:ind/>
              <w:jc w:val="center"/>
              <w:rPr>
                <w:rFonts w:ascii="宋体" w:hAnsi="宋体" w:cs="宋体"/>
                <w:sz w:val="20"/>
                <w:szCs w:val="20"/>
              </w:rPr>
            </w:pPr>
            <w:r>
              <w:rPr>
                <w:rFonts w:hint="eastAsia"/>
                <w:sz w:val="20"/>
                <w:szCs w:val="20"/>
              </w:rPr>
              <w:t>指标</w:t>
            </w:r>
          </w:p>
        </w:tc>
        <w:tc>
          <w:tcPr>
            <w:tcW w:w="940"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二级</w:t>
            </w:r>
          </w:p>
          <w:p>
            <w:pPr>
              <w:pStyle w:val="000001"/>
              <w:ind/>
              <w:jc w:val="center"/>
              <w:rPr>
                <w:rFonts w:ascii="宋体" w:hAnsi="宋体" w:cs="宋体"/>
                <w:sz w:val="20"/>
                <w:szCs w:val="20"/>
              </w:rPr>
            </w:pPr>
            <w:r>
              <w:rPr>
                <w:rFonts w:hint="eastAsia"/>
                <w:sz w:val="20"/>
                <w:szCs w:val="20"/>
              </w:rPr>
              <w:t>指标</w:t>
            </w:r>
          </w:p>
        </w:tc>
        <w:tc>
          <w:tcPr>
            <w:tcW w:w="200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三级指标</w:t>
            </w:r>
          </w:p>
        </w:tc>
        <w:tc>
          <w:tcPr>
            <w:tcW w:w="86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指标值</w:t>
            </w:r>
          </w:p>
        </w:tc>
        <w:tc>
          <w:tcPr>
            <w:tcW w:w="79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绩效标准</w:t>
            </w:r>
          </w:p>
        </w:tc>
        <w:tc>
          <w:tcPr>
            <w:tcW w:w="889"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二级</w:t>
            </w:r>
          </w:p>
          <w:p>
            <w:pPr>
              <w:pStyle w:val="000001"/>
              <w:ind/>
              <w:jc w:val="center"/>
              <w:rPr>
                <w:rFonts w:ascii="宋体" w:hAnsi="宋体" w:cs="宋体"/>
                <w:sz w:val="20"/>
                <w:szCs w:val="20"/>
              </w:rPr>
            </w:pPr>
            <w:r>
              <w:rPr>
                <w:rFonts w:hint="eastAsia"/>
                <w:sz w:val="20"/>
                <w:szCs w:val="20"/>
              </w:rPr>
              <w:t>指标</w:t>
            </w:r>
          </w:p>
        </w:tc>
        <w:tc>
          <w:tcPr>
            <w:tcW w:w="1040" w:type="dxa"/>
            <w:tcBorders>
              <w:top w:val="nil"/>
              <w:left w:val="nil"/>
              <w:bottom w:val="single" w:color="auto" w:sz="4" w:space="0"/>
              <w:right w:val="nil"/>
            </w:tcBorders>
            <w:textDirection w:val="lrTb"/>
            <w:vAlign w:val="center"/>
          </w:tcPr>
          <w:p>
            <w:pPr>
              <w:pStyle w:val="000001"/>
              <w:ind/>
              <w:jc w:val="center"/>
              <w:rPr>
                <w:rFonts w:ascii="宋体" w:hAnsi="宋体" w:cs="宋体"/>
                <w:sz w:val="20"/>
                <w:szCs w:val="20"/>
              </w:rPr>
            </w:pPr>
            <w:r>
              <w:rPr>
                <w:rFonts w:hint="eastAsia"/>
                <w:sz w:val="20"/>
                <w:szCs w:val="20"/>
              </w:rPr>
              <w:t>三级指标</w:t>
            </w:r>
          </w:p>
        </w:tc>
        <w:tc>
          <w:tcPr>
            <w:tcW w:w="623" w:type="dxa"/>
            <w:tcBorders>
              <w:top w:val="nil"/>
              <w:left w:val="single" w:color="auto" w:sz="4" w:space="0"/>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指标值</w:t>
            </w:r>
          </w:p>
        </w:tc>
        <w:tc>
          <w:tcPr>
            <w:tcW w:w="64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绩效标准</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restart"/>
            <w:tcBorders>
              <w:top w:val="single" w:color="auto" w:sz="4" w:space="0"/>
              <w:left w:val="single" w:color="auto" w:sz="4" w:space="0"/>
              <w:bottom w:val="single" w:color="auto" w:sz="4" w:space="0"/>
              <w:right w:val="single" w:color="auto" w:sz="4" w:space="0"/>
            </w:tcBorders>
            <w:textDirection w:val="lrTb"/>
            <w:vAlign w:val="center"/>
          </w:tcPr>
          <w:p>
            <w:pPr>
              <w:pStyle w:val="000001"/>
              <w:ind/>
              <w:jc w:val="center"/>
              <w:rPr>
                <w:rFonts w:hint="eastAsia" w:eastAsia="宋体"/>
                <w:sz w:val="20"/>
                <w:szCs w:val="20"/>
                <w:lang w:eastAsia="zh-CN"/>
              </w:rPr>
            </w:pPr>
            <w:r>
              <w:rPr>
                <w:rFonts w:hint="eastAsia"/>
                <w:sz w:val="20"/>
                <w:szCs w:val="20"/>
              </w:rPr>
              <w:t>产</w:t>
            </w:r>
          </w:p>
          <w:p>
            <w:pPr>
              <w:pStyle w:val="000001"/>
              <w:ind/>
              <w:jc w:val="center"/>
              <w:rPr>
                <w:rFonts w:hint="eastAsia" w:eastAsia="宋体"/>
                <w:sz w:val="20"/>
                <w:szCs w:val="20"/>
                <w:lang w:eastAsia="zh-CN"/>
              </w:rPr>
            </w:pPr>
            <w:r>
              <w:rPr>
                <w:rFonts w:hint="eastAsia"/>
                <w:sz w:val="20"/>
                <w:szCs w:val="20"/>
              </w:rPr>
              <w:t>出</w:t>
            </w:r>
          </w:p>
          <w:p>
            <w:pPr>
              <w:pStyle w:val="000001"/>
              <w:ind/>
              <w:jc w:val="center"/>
              <w:rPr>
                <w:rFonts w:hint="eastAsia" w:eastAsia="宋体"/>
                <w:sz w:val="20"/>
                <w:szCs w:val="20"/>
                <w:lang w:eastAsia="zh-CN"/>
              </w:rPr>
            </w:pPr>
            <w:r>
              <w:rPr>
                <w:rFonts w:hint="eastAsia"/>
                <w:sz w:val="20"/>
                <w:szCs w:val="20"/>
              </w:rPr>
              <w:t>指</w:t>
            </w:r>
          </w:p>
          <w:p>
            <w:pPr>
              <w:pStyle w:val="000001"/>
              <w:ind/>
              <w:jc w:val="center"/>
              <w:rPr>
                <w:rFonts w:ascii="宋体" w:hAnsi="宋体" w:cs="宋体"/>
                <w:sz w:val="20"/>
                <w:szCs w:val="20"/>
              </w:rPr>
            </w:pPr>
            <w:r>
              <w:rPr>
                <w:rFonts w:hint="eastAsia"/>
                <w:sz w:val="20"/>
                <w:szCs w:val="20"/>
              </w:rPr>
              <w:t>标</w:t>
            </w: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绩</w:t>
            </w:r>
            <w:r>
              <w:rPr>
                <w:rFonts w:hint="eastAsia"/>
                <w:sz w:val="20"/>
                <w:szCs w:val="20"/>
              </w:rPr>
              <w:br w:type="textWrapping" w:clear="all"/>
            </w:r>
            <w:r>
              <w:rPr>
                <w:rFonts w:hint="eastAsia"/>
                <w:sz w:val="20"/>
                <w:szCs w:val="20"/>
              </w:rPr>
              <w:t>效</w:t>
            </w:r>
            <w:r>
              <w:rPr>
                <w:rFonts w:hint="eastAsia"/>
                <w:sz w:val="20"/>
                <w:szCs w:val="20"/>
              </w:rPr>
              <w:br w:type="textWrapping" w:clear="all"/>
            </w:r>
            <w:r>
              <w:rPr>
                <w:rFonts w:hint="eastAsia"/>
                <w:sz w:val="20"/>
                <w:szCs w:val="20"/>
              </w:rPr>
              <w:t>指</w:t>
            </w:r>
            <w:r>
              <w:rPr>
                <w:rFonts w:hint="eastAsia"/>
                <w:sz w:val="20"/>
                <w:szCs w:val="20"/>
              </w:rPr>
              <w:br w:type="textWrapping" w:clear="all"/>
            </w:r>
            <w:r>
              <w:rPr>
                <w:rFonts w:hint="eastAsia"/>
                <w:sz w:val="20"/>
                <w:szCs w:val="20"/>
              </w:rPr>
              <w:t>标</w:t>
            </w:r>
          </w:p>
        </w:tc>
        <w:tc>
          <w:tcPr>
            <w:tcW w:w="200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一级</w:t>
            </w:r>
            <w:r>
              <w:rPr>
                <w:rFonts w:hint="eastAsia"/>
                <w:sz w:val="20"/>
                <w:szCs w:val="20"/>
              </w:rPr>
              <w:br w:type="textWrapping" w:clear="all"/>
            </w:r>
            <w:r>
              <w:rPr>
                <w:rFonts w:hint="eastAsia"/>
                <w:sz w:val="20"/>
                <w:szCs w:val="20"/>
              </w:rPr>
              <w:t>指标</w:t>
            </w:r>
          </w:p>
        </w:tc>
        <w:tc>
          <w:tcPr>
            <w:tcW w:w="860"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二级</w:t>
            </w:r>
          </w:p>
          <w:p>
            <w:pPr>
              <w:pStyle w:val="000001"/>
              <w:ind/>
              <w:jc w:val="center"/>
              <w:rPr>
                <w:rFonts w:hint="eastAsia" w:ascii="宋体" w:hAnsi="宋体" w:eastAsia="宋体" w:cs="宋体"/>
                <w:sz w:val="20"/>
                <w:szCs w:val="20"/>
                <w:lang w:val="en-US" w:eastAsia="zh-CN"/>
              </w:rPr>
            </w:pPr>
            <w:r>
              <w:rPr>
                <w:rFonts w:hint="eastAsia"/>
                <w:sz w:val="20"/>
                <w:szCs w:val="20"/>
              </w:rPr>
              <w:t>指标</w:t>
            </w:r>
          </w:p>
        </w:tc>
        <w:tc>
          <w:tcPr>
            <w:tcW w:w="79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三级指标</w:t>
            </w:r>
          </w:p>
        </w:tc>
        <w:tc>
          <w:tcPr>
            <w:tcW w:w="889" w:type="dxa"/>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指标值</w:t>
            </w:r>
          </w:p>
        </w:tc>
        <w:tc>
          <w:tcPr>
            <w:tcW w:w="104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绩效标准</w:t>
            </w:r>
          </w:p>
        </w:tc>
        <w:tc>
          <w:tcPr>
            <w:tcW w:w="623"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二级</w:t>
            </w:r>
          </w:p>
          <w:p>
            <w:pPr>
              <w:pStyle w:val="000001"/>
              <w:ind/>
              <w:jc w:val="center"/>
              <w:rPr>
                <w:rFonts w:ascii="宋体" w:hAnsi="宋体" w:cs="宋体"/>
                <w:sz w:val="20"/>
                <w:szCs w:val="20"/>
              </w:rPr>
            </w:pPr>
            <w:r>
              <w:rPr>
                <w:rFonts w:hint="eastAsia"/>
                <w:sz w:val="20"/>
                <w:szCs w:val="20"/>
              </w:rPr>
              <w:t>指标</w:t>
            </w:r>
          </w:p>
        </w:tc>
        <w:tc>
          <w:tcPr>
            <w:tcW w:w="64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三级指标</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vMerge w:val="restart"/>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产</w:t>
            </w:r>
            <w:r>
              <w:rPr>
                <w:rFonts w:hint="eastAsia"/>
                <w:sz w:val="20"/>
                <w:szCs w:val="20"/>
              </w:rPr>
              <w:br w:type="textWrapping" w:clear="all"/>
            </w:r>
            <w:r>
              <w:rPr>
                <w:rFonts w:hint="eastAsia"/>
                <w:sz w:val="20"/>
                <w:szCs w:val="20"/>
              </w:rPr>
              <w:t>出</w:t>
            </w:r>
            <w:r>
              <w:rPr>
                <w:rFonts w:hint="eastAsia"/>
                <w:sz w:val="20"/>
                <w:szCs w:val="20"/>
              </w:rPr>
              <w:br w:type="textWrapping" w:clear="all"/>
            </w:r>
            <w:r>
              <w:rPr>
                <w:rFonts w:hint="eastAsia"/>
                <w:sz w:val="20"/>
                <w:szCs w:val="20"/>
              </w:rPr>
              <w:t>指</w:t>
            </w:r>
            <w:r>
              <w:rPr>
                <w:rFonts w:hint="eastAsia"/>
                <w:sz w:val="20"/>
                <w:szCs w:val="20"/>
              </w:rPr>
              <w:br w:type="textWrapping" w:clear="all"/>
            </w:r>
            <w:r>
              <w:rPr>
                <w:rFonts w:hint="eastAsia"/>
                <w:sz w:val="20"/>
                <w:szCs w:val="20"/>
              </w:rPr>
              <w:t>标</w:t>
            </w:r>
          </w:p>
        </w:tc>
        <w:tc>
          <w:tcPr>
            <w:tcW w:w="860" w:type="dxa"/>
            <w:vMerge w:val="restart"/>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数量</w:t>
            </w:r>
          </w:p>
          <w:p>
            <w:pPr>
              <w:pStyle w:val="000001"/>
              <w:ind/>
              <w:jc w:val="center"/>
              <w:rPr>
                <w:rFonts w:ascii="宋体" w:hAnsi="宋体" w:cs="宋体"/>
                <w:sz w:val="20"/>
                <w:szCs w:val="20"/>
              </w:rPr>
            </w:pPr>
            <w:r>
              <w:rPr>
                <w:rFonts w:hint="eastAsia"/>
                <w:sz w:val="20"/>
                <w:szCs w:val="20"/>
              </w:rPr>
              <w:t>指标</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核算审核乡镇卫生院业务</w:t>
            </w:r>
          </w:p>
        </w:tc>
        <w:tc>
          <w:tcPr>
            <w:tcW w:w="889" w:type="dxa"/>
            <w:tcBorders>
              <w:top w:val="nil"/>
              <w:left w:val="single" w:color="auto" w:sz="4" w:space="0"/>
              <w:bottom w:val="single" w:color="000000"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val="en-US" w:eastAsia="zh-CN"/>
              </w:rPr>
              <w:t>8万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23" w:type="dxa"/>
            <w:vMerge w:val="restart"/>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数量</w:t>
            </w:r>
          </w:p>
          <w:p>
            <w:pPr>
              <w:pStyle w:val="000001"/>
              <w:ind/>
              <w:jc w:val="center"/>
              <w:rPr>
                <w:rFonts w:ascii="宋体" w:hAnsi="宋体" w:cs="宋体"/>
                <w:sz w:val="20"/>
                <w:szCs w:val="20"/>
              </w:rPr>
            </w:pPr>
            <w:r>
              <w:rPr>
                <w:rFonts w:hint="eastAsia"/>
                <w:sz w:val="20"/>
                <w:szCs w:val="20"/>
              </w:rPr>
              <w:t>指标</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核算审核乡镇卫生院业务</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vMerge w:val="continue"/>
            <w:tcBorders>
              <w:top w:val="nil"/>
              <w:left w:val="nil"/>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860" w:type="dxa"/>
            <w:vMerge w:val="continue"/>
            <w:tcBorders>
              <w:top w:val="nil"/>
              <w:left w:val="nil"/>
              <w:bottom w:val="single" w:color="auto" w:sz="4" w:space="0"/>
              <w:right w:val="single" w:color="auto" w:sz="4" w:space="0"/>
            </w:tcBorders>
            <w:textDirection w:val="lrTb"/>
            <w:vAlign w:val="center"/>
          </w:tcPr>
          <w:p>
            <w:pPr>
              <w:pStyle w:val="000001"/>
              <w:rPr>
                <w:rFonts w:hint="eastAsia" w:ascii="宋体" w:hAnsi="宋体" w:eastAsia="宋体" w:cs="宋体"/>
                <w:sz w:val="20"/>
                <w:szCs w:val="20"/>
                <w:lang w:eastAsia="zh-CN"/>
              </w:rPr>
            </w:pP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889" w:type="dxa"/>
            <w:tcBorders>
              <w:top w:val="nil"/>
              <w:left w:val="single" w:color="auto" w:sz="4" w:space="0"/>
              <w:bottom w:val="single" w:color="000000"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23" w:type="dxa"/>
            <w:vMerge w:val="continue"/>
            <w:tcBorders>
              <w:top w:val="nil"/>
              <w:left w:val="nil"/>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vMerge w:val="continue"/>
            <w:tcBorders>
              <w:top w:val="nil"/>
              <w:left w:val="nil"/>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860"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质量</w:t>
            </w:r>
          </w:p>
          <w:p>
            <w:pPr>
              <w:pStyle w:val="000001"/>
              <w:ind/>
              <w:jc w:val="center"/>
              <w:rPr>
                <w:rFonts w:ascii="宋体" w:hAnsi="宋体" w:cs="宋体"/>
                <w:sz w:val="20"/>
                <w:szCs w:val="20"/>
              </w:rPr>
            </w:pPr>
            <w:r>
              <w:rPr>
                <w:rFonts w:hint="eastAsia"/>
                <w:sz w:val="20"/>
                <w:szCs w:val="20"/>
              </w:rPr>
              <w:t>指标</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经费支出合规性</w:t>
            </w:r>
          </w:p>
        </w:tc>
        <w:tc>
          <w:tcPr>
            <w:tcW w:w="889" w:type="dxa"/>
            <w:tcBorders>
              <w:top w:val="nil"/>
              <w:left w:val="single" w:color="auto" w:sz="4" w:space="0"/>
              <w:bottom w:val="single" w:color="000000"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eastAsia="zh-CN"/>
              </w:rPr>
              <w:t>定性</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合规</w:t>
            </w:r>
          </w:p>
        </w:tc>
        <w:tc>
          <w:tcPr>
            <w:tcW w:w="623"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质量</w:t>
            </w:r>
          </w:p>
          <w:p>
            <w:pPr>
              <w:pStyle w:val="000001"/>
              <w:ind/>
              <w:jc w:val="center"/>
              <w:rPr>
                <w:rFonts w:ascii="宋体" w:hAnsi="宋体" w:cs="宋体"/>
                <w:sz w:val="20"/>
                <w:szCs w:val="20"/>
              </w:rPr>
            </w:pPr>
            <w:r>
              <w:rPr>
                <w:rFonts w:hint="eastAsia"/>
                <w:sz w:val="20"/>
                <w:szCs w:val="20"/>
              </w:rPr>
              <w:t>指标</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经费支出合规性</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时效</w:t>
            </w:r>
          </w:p>
          <w:p>
            <w:pPr>
              <w:pStyle w:val="000001"/>
              <w:ind/>
              <w:jc w:val="center"/>
              <w:rPr>
                <w:rFonts w:ascii="宋体" w:hAnsi="宋体" w:cs="宋体"/>
                <w:sz w:val="20"/>
                <w:szCs w:val="20"/>
              </w:rPr>
            </w:pPr>
            <w:r>
              <w:rPr>
                <w:rFonts w:hint="eastAsia"/>
                <w:sz w:val="20"/>
                <w:szCs w:val="20"/>
              </w:rPr>
              <w:t>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经费支出时效性</w:t>
            </w:r>
          </w:p>
        </w:tc>
        <w:tc>
          <w:tcPr>
            <w:tcW w:w="860" w:type="dxa"/>
            <w:tcBorders>
              <w:top w:val="nil"/>
              <w:left w:val="nil"/>
              <w:bottom w:val="single" w:color="auto" w:sz="4" w:space="0"/>
              <w:right w:val="single" w:color="auto" w:sz="4" w:space="0"/>
            </w:tcBorders>
            <w:textDirection w:val="lrTb"/>
            <w:vAlign w:val="center"/>
          </w:tcPr>
          <w:p>
            <w:pPr>
              <w:pStyle w:val="000001"/>
              <w:ind/>
              <w:rPr>
                <w:rFonts w:hint="eastAsia" w:ascii="宋体" w:hAnsi="宋体" w:eastAsia="宋体" w:cs="宋体"/>
                <w:sz w:val="20"/>
                <w:szCs w:val="20"/>
                <w:lang w:eastAsia="zh-CN"/>
              </w:rPr>
            </w:pPr>
            <w:r>
              <w:rPr>
                <w:rFonts w:hint="eastAsia"/>
                <w:sz w:val="20"/>
                <w:szCs w:val="20"/>
              </w:rPr>
              <w:t>　</w:t>
            </w:r>
            <w:r>
              <w:rPr>
                <w:rFonts w:hint="eastAsia"/>
                <w:sz w:val="20"/>
                <w:szCs w:val="20"/>
                <w:lang w:eastAsia="zh-CN"/>
              </w:rPr>
              <w:t>定性</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及时</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时效</w:t>
            </w:r>
          </w:p>
          <w:p>
            <w:pPr>
              <w:pStyle w:val="000001"/>
              <w:ind/>
              <w:jc w:val="center"/>
              <w:rPr>
                <w:rFonts w:ascii="宋体" w:hAnsi="宋体" w:cs="宋体"/>
                <w:sz w:val="20"/>
                <w:szCs w:val="20"/>
              </w:rPr>
            </w:pPr>
            <w:r>
              <w:rPr>
                <w:rFonts w:hint="eastAsia"/>
                <w:sz w:val="20"/>
                <w:szCs w:val="20"/>
              </w:rPr>
              <w:t>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经费支出时效性</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定性</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及时</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成本</w:t>
            </w:r>
          </w:p>
          <w:p>
            <w:pPr>
              <w:pStyle w:val="000001"/>
              <w:ind/>
              <w:jc w:val="center"/>
              <w:rPr>
                <w:rFonts w:ascii="宋体" w:hAnsi="宋体" w:cs="宋体"/>
                <w:sz w:val="20"/>
                <w:szCs w:val="20"/>
              </w:rPr>
            </w:pPr>
            <w:r>
              <w:rPr>
                <w:rFonts w:hint="eastAsia"/>
                <w:sz w:val="20"/>
                <w:szCs w:val="20"/>
              </w:rPr>
              <w:t>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项目单位成本</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ascii="宋体" w:hAnsi="宋体" w:eastAsia="宋体" w:cs="宋体"/>
                <w:sz w:val="20"/>
                <w:szCs w:val="20"/>
              </w:rPr>
              <w:t>≦</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val="en-US" w:eastAsia="zh-CN"/>
              </w:rPr>
              <w:t>8万</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成本</w:t>
            </w:r>
          </w:p>
          <w:p>
            <w:pPr>
              <w:pStyle w:val="000001"/>
              <w:ind/>
              <w:jc w:val="center"/>
              <w:rPr>
                <w:rFonts w:ascii="宋体" w:hAnsi="宋体" w:cs="宋体"/>
                <w:sz w:val="20"/>
                <w:szCs w:val="20"/>
              </w:rPr>
            </w:pPr>
            <w:r>
              <w:rPr>
                <w:rFonts w:hint="eastAsia"/>
                <w:sz w:val="20"/>
                <w:szCs w:val="20"/>
              </w:rPr>
              <w:t>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项目单位成本</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ascii="宋体" w:hAnsi="宋体" w:eastAsia="宋体" w:cs="宋体"/>
                <w:sz w:val="20"/>
                <w:szCs w:val="20"/>
              </w:rPr>
              <w:t>≦</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val="en-US" w:eastAsia="zh-CN"/>
              </w:rPr>
              <w:t>8万</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single" w:color="auto" w:sz="4" w:space="0"/>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时效</w:t>
            </w:r>
          </w:p>
          <w:p>
            <w:pPr>
              <w:pStyle w:val="000001"/>
              <w:ind/>
              <w:jc w:val="center"/>
              <w:rPr>
                <w:rFonts w:ascii="宋体" w:hAnsi="宋体" w:cs="宋体"/>
                <w:sz w:val="20"/>
                <w:szCs w:val="20"/>
              </w:rPr>
            </w:pPr>
            <w:r>
              <w:rPr>
                <w:rFonts w:hint="eastAsia"/>
                <w:sz w:val="20"/>
                <w:szCs w:val="20"/>
              </w:rPr>
              <w:t>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经费支出时效性</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eastAsia="zh-CN"/>
              </w:rPr>
              <w:t>定性</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及时</w:t>
            </w:r>
          </w:p>
        </w:tc>
        <w:tc>
          <w:tcPr>
            <w:tcW w:w="889" w:type="dxa"/>
            <w:tcBorders>
              <w:top w:val="nil"/>
              <w:left w:val="nil"/>
              <w:bottom w:val="single" w:color="auto" w:sz="4" w:space="0"/>
              <w:right w:val="single" w:color="auto" w:sz="4" w:space="0"/>
            </w:tcBorders>
            <w:textDirection w:val="lrTb"/>
            <w:vAlign w:val="center"/>
          </w:tcPr>
          <w:p>
            <w:pPr>
              <w:pStyle w:val="000001"/>
              <w:ind/>
              <w:jc w:val="center"/>
              <w:rPr>
                <w:sz w:val="20"/>
                <w:szCs w:val="20"/>
              </w:rPr>
            </w:pPr>
            <w:r>
              <w:rPr>
                <w:rFonts w:hint="eastAsia"/>
                <w:sz w:val="20"/>
                <w:szCs w:val="20"/>
              </w:rPr>
              <w:t>时效</w:t>
            </w:r>
          </w:p>
          <w:p>
            <w:pPr>
              <w:pStyle w:val="000001"/>
              <w:ind/>
              <w:jc w:val="center"/>
              <w:rPr>
                <w:rFonts w:ascii="宋体" w:hAnsi="宋体" w:cs="宋体"/>
                <w:sz w:val="20"/>
                <w:szCs w:val="20"/>
              </w:rPr>
            </w:pPr>
            <w:r>
              <w:rPr>
                <w:rFonts w:hint="eastAsia"/>
                <w:sz w:val="20"/>
                <w:szCs w:val="20"/>
              </w:rPr>
              <w:t>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经费支出时效性</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定性</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及时</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restart"/>
            <w:tcBorders>
              <w:top w:val="nil"/>
              <w:left w:val="single" w:color="auto" w:sz="4" w:space="0"/>
              <w:bottom w:val="single" w:color="auto" w:sz="4" w:space="0"/>
              <w:right w:val="single" w:color="auto" w:sz="4" w:space="0"/>
            </w:tcBorders>
            <w:textDirection w:val="lrTb"/>
            <w:vAlign w:val="center"/>
          </w:tcPr>
          <w:p>
            <w:pPr>
              <w:pStyle w:val="000001"/>
              <w:ind/>
              <w:jc w:val="center"/>
              <w:rPr>
                <w:rFonts w:hint="eastAsia" w:eastAsia="宋体"/>
                <w:sz w:val="20"/>
                <w:szCs w:val="20"/>
                <w:lang w:eastAsia="zh-CN"/>
              </w:rPr>
            </w:pPr>
            <w:r>
              <w:rPr>
                <w:rFonts w:hint="eastAsia"/>
                <w:sz w:val="20"/>
                <w:szCs w:val="20"/>
              </w:rPr>
              <w:t>效</w:t>
            </w:r>
          </w:p>
          <w:p>
            <w:pPr>
              <w:pStyle w:val="000001"/>
              <w:ind/>
              <w:jc w:val="center"/>
              <w:rPr>
                <w:rFonts w:hint="eastAsia" w:eastAsia="宋体"/>
                <w:sz w:val="20"/>
                <w:szCs w:val="20"/>
                <w:lang w:eastAsia="zh-CN"/>
              </w:rPr>
            </w:pPr>
            <w:r>
              <w:rPr>
                <w:rFonts w:hint="eastAsia"/>
                <w:sz w:val="20"/>
                <w:szCs w:val="20"/>
              </w:rPr>
              <w:t>益</w:t>
            </w:r>
          </w:p>
          <w:p>
            <w:pPr>
              <w:pStyle w:val="000001"/>
              <w:ind/>
              <w:jc w:val="center"/>
              <w:rPr>
                <w:rFonts w:hint="eastAsia" w:eastAsia="宋体"/>
                <w:sz w:val="20"/>
                <w:szCs w:val="20"/>
                <w:lang w:eastAsia="zh-CN"/>
              </w:rPr>
            </w:pPr>
            <w:r>
              <w:rPr>
                <w:rFonts w:hint="eastAsia"/>
                <w:sz w:val="20"/>
                <w:szCs w:val="20"/>
              </w:rPr>
              <w:t>指</w:t>
            </w:r>
          </w:p>
          <w:p>
            <w:pPr>
              <w:pStyle w:val="000001"/>
              <w:ind/>
              <w:jc w:val="center"/>
              <w:rPr>
                <w:rFonts w:ascii="宋体" w:hAnsi="宋体" w:cs="宋体"/>
                <w:sz w:val="20"/>
                <w:szCs w:val="20"/>
              </w:rPr>
            </w:pPr>
            <w:r>
              <w:rPr>
                <w:rFonts w:hint="eastAsia"/>
                <w:sz w:val="20"/>
                <w:szCs w:val="20"/>
              </w:rPr>
              <w:t>标</w:t>
            </w: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经济效益指标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对单位履职情况</w:t>
            </w:r>
          </w:p>
        </w:tc>
        <w:tc>
          <w:tcPr>
            <w:tcW w:w="860" w:type="dxa"/>
            <w:tcBorders>
              <w:top w:val="nil"/>
              <w:left w:val="nil"/>
              <w:bottom w:val="single" w:color="auto" w:sz="4" w:space="0"/>
              <w:right w:val="single" w:color="auto" w:sz="4" w:space="0"/>
            </w:tcBorders>
            <w:textDirection w:val="lrTb"/>
            <w:vAlign w:val="center"/>
          </w:tcPr>
          <w:p>
            <w:pPr>
              <w:pStyle w:val="000001"/>
              <w:ind/>
              <w:rPr>
                <w:rFonts w:hint="eastAsia" w:ascii="宋体" w:hAnsi="宋体" w:eastAsia="宋体" w:cs="宋体"/>
                <w:sz w:val="20"/>
                <w:szCs w:val="20"/>
                <w:lang w:eastAsia="zh-CN"/>
              </w:rPr>
            </w:pPr>
            <w:r>
              <w:rPr>
                <w:rFonts w:hint="eastAsia"/>
                <w:sz w:val="20"/>
                <w:szCs w:val="20"/>
              </w:rPr>
              <w:t>　</w:t>
            </w:r>
            <w:r>
              <w:rPr>
                <w:rFonts w:hint="eastAsia"/>
                <w:sz w:val="20"/>
                <w:szCs w:val="20"/>
                <w:lang w:eastAsia="zh-CN"/>
              </w:rPr>
              <w:t>定性</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明显</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经济效</w:t>
            </w:r>
          </w:p>
          <w:p>
            <w:pPr>
              <w:pStyle w:val="000001"/>
              <w:ind/>
              <w:jc w:val="center"/>
              <w:rPr>
                <w:rFonts w:ascii="宋体" w:hAnsi="宋体" w:cs="宋体"/>
                <w:sz w:val="20"/>
                <w:szCs w:val="20"/>
              </w:rPr>
            </w:pPr>
            <w:r>
              <w:rPr>
                <w:rFonts w:hint="eastAsia"/>
                <w:sz w:val="20"/>
                <w:szCs w:val="20"/>
              </w:rPr>
              <w:t>益指标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对单位履职情况</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定性</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明显</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社会效益指标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正常业务运转</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逐年提升</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社会效</w:t>
            </w:r>
          </w:p>
          <w:p>
            <w:pPr>
              <w:pStyle w:val="000001"/>
              <w:ind/>
              <w:jc w:val="center"/>
              <w:rPr>
                <w:rFonts w:ascii="宋体" w:hAnsi="宋体" w:cs="宋体"/>
                <w:sz w:val="20"/>
                <w:szCs w:val="20"/>
              </w:rPr>
            </w:pPr>
            <w:r>
              <w:rPr>
                <w:rFonts w:hint="eastAsia"/>
                <w:sz w:val="20"/>
                <w:szCs w:val="20"/>
              </w:rPr>
              <w:t>益指标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正常业务运转</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逐年提升</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生态效益指标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运转也物业费</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eastAsia="zh-CN"/>
              </w:rPr>
              <w:t>定性</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绿色发展</w:t>
            </w:r>
            <w:r>
              <w:rPr>
                <w:rFonts w:hint="eastAsia"/>
                <w:sz w:val="20"/>
                <w:szCs w:val="20"/>
              </w:rPr>
              <w:t>　</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生态效益指标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运转也物业费</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定性</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绿色发展</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可持续影响</w:t>
            </w:r>
            <w:r>
              <w:rPr>
                <w:rFonts w:hint="eastAsia"/>
                <w:sz w:val="20"/>
                <w:szCs w:val="20"/>
              </w:rPr>
              <w:br w:type="textWrapping" w:clear="all"/>
            </w:r>
            <w:r>
              <w:rPr>
                <w:rFonts w:hint="eastAsia"/>
                <w:sz w:val="20"/>
                <w:szCs w:val="20"/>
              </w:rPr>
              <w:t>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r>
              <w:rPr>
                <w:rFonts w:hint="eastAsia"/>
                <w:sz w:val="20"/>
                <w:szCs w:val="20"/>
                <w:lang w:eastAsia="zh-CN"/>
              </w:rPr>
              <w:t>定性</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影响明显</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可持续</w:t>
            </w:r>
          </w:p>
          <w:p>
            <w:pPr>
              <w:pStyle w:val="000001"/>
              <w:ind/>
              <w:jc w:val="center"/>
              <w:rPr>
                <w:sz w:val="20"/>
                <w:szCs w:val="20"/>
              </w:rPr>
            </w:pPr>
            <w:r>
              <w:rPr>
                <w:rFonts w:hint="eastAsia"/>
                <w:sz w:val="20"/>
                <w:szCs w:val="20"/>
              </w:rPr>
              <w:t>影响</w:t>
            </w:r>
          </w:p>
          <w:p>
            <w:pPr>
              <w:pStyle w:val="000001"/>
              <w:ind/>
              <w:jc w:val="center"/>
              <w:rPr>
                <w:rFonts w:ascii="宋体" w:hAnsi="宋体" w:cs="宋体"/>
                <w:sz w:val="20"/>
                <w:szCs w:val="20"/>
              </w:rPr>
            </w:pPr>
            <w:r>
              <w:rPr>
                <w:rFonts w:hint="eastAsia"/>
                <w:sz w:val="20"/>
                <w:szCs w:val="20"/>
              </w:rPr>
              <w:t>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提高全县基层业务能力</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定性</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eastAsia="zh-CN"/>
              </w:rPr>
              <w:t>影响明显</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auto" w:sz="4" w:space="0"/>
              <w:right w:val="single" w:color="auto" w:sz="4" w:space="0"/>
            </w:tcBorders>
            <w:textDirection w:val="lrTb"/>
            <w:vAlign w:val="center"/>
          </w:tcPr>
          <w:p>
            <w:pPr>
              <w:pStyle w:val="000001"/>
              <w:rPr>
                <w:rFonts w:ascii="宋体" w:hAnsi="宋体" w:cs="宋体"/>
                <w:sz w:val="20"/>
                <w:szCs w:val="20"/>
              </w:rPr>
            </w:pPr>
          </w:p>
        </w:tc>
        <w:tc>
          <w:tcPr>
            <w:tcW w:w="940" w:type="dxa"/>
            <w:tcBorders>
              <w:top w:val="nil"/>
              <w:left w:val="nil"/>
              <w:bottom w:val="single" w:color="auto" w:sz="4" w:space="0"/>
              <w:right w:val="single" w:color="auto" w:sz="4" w:space="0"/>
            </w:tcBorders>
            <w:textDirection w:val="lrTb"/>
            <w:vAlign w:val="center"/>
          </w:tcPr>
          <w:p>
            <w:pPr>
              <w:pStyle w:val="000001"/>
              <w:ind/>
              <w:jc w:val="both"/>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6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89" w:type="dxa"/>
            <w:tcBorders>
              <w:top w:val="nil"/>
              <w:left w:val="nil"/>
              <w:bottom w:val="single" w:color="auto" w:sz="4" w:space="0"/>
              <w:right w:val="single" w:color="auto" w:sz="4" w:space="0"/>
            </w:tcBorders>
            <w:textDirection w:val="lrTb"/>
            <w:vAlign w:val="center"/>
          </w:tcPr>
          <w:p>
            <w:pPr>
              <w:pStyle w:val="000001"/>
              <w:ind/>
              <w:jc w:val="both"/>
              <w:rPr>
                <w:rFonts w:ascii="宋体" w:hAnsi="宋体" w:cs="宋体"/>
                <w:sz w:val="20"/>
                <w:szCs w:val="20"/>
              </w:rPr>
            </w:pPr>
          </w:p>
        </w:tc>
        <w:tc>
          <w:tcPr>
            <w:tcW w:w="1040" w:type="dxa"/>
            <w:tcBorders>
              <w:top w:val="nil"/>
              <w:left w:val="nil"/>
              <w:bottom w:val="single" w:color="auto" w:sz="4" w:space="0"/>
              <w:right w:val="nil"/>
            </w:tcBorders>
            <w:textDirection w:val="lrTb"/>
            <w:vAlign w:val="center"/>
          </w:tcPr>
          <w:p>
            <w:pPr>
              <w:pStyle w:val="000001"/>
              <w:ind/>
              <w:rPr>
                <w:rFonts w:ascii="宋体" w:hAnsi="宋体" w:cs="宋体"/>
                <w:sz w:val="20"/>
                <w:szCs w:val="20"/>
              </w:rPr>
            </w:pPr>
            <w:r>
              <w:rPr>
                <w:rFonts w:hint="eastAsia"/>
                <w:sz w:val="20"/>
                <w:szCs w:val="20"/>
              </w:rPr>
              <w:t>　</w:t>
            </w:r>
          </w:p>
        </w:tc>
        <w:tc>
          <w:tcPr>
            <w:tcW w:w="623" w:type="dxa"/>
            <w:tcBorders>
              <w:top w:val="nil"/>
              <w:left w:val="single" w:color="auto" w:sz="4" w:space="0"/>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满意度指标</w:t>
            </w:r>
          </w:p>
        </w:tc>
        <w:tc>
          <w:tcPr>
            <w:tcW w:w="940"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服务对象满意度指标</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服务对象满意度</w:t>
            </w:r>
          </w:p>
        </w:tc>
        <w:tc>
          <w:tcPr>
            <w:tcW w:w="86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ascii="宋体" w:hAnsi="宋体" w:eastAsia="宋体" w:cs="宋体"/>
                <w:sz w:val="20"/>
                <w:szCs w:val="20"/>
              </w:rPr>
              <w:t>≧</w:t>
            </w: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lang w:val="en-US" w:eastAsia="zh-CN"/>
              </w:rPr>
              <w:t>95</w:t>
            </w:r>
            <w:r>
              <w:rPr>
                <w:rFonts w:hint="eastAsia"/>
                <w:sz w:val="20"/>
                <w:szCs w:val="20"/>
              </w:rPr>
              <w:t>　</w:t>
            </w:r>
          </w:p>
        </w:tc>
        <w:tc>
          <w:tcPr>
            <w:tcW w:w="889" w:type="dxa"/>
            <w:vMerge w:val="restart"/>
            <w:tcBorders>
              <w:top w:val="nil"/>
              <w:left w:val="single" w:color="auto" w:sz="4" w:space="0"/>
              <w:bottom w:val="single" w:color="000000" w:sz="4" w:space="0"/>
              <w:right w:val="single" w:color="auto" w:sz="4" w:space="0"/>
            </w:tcBorders>
            <w:textDirection w:val="lrTb"/>
            <w:vAlign w:val="center"/>
          </w:tcPr>
          <w:p>
            <w:pPr>
              <w:pStyle w:val="000001"/>
              <w:ind/>
              <w:jc w:val="center"/>
              <w:rPr>
                <w:sz w:val="20"/>
                <w:szCs w:val="20"/>
              </w:rPr>
            </w:pPr>
            <w:r>
              <w:rPr>
                <w:rFonts w:hint="eastAsia"/>
                <w:sz w:val="20"/>
                <w:szCs w:val="20"/>
              </w:rPr>
              <w:t>服务对</w:t>
            </w:r>
          </w:p>
          <w:p>
            <w:pPr>
              <w:pStyle w:val="000001"/>
              <w:ind/>
              <w:jc w:val="center"/>
              <w:rPr>
                <w:sz w:val="20"/>
                <w:szCs w:val="20"/>
              </w:rPr>
            </w:pPr>
            <w:r>
              <w:rPr>
                <w:rFonts w:hint="eastAsia"/>
                <w:sz w:val="20"/>
                <w:szCs w:val="20"/>
              </w:rPr>
              <w:t>象满意</w:t>
            </w:r>
          </w:p>
          <w:p>
            <w:pPr>
              <w:pStyle w:val="000001"/>
              <w:ind/>
              <w:jc w:val="center"/>
              <w:rPr>
                <w:rFonts w:ascii="宋体" w:hAnsi="宋体" w:cs="宋体"/>
                <w:sz w:val="20"/>
                <w:szCs w:val="20"/>
              </w:rPr>
            </w:pPr>
            <w:r>
              <w:rPr>
                <w:rFonts w:hint="eastAsia"/>
                <w:sz w:val="20"/>
                <w:szCs w:val="20"/>
              </w:rPr>
              <w:t>度指标</w:t>
            </w: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xml:space="preserve"> </w:t>
            </w:r>
            <w:r>
              <w:rPr>
                <w:rFonts w:hint="eastAsia"/>
                <w:sz w:val="20"/>
                <w:szCs w:val="20"/>
                <w:lang w:eastAsia="zh-CN"/>
              </w:rPr>
              <w:t>服务对象满意度</w:t>
            </w: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ascii="宋体" w:hAnsi="宋体" w:eastAsia="宋体" w:cs="宋体"/>
                <w:sz w:val="20"/>
                <w:szCs w:val="20"/>
              </w:rPr>
              <w:t>≧</w:t>
            </w: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lang w:val="en-US" w:eastAsia="zh-CN"/>
              </w:rPr>
              <w:t>95</w:t>
            </w: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94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86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c>
          <w:tcPr>
            <w:tcW w:w="889"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104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p>
        </w:tc>
        <w:tc>
          <w:tcPr>
            <w:tcW w:w="623"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r>
        <w:trPr>
          <w:wBefore/>
          <w:trHeight w:val="315" w:hRule="atLeast"/>
        </w:trPr>
        <w:tc>
          <w:tcPr>
            <w:tcW w:w="416"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820" w:type="dxa"/>
            <w:vMerge w:val="continue"/>
            <w:tcBorders>
              <w:top w:val="nil"/>
              <w:left w:val="single" w:color="auto" w:sz="4" w:space="0"/>
              <w:bottom w:val="single" w:color="000000" w:sz="4" w:space="0"/>
              <w:right w:val="single" w:color="auto" w:sz="4" w:space="0"/>
            </w:tcBorders>
            <w:textDirection w:val="lrTb"/>
            <w:vAlign w:val="center"/>
          </w:tcPr>
          <w:p>
            <w:pPr>
              <w:pStyle w:val="000001"/>
              <w:rPr>
                <w:rFonts w:ascii="宋体" w:hAnsi="宋体" w:cs="宋体"/>
                <w:sz w:val="20"/>
                <w:szCs w:val="20"/>
              </w:rPr>
            </w:pPr>
          </w:p>
        </w:tc>
        <w:tc>
          <w:tcPr>
            <w:tcW w:w="94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w:t>
            </w:r>
          </w:p>
        </w:tc>
        <w:tc>
          <w:tcPr>
            <w:tcW w:w="2000"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860"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c>
          <w:tcPr>
            <w:tcW w:w="791"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　</w:t>
            </w:r>
          </w:p>
        </w:tc>
        <w:tc>
          <w:tcPr>
            <w:tcW w:w="889" w:type="dxa"/>
            <w:tcBorders>
              <w:top w:val="nil"/>
              <w:left w:val="nil"/>
              <w:bottom w:val="single" w:color="auto" w:sz="4" w:space="0"/>
              <w:right w:val="single" w:color="auto" w:sz="4" w:space="0"/>
            </w:tcBorders>
            <w:textDirection w:val="lrTb"/>
            <w:vAlign w:val="center"/>
          </w:tcPr>
          <w:p>
            <w:pPr>
              <w:pStyle w:val="000001"/>
              <w:ind/>
              <w:jc w:val="center"/>
              <w:rPr>
                <w:rFonts w:ascii="宋体" w:hAnsi="宋体" w:cs="宋体"/>
                <w:sz w:val="20"/>
                <w:szCs w:val="20"/>
              </w:rPr>
            </w:pPr>
            <w:r>
              <w:rPr>
                <w:rFonts w:hint="eastAsia"/>
                <w:sz w:val="20"/>
                <w:szCs w:val="20"/>
              </w:rPr>
              <w:t>……</w:t>
            </w:r>
          </w:p>
        </w:tc>
        <w:tc>
          <w:tcPr>
            <w:tcW w:w="1040" w:type="dxa"/>
            <w:tcBorders>
              <w:top w:val="nil"/>
              <w:left w:val="nil"/>
              <w:bottom w:val="single" w:color="auto" w:sz="4" w:space="0"/>
              <w:right w:val="nil"/>
            </w:tcBorders>
            <w:textDirection w:val="lrTb"/>
            <w:vAlign w:val="center"/>
          </w:tcPr>
          <w:p>
            <w:pPr>
              <w:pStyle w:val="000001"/>
              <w:ind/>
              <w:rPr>
                <w:rFonts w:ascii="宋体" w:hAnsi="宋体" w:cs="宋体"/>
                <w:sz w:val="20"/>
                <w:szCs w:val="20"/>
              </w:rPr>
            </w:pPr>
            <w:r>
              <w:rPr>
                <w:rFonts w:hint="eastAsia"/>
                <w:sz w:val="20"/>
                <w:szCs w:val="20"/>
              </w:rPr>
              <w:t>　</w:t>
            </w:r>
          </w:p>
        </w:tc>
        <w:tc>
          <w:tcPr>
            <w:tcW w:w="623" w:type="dxa"/>
            <w:tcBorders>
              <w:top w:val="nil"/>
              <w:left w:val="single" w:color="auto" w:sz="4" w:space="0"/>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c>
          <w:tcPr>
            <w:tcW w:w="641" w:type="dxa"/>
            <w:tcBorders>
              <w:top w:val="nil"/>
              <w:left w:val="nil"/>
              <w:bottom w:val="single" w:color="auto" w:sz="4" w:space="0"/>
              <w:right w:val="single" w:color="auto" w:sz="4" w:space="0"/>
            </w:tcBorders>
            <w:textDirection w:val="lrTb"/>
            <w:vAlign w:val="center"/>
          </w:tcPr>
          <w:p>
            <w:pPr>
              <w:pStyle w:val="000001"/>
              <w:ind/>
              <w:rPr>
                <w:rFonts w:ascii="宋体" w:hAnsi="宋体" w:cs="宋体"/>
                <w:sz w:val="20"/>
                <w:szCs w:val="20"/>
              </w:rPr>
            </w:pPr>
            <w:r>
              <w:rPr>
                <w:rFonts w:hint="eastAsia"/>
                <w:sz w:val="20"/>
                <w:szCs w:val="20"/>
              </w:rPr>
              <w:t>　</w:t>
            </w:r>
          </w:p>
        </w:tc>
      </w:tr>
    </w:tbl>
    <w:p>
      <w:pPr>
        <w:pStyle w:val="000001"/>
        <w:spacing w:line="600" w:lineRule="exact"/>
        <w:ind/>
        <w:rPr>
          <w:rFonts w:ascii="仿宋_GB2312" w:hAnsi="楷体" w:eastAsia="仿宋_GB2312"/>
          <w:b/>
          <w:sz w:val="32"/>
          <w:szCs w:val="32"/>
        </w:rPr>
      </w:pP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2.“</w:t>
      </w:r>
      <w:r>
        <w:rPr>
          <w:rFonts w:hint="eastAsia" w:ascii="仿宋_GB2312" w:hAnsi="楷体" w:eastAsia="仿宋_GB2312"/>
          <w:sz w:val="32"/>
          <w:szCs w:val="32"/>
          <w:lang w:val="en-US" w:eastAsia="zh-CN"/>
        </w:rPr>
        <w:t xml:space="preserve"> </w:t>
      </w:r>
      <w:r>
        <w:rPr>
          <w:rFonts w:hint="eastAsia" w:ascii="仿宋_GB2312" w:hAnsi="楷体" w:eastAsia="仿宋_GB2312"/>
          <w:sz w:val="32"/>
          <w:szCs w:val="32"/>
          <w:lang w:eastAsia="zh-CN"/>
        </w:rPr>
        <w:t>核算审核乡镇卫生院专项业务经费</w:t>
      </w:r>
      <w:r>
        <w:rPr>
          <w:rFonts w:hint="eastAsia" w:ascii="仿宋_GB2312" w:hAnsi="楷体" w:eastAsia="仿宋_GB2312"/>
          <w:b/>
          <w:sz w:val="32"/>
          <w:szCs w:val="32"/>
        </w:rPr>
        <w:t>”项目。</w:t>
      </w:r>
    </w:p>
    <w:p>
      <w:pPr>
        <w:pStyle w:val="000001"/>
        <w:spacing w:line="600" w:lineRule="exact"/>
        <w:ind w:firstLine="640" w:firstLineChars="200"/>
        <w:rPr>
          <w:rFonts w:ascii="仿宋_GB2312" w:hAnsi="楷体" w:eastAsia="仿宋_GB2312"/>
          <w:sz w:val="32"/>
          <w:szCs w:val="32"/>
        </w:rPr>
      </w:pPr>
      <w:r>
        <w:rPr>
          <w:rFonts w:hint="eastAsia" w:ascii="仿宋_GB2312" w:hAnsi="楷体" w:eastAsia="仿宋_GB2312"/>
          <w:sz w:val="32"/>
          <w:szCs w:val="32"/>
        </w:rPr>
        <w:t>（1）项目概述</w:t>
      </w:r>
      <w:r>
        <w:rPr>
          <w:rFonts w:hint="eastAsia" w:ascii="仿宋_GB2312" w:hAnsi="楷体" w:eastAsia="仿宋_GB2312"/>
          <w:sz w:val="32"/>
          <w:szCs w:val="32"/>
          <w:lang w:val="en-US" w:eastAsia="zh-CN"/>
        </w:rPr>
        <w:t xml:space="preserve"> </w:t>
      </w:r>
      <w:r>
        <w:rPr>
          <w:rFonts w:hint="eastAsia" w:ascii="仿宋_GB2312" w:hAnsi="楷体" w:eastAsia="仿宋_GB2312"/>
          <w:sz w:val="32"/>
          <w:szCs w:val="32"/>
          <w:lang w:eastAsia="zh-CN"/>
        </w:rPr>
        <w:t>核算审核乡镇卫生院专项业务经费</w:t>
      </w:r>
    </w:p>
    <w:p>
      <w:pPr>
        <w:pStyle w:val="000001"/>
        <w:numPr>
          <w:ilvl w:val="0"/>
          <w:numId w:val="2"/>
        </w:numPr>
        <w:spacing w:line="600" w:lineRule="exact"/>
        <w:ind w:firstLine="585" w:firstLineChars="183"/>
        <w:rPr>
          <w:rFonts w:hint="eastAsia" w:ascii="仿宋_GB2312" w:hAnsi="楷体" w:eastAsia="仿宋_GB2312"/>
          <w:sz w:val="32"/>
          <w:szCs w:val="32"/>
          <w:lang w:val="en-US" w:eastAsia="zh-CN"/>
        </w:rPr>
      </w:pPr>
      <w:r>
        <w:rPr>
          <w:rFonts w:hint="eastAsia" w:ascii="仿宋_GB2312" w:hAnsi="楷体" w:eastAsia="仿宋_GB2312"/>
          <w:sz w:val="32"/>
          <w:szCs w:val="32"/>
        </w:rPr>
        <w:t>立项依据。</w:t>
      </w:r>
      <w:r>
        <w:rPr>
          <w:rFonts w:hint="eastAsia" w:ascii="仿宋_GB2312" w:hAnsi="楷体" w:eastAsia="仿宋_GB2312"/>
          <w:sz w:val="32"/>
          <w:szCs w:val="32"/>
          <w:lang w:val="en-US" w:eastAsia="zh-CN"/>
        </w:rPr>
        <w:t>2020年5月孙进县长签批的报告</w:t>
      </w:r>
    </w:p>
    <w:p>
      <w:pPr>
        <w:pStyle w:val="000001"/>
        <w:numPr>
          <w:ilvl w:val="0"/>
          <w:numId w:val="2"/>
        </w:numPr>
        <w:spacing w:line="600" w:lineRule="exact"/>
        <w:ind w:left="0" w:leftChars="0" w:firstLine="585" w:firstLineChars="183"/>
        <w:rPr>
          <w:rFonts w:hint="eastAsia" w:ascii="仿宋_GB2312" w:hAnsi="楷体" w:eastAsia="仿宋_GB2312"/>
          <w:sz w:val="32"/>
          <w:szCs w:val="32"/>
          <w:lang w:eastAsia="zh-CN"/>
        </w:rPr>
      </w:pPr>
      <w:r>
        <w:rPr>
          <w:rFonts w:hint="eastAsia" w:ascii="仿宋_GB2312" w:hAnsi="楷体" w:eastAsia="仿宋_GB2312"/>
          <w:sz w:val="32"/>
          <w:szCs w:val="32"/>
        </w:rPr>
        <w:t>实施主体。</w:t>
      </w:r>
      <w:r>
        <w:rPr>
          <w:rFonts w:hint="eastAsia" w:ascii="仿宋_GB2312" w:hAnsi="楷体" w:eastAsia="仿宋_GB2312"/>
          <w:sz w:val="32"/>
          <w:szCs w:val="32"/>
          <w:lang w:eastAsia="zh-CN"/>
        </w:rPr>
        <w:t>濉溪县卫生健康系统财务管理中心</w:t>
      </w:r>
    </w:p>
    <w:p>
      <w:pPr>
        <w:pStyle w:val="000001"/>
        <w:numPr>
          <w:ilvl w:val="0"/>
          <w:numId w:val="2"/>
        </w:numPr>
        <w:spacing w:line="600" w:lineRule="exact"/>
        <w:ind w:left="0" w:leftChars="0" w:firstLine="585" w:firstLineChars="183"/>
        <w:rPr>
          <w:rFonts w:ascii="仿宋_GB2312" w:hAnsi="仿宋" w:eastAsia="仿宋_GB2312"/>
          <w:sz w:val="32"/>
          <w:szCs w:val="32"/>
        </w:rPr>
      </w:pPr>
      <w:r>
        <w:rPr>
          <w:rFonts w:hint="eastAsia" w:ascii="仿宋_GB2312" w:hAnsi="楷体" w:eastAsia="仿宋_GB2312"/>
          <w:sz w:val="32"/>
          <w:szCs w:val="32"/>
        </w:rPr>
        <w:t>起止时间。</w:t>
      </w:r>
      <w:r>
        <w:rPr>
          <w:rFonts w:hint="eastAsia" w:ascii="仿宋_GB2312" w:hAnsi="仿宋" w:eastAsia="仿宋_GB2312"/>
          <w:sz w:val="32"/>
          <w:szCs w:val="32"/>
          <w:lang w:val="en-US" w:eastAsia="zh-CN"/>
        </w:rPr>
        <w:t>2024年1月至2024年12月</w:t>
      </w:r>
    </w:p>
    <w:p>
      <w:pPr>
        <w:pStyle w:val="000001"/>
        <w:spacing w:line="600" w:lineRule="exact"/>
        <w:ind w:firstLine="640" w:firstLineChars="200"/>
        <w:rPr>
          <w:rFonts w:hint="eastAsia" w:ascii="仿宋_GB2312" w:hAnsi="楷体" w:eastAsia="仿宋_GB2312"/>
          <w:sz w:val="32"/>
          <w:szCs w:val="32"/>
          <w:lang w:eastAsia="zh-CN"/>
        </w:rPr>
      </w:pPr>
      <w:r>
        <w:rPr>
          <w:rFonts w:hint="eastAsia" w:ascii="仿宋_GB2312" w:hAnsi="楷体" w:eastAsia="仿宋_GB2312"/>
          <w:sz w:val="32"/>
          <w:szCs w:val="32"/>
        </w:rPr>
        <w:t>（5）项目内容。</w:t>
      </w:r>
      <w:r>
        <w:rPr>
          <w:rFonts w:hint="eastAsia" w:ascii="仿宋_GB2312" w:hAnsi="楷体" w:eastAsia="仿宋_GB2312"/>
          <w:sz w:val="32"/>
          <w:szCs w:val="32"/>
          <w:lang w:eastAsia="zh-CN"/>
        </w:rPr>
        <w:t>核算审核乡镇卫生院专项业务经费</w:t>
      </w:r>
    </w:p>
    <w:p>
      <w:pPr>
        <w:pStyle w:val="000001"/>
        <w:spacing w:line="600" w:lineRule="exact"/>
        <w:ind w:firstLine="640" w:firstLineChars="200"/>
        <w:rPr>
          <w:rFonts w:hint="eastAsia" w:ascii="仿宋_GB2312" w:hAnsi="仿宋" w:eastAsia="仿宋_GB2312"/>
          <w:sz w:val="32"/>
          <w:szCs w:val="32"/>
          <w:lang w:val="en-US" w:eastAsia="zh-CN"/>
        </w:rPr>
      </w:pPr>
      <w:r>
        <w:rPr>
          <w:rFonts w:hint="eastAsia" w:ascii="仿宋_GB2312" w:hAnsi="楷体" w:eastAsia="仿宋_GB2312"/>
          <w:sz w:val="32"/>
          <w:szCs w:val="32"/>
        </w:rPr>
        <w:t>（6）年度预算安排。</w:t>
      </w:r>
      <w:r>
        <w:rPr>
          <w:rFonts w:hint="eastAsia" w:ascii="仿宋_GB2312" w:hAnsi="仿宋" w:eastAsia="仿宋_GB2312"/>
          <w:sz w:val="32"/>
          <w:szCs w:val="32"/>
          <w:lang w:val="en-US" w:eastAsia="zh-CN"/>
        </w:rPr>
        <w:t>2024年1月至2024年12月</w:t>
      </w:r>
    </w:p>
    <w:p>
      <w:pPr>
        <w:pStyle w:val="000001"/>
        <w:spacing w:line="600" w:lineRule="exact"/>
        <w:ind w:firstLine="640" w:firstLineChars="200"/>
        <w:rPr>
          <w:rFonts w:ascii="仿宋_GB2312" w:hAnsi="楷体" w:eastAsia="仿宋_GB2312"/>
          <w:sz w:val="32"/>
          <w:szCs w:val="32"/>
        </w:rPr>
      </w:pPr>
      <w:r>
        <w:rPr>
          <w:rFonts w:hint="eastAsia" w:ascii="仿宋_GB2312" w:hAnsi="楷体" w:eastAsia="仿宋_GB2312"/>
          <w:sz w:val="32"/>
          <w:szCs w:val="32"/>
        </w:rPr>
        <w:t>（7）绩效目标。</w:t>
      </w:r>
      <w:r>
        <w:rPr>
          <w:rFonts w:hint="eastAsia" w:ascii="仿宋_GB2312" w:hAnsi="楷体" w:eastAsia="仿宋_GB2312"/>
          <w:sz w:val="32"/>
          <w:szCs w:val="32"/>
          <w:lang w:eastAsia="zh-CN"/>
        </w:rPr>
        <w:t>保障基层医疗卫生机构国库支付管理，加强基层医疗卫生机构财务管理，保障财管中心正常运转</w:t>
      </w: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（二）机关运行经费。</w:t>
      </w:r>
    </w:p>
    <w:p>
      <w:pPr>
        <w:pStyle w:val="000001"/>
        <w:spacing w:line="600" w:lineRule="exact"/>
        <w:ind w:firstLine="640" w:firstLineChars="200"/>
        <w:rPr>
          <w:rFonts w:ascii="仿宋_GB2312" w:hAnsi="仿宋" w:eastAsia="仿宋_GB2312"/>
          <w:sz w:val="32"/>
          <w:szCs w:val="32"/>
        </w:rPr>
      </w:pPr>
      <w:r>
        <w:rPr>
          <w:rFonts w:hint="eastAsia" w:ascii="仿宋_GB2312" w:hAnsi="仿宋" w:eastAsia="仿宋_GB2312" w:cs="宋体"/>
          <w:kern w:val="0"/>
          <w:sz w:val="32"/>
          <w:szCs w:val="32"/>
          <w:lang w:eastAsia="zh-CN"/>
        </w:rPr>
        <w:t>濉溪县濉溪县卫生健康系统财务管理中心</w:t>
      </w:r>
      <w:r>
        <w:rPr>
          <w:rFonts w:hint="eastAsia" w:ascii="仿宋_GB2312" w:hAnsi="仿宋" w:eastAsia="仿宋_GB2312"/>
          <w:sz w:val="32"/>
          <w:szCs w:val="32"/>
          <w:lang w:eastAsia="zh-CN"/>
        </w:rPr>
        <w:t>2024</w:t>
      </w:r>
      <w:r>
        <w:rPr>
          <w:rFonts w:hint="eastAsia" w:ascii="仿宋_GB2312" w:hAnsi="仿宋" w:eastAsia="仿宋_GB2312"/>
          <w:sz w:val="32"/>
          <w:szCs w:val="32"/>
        </w:rPr>
        <w:t>年机关运行经费财政拨款预算</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万元，比</w:t>
      </w:r>
      <w:r>
        <w:rPr>
          <w:rFonts w:hint="eastAsia" w:ascii="仿宋_GB2312" w:hAnsi="仿宋" w:eastAsia="仿宋_GB2312"/>
          <w:sz w:val="32"/>
          <w:szCs w:val="32"/>
          <w:lang w:eastAsia="zh-CN"/>
        </w:rPr>
        <w:t>2023</w:t>
      </w:r>
      <w:r>
        <w:rPr>
          <w:rFonts w:hint="eastAsia" w:ascii="仿宋_GB2312" w:hAnsi="仿宋" w:eastAsia="仿宋_GB2312"/>
          <w:sz w:val="32"/>
          <w:szCs w:val="32"/>
        </w:rPr>
        <w:t>年预算增加（减少）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万元，增长（下降）</w:t>
      </w:r>
      <w:r>
        <w:rPr>
          <w:rFonts w:hint="eastAsia" w:ascii="仿宋_GB2312" w:hAnsi="仿宋" w:eastAsia="仿宋_GB2312"/>
          <w:sz w:val="32"/>
          <w:szCs w:val="32"/>
          <w:lang w:val="en-US" w:eastAsia="zh-CN"/>
        </w:rPr>
        <w:t>0</w:t>
      </w:r>
      <w:r>
        <w:rPr>
          <w:rFonts w:hint="eastAsia" w:ascii="仿宋_GB2312" w:hAnsi="仿宋" w:eastAsia="仿宋_GB2312"/>
          <w:sz w:val="32"/>
          <w:szCs w:val="32"/>
        </w:rPr>
        <w:t>%。</w:t>
      </w: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（三）政府采购情况。</w:t>
      </w:r>
    </w:p>
    <w:p>
      <w:pPr>
        <w:pStyle w:val="000001"/>
        <w:spacing w:line="600" w:lineRule="exact"/>
        <w:ind w:firstLine="640" w:firstLineChars="200"/>
        <w:rPr>
          <w:rFonts w:ascii="仿宋_GB2312" w:hAnsi="楷体" w:eastAsia="仿宋_GB2312"/>
          <w:sz w:val="32"/>
          <w:szCs w:val="32"/>
        </w:rPr>
      </w:pPr>
      <w:r>
        <w:rPr>
          <w:rFonts w:hint="eastAsia" w:ascii="仿宋_GB2312" w:hAnsi="仿宋" w:eastAsia="仿宋_GB2312" w:cs="宋体"/>
          <w:kern w:val="0"/>
          <w:sz w:val="32"/>
          <w:szCs w:val="32"/>
          <w:lang w:eastAsia="zh-CN"/>
        </w:rPr>
        <w:t>濉溪县濉溪县卫生健康系统财务管理中心</w:t>
      </w:r>
      <w:r>
        <w:rPr>
          <w:rFonts w:hint="eastAsia" w:ascii="仿宋_GB2312" w:hAnsi="楷体" w:eastAsia="仿宋_GB2312"/>
          <w:sz w:val="32"/>
          <w:szCs w:val="32"/>
          <w:lang w:eastAsia="zh-CN"/>
        </w:rPr>
        <w:t>2024</w:t>
      </w:r>
      <w:r>
        <w:rPr>
          <w:rFonts w:hint="eastAsia" w:ascii="仿宋_GB2312" w:hAnsi="楷体" w:eastAsia="仿宋_GB2312"/>
          <w:sz w:val="32"/>
          <w:szCs w:val="32"/>
        </w:rPr>
        <w:t>年政府采购预算</w:t>
      </w:r>
      <w:r>
        <w:rPr>
          <w:rFonts w:hint="eastAsia" w:ascii="仿宋_GB2312" w:hAnsi="楷体" w:eastAsia="仿宋_GB2312"/>
          <w:sz w:val="32"/>
          <w:szCs w:val="32"/>
          <w:lang w:val="en-US" w:eastAsia="zh-CN"/>
        </w:rPr>
        <w:t>0</w:t>
      </w:r>
      <w:r>
        <w:rPr>
          <w:rFonts w:hint="eastAsia" w:ascii="仿宋_GB2312" w:hAnsi="楷体" w:eastAsia="仿宋_GB2312"/>
          <w:sz w:val="32"/>
          <w:szCs w:val="32"/>
        </w:rPr>
        <w:t>万元。其中：政府采购货物预算</w:t>
      </w:r>
      <w:r>
        <w:rPr>
          <w:rFonts w:hint="eastAsia" w:ascii="仿宋_GB2312" w:hAnsi="楷体" w:eastAsia="仿宋_GB2312"/>
          <w:sz w:val="32"/>
          <w:szCs w:val="32"/>
          <w:lang w:val="en-US" w:eastAsia="zh-CN"/>
        </w:rPr>
        <w:t>0</w:t>
      </w:r>
      <w:r>
        <w:rPr>
          <w:rFonts w:hint="eastAsia" w:ascii="仿宋_GB2312" w:hAnsi="楷体" w:eastAsia="仿宋_GB2312"/>
          <w:sz w:val="32"/>
          <w:szCs w:val="32"/>
        </w:rPr>
        <w:t>万元，政府采购工程预算</w:t>
      </w:r>
      <w:r>
        <w:rPr>
          <w:rFonts w:hint="eastAsia" w:ascii="仿宋_GB2312" w:hAnsi="楷体" w:eastAsia="仿宋_GB2312"/>
          <w:sz w:val="32"/>
          <w:szCs w:val="32"/>
          <w:lang w:val="en-US" w:eastAsia="zh-CN"/>
        </w:rPr>
        <w:t>0</w:t>
      </w:r>
      <w:r>
        <w:rPr>
          <w:rFonts w:hint="eastAsia" w:ascii="仿宋_GB2312" w:hAnsi="楷体" w:eastAsia="仿宋_GB2312"/>
          <w:sz w:val="32"/>
          <w:szCs w:val="32"/>
        </w:rPr>
        <w:t>万元，政府采购服务预算</w:t>
      </w:r>
      <w:r>
        <w:rPr>
          <w:rFonts w:hint="eastAsia" w:ascii="仿宋_GB2312" w:hAnsi="楷体" w:eastAsia="仿宋_GB2312"/>
          <w:sz w:val="32"/>
          <w:szCs w:val="32"/>
          <w:lang w:val="en-US" w:eastAsia="zh-CN"/>
        </w:rPr>
        <w:t>0</w:t>
      </w:r>
      <w:r>
        <w:rPr>
          <w:rFonts w:hint="eastAsia" w:ascii="仿宋_GB2312" w:hAnsi="楷体" w:eastAsia="仿宋_GB2312"/>
          <w:sz w:val="32"/>
          <w:szCs w:val="32"/>
        </w:rPr>
        <w:t>万元。</w:t>
      </w: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（四）国有资产占有使用情况。</w:t>
      </w:r>
    </w:p>
    <w:p>
      <w:pPr>
        <w:pStyle w:val="000001"/>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color w:val="000000"/>
          <w:sz w:val="32"/>
          <w:szCs w:val="32"/>
        </w:rPr>
        <w:t>截至</w:t>
      </w:r>
      <w:r>
        <w:rPr>
          <w:rFonts w:hint="eastAsia" w:ascii="仿宋" w:hAnsi="仿宋" w:eastAsia="仿宋" w:cs="仿宋"/>
          <w:color w:val="000000"/>
          <w:sz w:val="32"/>
          <w:szCs w:val="32"/>
          <w:lang w:eastAsia="zh-CN"/>
        </w:rPr>
        <w:t>2023</w:t>
      </w:r>
      <w:r>
        <w:rPr>
          <w:rFonts w:hint="eastAsia" w:ascii="仿宋" w:hAnsi="仿宋" w:eastAsia="仿宋" w:cs="仿宋"/>
          <w:color w:val="000000"/>
          <w:sz w:val="32"/>
          <w:szCs w:val="32"/>
        </w:rPr>
        <w:t>年12月31日，</w:t>
      </w:r>
      <w:r>
        <w:rPr>
          <w:rFonts w:hint="eastAsia" w:ascii="仿宋" w:hAnsi="仿宋" w:eastAsia="仿宋" w:cs="仿宋"/>
          <w:color w:val="000000"/>
          <w:sz w:val="32"/>
          <w:szCs w:val="32"/>
          <w:lang w:val="en-US" w:eastAsia="zh-CN"/>
        </w:rPr>
        <w:t>濉溪县</w:t>
      </w:r>
      <w:r>
        <w:rPr>
          <w:rFonts w:hint="eastAsia" w:ascii="仿宋" w:hAnsi="仿宋" w:eastAsia="仿宋" w:cs="仿宋"/>
          <w:color w:val="000000"/>
          <w:sz w:val="32"/>
          <w:szCs w:val="32"/>
          <w:lang w:eastAsia="zh-CN"/>
        </w:rPr>
        <w:t>卫生健康系统财务管理中心</w:t>
      </w:r>
      <w:r>
        <w:rPr>
          <w:rFonts w:hint="eastAsia" w:ascii="仿宋" w:hAnsi="仿宋" w:eastAsia="仿宋" w:cs="仿宋"/>
          <w:color w:val="000000"/>
          <w:sz w:val="32"/>
          <w:szCs w:val="32"/>
        </w:rPr>
        <w:t>共有车辆</w:t>
      </w: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rPr>
        <w:t>辆，</w:t>
      </w:r>
      <w:r>
        <w:rPr>
          <w:rFonts w:hint="eastAsia" w:ascii="仿宋" w:hAnsi="仿宋" w:eastAsia="仿宋" w:cs="仿宋"/>
          <w:sz w:val="32"/>
          <w:szCs w:val="32"/>
        </w:rPr>
        <w:t>其中：副部（省）级及以上领导用车</w:t>
      </w:r>
      <w:r>
        <w:rPr>
          <w:rFonts w:hint="eastAsia" w:ascii="仿宋" w:hAnsi="仿宋" w:eastAsia="仿宋" w:cs="仿宋"/>
          <w:sz w:val="32"/>
          <w:szCs w:val="32"/>
          <w:lang w:val="en-US" w:eastAsia="zh-CN"/>
        </w:rPr>
        <w:t>0</w:t>
      </w:r>
      <w:r>
        <w:rPr>
          <w:rFonts w:hint="eastAsia" w:ascii="仿宋" w:hAnsi="仿宋" w:eastAsia="仿宋" w:cs="仿宋"/>
          <w:sz w:val="32"/>
          <w:szCs w:val="32"/>
        </w:rPr>
        <w:t>辆、主要领导干部用车</w:t>
      </w:r>
      <w:r>
        <w:rPr>
          <w:rFonts w:hint="eastAsia" w:ascii="仿宋" w:hAnsi="仿宋" w:eastAsia="仿宋" w:cs="仿宋"/>
          <w:sz w:val="32"/>
          <w:szCs w:val="32"/>
          <w:lang w:val="en-US" w:eastAsia="zh-CN"/>
        </w:rPr>
        <w:t>0</w:t>
      </w:r>
      <w:r>
        <w:rPr>
          <w:rFonts w:hint="eastAsia" w:ascii="仿宋" w:hAnsi="仿宋" w:eastAsia="仿宋" w:cs="仿宋"/>
          <w:sz w:val="32"/>
          <w:szCs w:val="32"/>
        </w:rPr>
        <w:t>辆、机要通信用车</w:t>
      </w:r>
      <w:r>
        <w:rPr>
          <w:rFonts w:hint="eastAsia" w:ascii="仿宋" w:hAnsi="仿宋" w:eastAsia="仿宋" w:cs="仿宋"/>
          <w:sz w:val="32"/>
          <w:szCs w:val="32"/>
          <w:lang w:val="en-US" w:eastAsia="zh-CN"/>
        </w:rPr>
        <w:t>0</w:t>
      </w:r>
      <w:r>
        <w:rPr>
          <w:rFonts w:hint="eastAsia" w:ascii="仿宋" w:hAnsi="仿宋" w:eastAsia="仿宋" w:cs="仿宋"/>
          <w:sz w:val="32"/>
          <w:szCs w:val="32"/>
        </w:rPr>
        <w:t>辆、应急保障用车</w:t>
      </w:r>
      <w:r>
        <w:rPr>
          <w:rFonts w:hint="eastAsia" w:ascii="仿宋" w:hAnsi="仿宋" w:eastAsia="仿宋" w:cs="仿宋"/>
          <w:sz w:val="32"/>
          <w:szCs w:val="32"/>
          <w:lang w:val="en-US" w:eastAsia="zh-CN"/>
        </w:rPr>
        <w:t>0</w:t>
      </w:r>
      <w:r>
        <w:rPr>
          <w:rFonts w:hint="eastAsia" w:ascii="仿宋" w:hAnsi="仿宋" w:eastAsia="仿宋" w:cs="仿宋"/>
          <w:sz w:val="32"/>
          <w:szCs w:val="32"/>
        </w:rPr>
        <w:t>辆，特种专业技术用车</w:t>
      </w:r>
      <w:r>
        <w:rPr>
          <w:rFonts w:hint="eastAsia" w:ascii="仿宋" w:hAnsi="仿宋" w:eastAsia="仿宋" w:cs="仿宋"/>
          <w:sz w:val="32"/>
          <w:szCs w:val="32"/>
          <w:lang w:val="en-US" w:eastAsia="zh-CN"/>
        </w:rPr>
        <w:t>0</w:t>
      </w:r>
      <w:r>
        <w:rPr>
          <w:rFonts w:hint="eastAsia" w:ascii="仿宋" w:hAnsi="仿宋" w:eastAsia="仿宋" w:cs="仿宋"/>
          <w:sz w:val="32"/>
          <w:szCs w:val="32"/>
        </w:rPr>
        <w:t>辆，离退休干部用车</w:t>
      </w:r>
      <w:r>
        <w:rPr>
          <w:rFonts w:hint="eastAsia" w:ascii="仿宋" w:hAnsi="仿宋" w:eastAsia="仿宋" w:cs="仿宋"/>
          <w:sz w:val="32"/>
          <w:szCs w:val="32"/>
          <w:lang w:val="en-US" w:eastAsia="zh-CN"/>
        </w:rPr>
        <w:t>0</w:t>
      </w:r>
      <w:r>
        <w:rPr>
          <w:rFonts w:hint="eastAsia" w:ascii="仿宋" w:hAnsi="仿宋" w:eastAsia="仿宋" w:cs="仿宋"/>
          <w:sz w:val="32"/>
          <w:szCs w:val="32"/>
        </w:rPr>
        <w:t>辆，其他用车</w:t>
      </w:r>
      <w:r>
        <w:rPr>
          <w:rFonts w:hint="eastAsia" w:ascii="仿宋" w:hAnsi="仿宋" w:eastAsia="仿宋" w:cs="仿宋"/>
          <w:sz w:val="32"/>
          <w:szCs w:val="32"/>
          <w:lang w:val="en-US" w:eastAsia="zh-CN"/>
        </w:rPr>
        <w:t>1</w:t>
      </w:r>
      <w:r>
        <w:rPr>
          <w:rFonts w:hint="eastAsia" w:ascii="仿宋" w:hAnsi="仿宋" w:eastAsia="仿宋" w:cs="仿宋"/>
          <w:sz w:val="32"/>
          <w:szCs w:val="32"/>
        </w:rPr>
        <w:t>辆（只列报车辆不为0的车型）；单价50万元以上的通用设备</w:t>
      </w:r>
      <w:r>
        <w:rPr>
          <w:rFonts w:hint="eastAsia" w:ascii="仿宋" w:hAnsi="仿宋" w:eastAsia="仿宋" w:cs="仿宋"/>
          <w:sz w:val="32"/>
          <w:szCs w:val="32"/>
          <w:lang w:val="en-US" w:eastAsia="zh-CN"/>
        </w:rPr>
        <w:t>0</w:t>
      </w:r>
      <w:r>
        <w:rPr>
          <w:rFonts w:hint="eastAsia" w:ascii="仿宋" w:hAnsi="仿宋" w:eastAsia="仿宋" w:cs="仿宋"/>
          <w:sz w:val="32"/>
          <w:szCs w:val="32"/>
        </w:rPr>
        <w:t>台（套），单价100万元以上专用设备</w:t>
      </w:r>
      <w:r>
        <w:rPr>
          <w:rFonts w:hint="eastAsia" w:ascii="仿宋" w:hAnsi="仿宋" w:eastAsia="仿宋" w:cs="仿宋"/>
          <w:sz w:val="32"/>
          <w:szCs w:val="32"/>
          <w:lang w:val="en-US" w:eastAsia="zh-CN"/>
        </w:rPr>
        <w:t>0</w:t>
      </w:r>
      <w:r>
        <w:rPr>
          <w:rFonts w:hint="eastAsia" w:ascii="仿宋" w:hAnsi="仿宋" w:eastAsia="仿宋" w:cs="仿宋"/>
          <w:sz w:val="32"/>
          <w:szCs w:val="32"/>
        </w:rPr>
        <w:t>台（套）</w:t>
      </w:r>
      <w:r>
        <w:rPr>
          <w:rFonts w:hint="eastAsia" w:ascii="仿宋" w:hAnsi="仿宋" w:eastAsia="仿宋" w:cs="仿宋"/>
          <w:sz w:val="32"/>
          <w:szCs w:val="32"/>
          <w:lang w:eastAsia="zh-CN"/>
        </w:rPr>
        <w:t>。</w:t>
      </w:r>
    </w:p>
    <w:p>
      <w:pPr>
        <w:pStyle w:val="000001"/>
        <w:spacing w:line="600" w:lineRule="exact"/>
        <w:ind w:firstLine="640" w:firstLineChars="200"/>
        <w:rPr>
          <w:rFonts w:ascii="仿宋_GB2312" w:hAnsi="楷体" w:eastAsia="仿宋_GB2312"/>
          <w:b/>
          <w:sz w:val="32"/>
          <w:szCs w:val="32"/>
        </w:rPr>
      </w:pPr>
      <w:r>
        <w:rPr>
          <w:rFonts w:hint="eastAsia" w:ascii="仿宋_GB2312" w:hAnsi="楷体" w:eastAsia="仿宋_GB2312"/>
          <w:b/>
          <w:sz w:val="32"/>
          <w:szCs w:val="32"/>
        </w:rPr>
        <w:t>（五）绩效目标设置情况。</w:t>
      </w:r>
    </w:p>
    <w:p>
      <w:pPr>
        <w:pStyle w:val="000001"/>
        <w:spacing w:line="600" w:lineRule="exact"/>
        <w:ind w:firstLine="640" w:firstLineChars="200"/>
        <w:outlineLvl w:val="0"/>
        <w:rPr>
          <w:rFonts w:ascii="仿宋_GB2312" w:hAnsi="仿宋" w:eastAsia="仿宋_GB2312"/>
          <w:sz w:val="32"/>
          <w:szCs w:val="32"/>
        </w:rPr>
      </w:pPr>
      <w:r>
        <w:rPr>
          <w:rFonts w:hint="eastAsia" w:ascii="仿宋_GB2312" w:hAnsi="仿宋" w:eastAsia="仿宋_GB2312"/>
          <w:sz w:val="32"/>
          <w:szCs w:val="32"/>
          <w:lang w:eastAsia="zh-CN"/>
        </w:rPr>
        <w:t>2024</w:t>
      </w:r>
      <w:r>
        <w:rPr>
          <w:rFonts w:hint="eastAsia" w:ascii="仿宋_GB2312" w:hAnsi="仿宋" w:eastAsia="仿宋_GB2312"/>
          <w:sz w:val="32"/>
          <w:szCs w:val="32"/>
        </w:rPr>
        <w:t>年，</w:t>
      </w:r>
      <w:r>
        <w:rPr>
          <w:rFonts w:hint="eastAsia" w:ascii="仿宋_GB2312" w:hAnsi="仿宋" w:eastAsia="仿宋_GB2312" w:cs="宋体"/>
          <w:kern w:val="0"/>
          <w:sz w:val="32"/>
          <w:szCs w:val="32"/>
          <w:lang w:eastAsia="zh-CN"/>
        </w:rPr>
        <w:t>濉溪县卫生健康系统财务管理中心</w:t>
      </w:r>
      <w:r>
        <w:rPr>
          <w:rFonts w:hint="eastAsia" w:ascii="仿宋_GB2312" w:hAnsi="仿宋" w:eastAsia="仿宋_GB2312" w:cs="宋体"/>
          <w:kern w:val="0"/>
          <w:sz w:val="32"/>
          <w:szCs w:val="32"/>
          <w:lang w:val="en-US" w:eastAsia="zh-CN"/>
        </w:rPr>
        <w:t>1</w:t>
      </w:r>
      <w:r>
        <w:rPr>
          <w:rFonts w:hint="eastAsia" w:ascii="仿宋_GB2312" w:hAnsi="仿宋" w:eastAsia="仿宋_GB2312"/>
          <w:sz w:val="32"/>
          <w:szCs w:val="32"/>
        </w:rPr>
        <w:t>个项目实行了绩效目标管理，涉及一般公共预算当年财政拨款</w:t>
      </w:r>
      <w:r>
        <w:rPr>
          <w:rFonts w:hint="eastAsia" w:ascii="仿宋_GB2312" w:hAnsi="仿宋" w:eastAsia="仿宋_GB2312"/>
          <w:sz w:val="32"/>
          <w:szCs w:val="32"/>
          <w:lang w:val="en-US" w:eastAsia="zh-CN"/>
        </w:rPr>
        <w:t>8</w:t>
      </w:r>
      <w:r>
        <w:rPr>
          <w:rFonts w:hint="eastAsia" w:ascii="仿宋_GB2312" w:hAnsi="仿宋" w:eastAsia="仿宋_GB2312"/>
          <w:sz w:val="32"/>
          <w:szCs w:val="32"/>
        </w:rPr>
        <w:t>万元、政府性基金预算当年财政拨款</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万元、财政专户管理资金当年安排</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w:t>
      </w:r>
    </w:p>
    <w:p>
      <w:pPr>
        <w:pStyle w:val="000001"/>
        <w:tabs>
          <w:tab w:val="left" w:leader="none" w:pos="3316"/>
        </w:tabs>
        <w:spacing w:line="600" w:lineRule="exact"/>
        <w:ind/>
        <w:outlineLvl w:val="0"/>
        <w:rPr>
          <w:rFonts w:ascii="黑体" w:eastAsia="黑体" w:cs="宋体"/>
          <w:sz w:val="36"/>
          <w:szCs w:val="36"/>
        </w:rPr>
      </w:pPr>
    </w:p>
    <w:p>
      <w:pPr>
        <w:pStyle w:val="000001"/>
        <w:spacing w:line="600" w:lineRule="exact"/>
        <w:ind/>
        <w:jc w:val="center"/>
        <w:rPr>
          <w:rFonts w:ascii="黑体" w:eastAsia="黑体" w:cs="宋体"/>
          <w:sz w:val="36"/>
          <w:szCs w:val="36"/>
        </w:rPr>
      </w:pPr>
      <w:r>
        <w:rPr>
          <w:rFonts w:hint="eastAsia" w:ascii="黑体" w:eastAsia="黑体" w:cs="宋体"/>
          <w:sz w:val="36"/>
          <w:szCs w:val="36"/>
        </w:rPr>
        <w:t>第四部分 名词解释</w:t>
      </w:r>
    </w:p>
    <w:p>
      <w:pPr>
        <w:pStyle w:val="000001"/>
        <w:spacing w:line="600" w:lineRule="exact"/>
        <w:ind/>
        <w:jc w:val="center"/>
        <w:rPr>
          <w:rFonts w:ascii="黑体" w:hAnsi="黑体" w:eastAsia="黑体"/>
          <w:sz w:val="32"/>
          <w:szCs w:val="32"/>
        </w:rPr>
      </w:pPr>
    </w:p>
    <w:p>
      <w:pPr>
        <w:pStyle w:val="00000b"/>
        <w:spacing w:before="0" w:beforeAutospacing="false" w:after="0" w:afterAutospacing="false" w:line="600" w:lineRule="exact"/>
        <w:ind w:firstLine="627" w:firstLineChars="196"/>
        <w:jc w:val="both"/>
        <w:rPr>
          <w:rFonts w:ascii="仿宋_GB2312" w:hAnsi="黑体" w:eastAsia="仿宋_GB2312"/>
          <w:sz w:val="32"/>
          <w:szCs w:val="32"/>
        </w:rPr>
      </w:pPr>
      <w:r>
        <w:rPr>
          <w:rFonts w:hint="eastAsia" w:ascii="黑体" w:hAnsi="仿宋" w:eastAsia="黑体"/>
          <w:sz w:val="32"/>
          <w:szCs w:val="32"/>
        </w:rPr>
        <w:t>一、财政拨款收入</w:t>
      </w:r>
      <w:r>
        <w:rPr>
          <w:rFonts w:hint="eastAsia" w:ascii="仿宋_GB2312" w:hAnsi="仿宋" w:eastAsia="仿宋_GB2312"/>
          <w:b/>
          <w:sz w:val="32"/>
          <w:szCs w:val="32"/>
        </w:rPr>
        <w:t>：</w:t>
      </w:r>
      <w:r>
        <w:rPr>
          <w:rFonts w:hint="eastAsia" w:ascii="仿宋_GB2312" w:hAnsi="黑体" w:eastAsia="仿宋_GB2312"/>
          <w:sz w:val="32"/>
          <w:szCs w:val="32"/>
        </w:rPr>
        <w:t>指部门或单位从同级财政部门取得的财政预算资金。</w:t>
      </w:r>
    </w:p>
    <w:p>
      <w:pPr>
        <w:pStyle w:val="00000b"/>
        <w:spacing w:before="0" w:beforeAutospacing="false" w:after="0" w:afterAutospacing="false" w:line="600" w:lineRule="exact"/>
        <w:ind w:firstLine="627" w:firstLineChars="196"/>
        <w:jc w:val="both"/>
        <w:rPr>
          <w:rFonts w:ascii="黑体" w:hAnsi="黑体" w:eastAsia="黑体"/>
          <w:sz w:val="32"/>
          <w:szCs w:val="32"/>
        </w:rPr>
      </w:pPr>
      <w:r>
        <w:rPr>
          <w:rFonts w:hint="eastAsia" w:ascii="黑体" w:hAnsi="仿宋" w:eastAsia="黑体"/>
          <w:sz w:val="32"/>
          <w:szCs w:val="32"/>
        </w:rPr>
        <w:t>二、事业收入：</w:t>
      </w:r>
      <w:r>
        <w:rPr>
          <w:rFonts w:hint="eastAsia" w:ascii="仿宋_GB2312" w:hAnsi="黑体" w:eastAsia="仿宋_GB2312"/>
          <w:sz w:val="32"/>
          <w:szCs w:val="32"/>
        </w:rPr>
        <w:t>指事业单</w:t>
      </w:r>
      <w:r>
        <w:rPr>
          <w:rFonts w:hint="eastAsia" w:ascii="仿宋_GB2312" w:hAnsi="仿宋" w:eastAsia="仿宋_GB2312" w:cs="Times New Roman"/>
          <w:kern w:val="2"/>
          <w:sz w:val="32"/>
          <w:szCs w:val="32"/>
        </w:rPr>
        <w:t>位开展专业业务活动及辅助活动所取得的收入。</w:t>
      </w:r>
    </w:p>
    <w:p>
      <w:pPr>
        <w:pStyle w:val="00000b"/>
        <w:spacing w:before="0" w:beforeAutospacing="false" w:after="0" w:afterAutospacing="false"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三、财政专户管理资金：</w:t>
      </w:r>
      <w:r>
        <w:rPr>
          <w:rFonts w:hint="eastAsia" w:ascii="仿宋_GB2312" w:hAnsi="仿宋" w:eastAsia="仿宋_GB2312" w:cs="Times New Roman"/>
          <w:kern w:val="2"/>
          <w:sz w:val="32"/>
          <w:szCs w:val="32"/>
        </w:rPr>
        <w:t>指按照非税收入管理相关规定，纳入财政专户管理的教育收费等。</w:t>
      </w:r>
    </w:p>
    <w:p>
      <w:pPr>
        <w:pStyle w:val="00000b"/>
        <w:spacing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四、事业单位经营收入：</w:t>
      </w:r>
      <w:r>
        <w:rPr>
          <w:rFonts w:hint="eastAsia" w:ascii="仿宋_GB2312" w:hAnsi="仿宋" w:eastAsia="仿宋_GB2312" w:cs="Times New Roman"/>
          <w:kern w:val="2"/>
          <w:sz w:val="32"/>
          <w:szCs w:val="32"/>
        </w:rPr>
        <w:t>指事业单位在专业业务活动及其辅助活动之外开展非独立核算经营活动取得的收入。</w:t>
      </w:r>
    </w:p>
    <w:p>
      <w:pPr>
        <w:pStyle w:val="00000b"/>
        <w:spacing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五、附属单位上缴收入：</w:t>
      </w:r>
      <w:r>
        <w:rPr>
          <w:rFonts w:hint="eastAsia" w:ascii="仿宋_GB2312" w:hAnsi="仿宋" w:eastAsia="仿宋_GB2312" w:cs="Times New Roman"/>
          <w:kern w:val="2"/>
          <w:sz w:val="32"/>
          <w:szCs w:val="32"/>
        </w:rPr>
        <w:t>本单位所属下级单位上缴给本单位的全部收入。</w:t>
      </w:r>
    </w:p>
    <w:p>
      <w:pPr>
        <w:pStyle w:val="00000b"/>
        <w:spacing w:before="0" w:beforeAutospacing="false" w:after="0" w:afterAutospacing="false"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六、上年结转：</w:t>
      </w:r>
      <w:r>
        <w:rPr>
          <w:rFonts w:hint="eastAsia" w:ascii="仿宋_GB2312" w:hAnsi="仿宋" w:eastAsia="仿宋_GB2312" w:cs="Times New Roman"/>
          <w:kern w:val="2"/>
          <w:sz w:val="32"/>
          <w:szCs w:val="32"/>
        </w:rPr>
        <w:t>指以前年度安排、结转到本年仍按原用途继续使用的资金。</w:t>
      </w:r>
    </w:p>
    <w:p>
      <w:pPr>
        <w:pStyle w:val="00000b"/>
        <w:spacing w:before="0" w:beforeAutospacing="false" w:after="0" w:afterAutospacing="false"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七、结转下年：</w:t>
      </w:r>
      <w:r>
        <w:rPr>
          <w:rFonts w:hint="eastAsia" w:ascii="仿宋_GB2312" w:hAnsi="仿宋" w:eastAsia="仿宋_GB2312" w:cs="Times New Roman"/>
          <w:kern w:val="2"/>
          <w:sz w:val="32"/>
          <w:szCs w:val="32"/>
        </w:rPr>
        <w:t>指以前年度预算安排、因客观条件发生变化无法按原计划实施，需以后年度按原用途继续使用的资金。</w:t>
      </w:r>
    </w:p>
    <w:p>
      <w:pPr>
        <w:pStyle w:val="00000b"/>
        <w:spacing w:before="0" w:beforeAutospacing="false" w:after="0" w:afterAutospacing="false" w:line="600" w:lineRule="exact"/>
        <w:ind w:firstLine="627" w:firstLineChars="196"/>
        <w:rPr>
          <w:rFonts w:ascii="仿宋_GB2312" w:hAnsi="黑体" w:eastAsia="仿宋_GB2312"/>
          <w:sz w:val="32"/>
          <w:szCs w:val="32"/>
        </w:rPr>
      </w:pPr>
      <w:r>
        <w:rPr>
          <w:rFonts w:hint="eastAsia" w:ascii="黑体" w:hAnsi="黑体" w:eastAsia="黑体"/>
          <w:sz w:val="32"/>
          <w:szCs w:val="32"/>
        </w:rPr>
        <w:t>八、基本支出</w:t>
      </w:r>
      <w:r>
        <w:rPr>
          <w:rFonts w:hint="eastAsia" w:ascii="仿宋_GB2312" w:hAnsi="黑体" w:eastAsia="仿宋_GB2312"/>
          <w:b/>
          <w:sz w:val="32"/>
          <w:szCs w:val="32"/>
        </w:rPr>
        <w:t>：</w:t>
      </w:r>
      <w:r>
        <w:rPr>
          <w:rFonts w:hint="eastAsia" w:ascii="仿宋_GB2312" w:hAnsi="黑体" w:eastAsia="仿宋_GB2312"/>
          <w:sz w:val="32"/>
          <w:szCs w:val="32"/>
        </w:rPr>
        <w:t>指为保障机构正常运转、完成日常工作任务而发生的人员支出和公用支出。</w:t>
      </w:r>
    </w:p>
    <w:p>
      <w:pPr>
        <w:pStyle w:val="00000b"/>
        <w:spacing w:before="0" w:beforeAutospacing="false" w:after="0" w:afterAutospacing="false" w:line="600" w:lineRule="exact"/>
        <w:ind w:firstLine="627" w:firstLineChars="196"/>
        <w:jc w:val="both"/>
        <w:rPr>
          <w:rFonts w:hint="eastAsia" w:ascii="仿宋_GB2312" w:hAnsi="黑体" w:eastAsia="仿宋_GB2312"/>
          <w:sz w:val="32"/>
          <w:szCs w:val="32"/>
          <w:lang w:eastAsia="zh-CN"/>
        </w:rPr>
      </w:pPr>
      <w:r>
        <w:rPr>
          <w:rFonts w:hint="eastAsia" w:ascii="黑体" w:hAnsi="黑体" w:eastAsia="黑体"/>
          <w:sz w:val="32"/>
          <w:szCs w:val="32"/>
        </w:rPr>
        <w:t>九、项目支出</w:t>
      </w:r>
      <w:r>
        <w:rPr>
          <w:rFonts w:hint="eastAsia" w:ascii="仿宋_GB2312" w:hAnsi="黑体" w:eastAsia="仿宋_GB2312"/>
          <w:b/>
          <w:sz w:val="32"/>
          <w:szCs w:val="32"/>
        </w:rPr>
        <w:t>：</w:t>
      </w:r>
      <w:r>
        <w:rPr>
          <w:rFonts w:hint="eastAsia" w:ascii="仿宋_GB2312" w:hAnsi="黑体" w:eastAsia="仿宋_GB2312"/>
          <w:sz w:val="32"/>
          <w:szCs w:val="32"/>
        </w:rPr>
        <w:t>指在除基本支出之外的支出，主要用于完成特定的工作任务和事业发展目标。</w:t>
      </w:r>
    </w:p>
    <w:p>
      <w:pPr>
        <w:pStyle w:val="00000b"/>
        <w:spacing w:before="0" w:beforeAutospacing="false" w:after="0" w:afterAutospacing="false" w:line="600" w:lineRule="exact"/>
        <w:ind w:firstLine="627" w:firstLineChars="196"/>
        <w:jc w:val="both"/>
        <w:rPr>
          <w:rFonts w:ascii="仿宋_GB2312" w:hAnsi="黑体" w:eastAsia="仿宋_GB2312"/>
          <w:sz w:val="32"/>
          <w:szCs w:val="32"/>
        </w:rPr>
      </w:pPr>
      <w:r>
        <w:rPr>
          <w:rFonts w:hint="eastAsia" w:ascii="黑体" w:hAnsi="黑体" w:eastAsia="黑体"/>
          <w:sz w:val="32"/>
          <w:szCs w:val="32"/>
        </w:rPr>
        <w:t xml:space="preserve">    十、机关运行经费:</w:t>
      </w:r>
      <w:r>
        <w:rPr>
          <w:rFonts w:hint="eastAsia" w:ascii="仿宋_GB2312" w:hAnsi="黑体" w:eastAsia="仿宋_GB2312"/>
          <w:sz w:val="32"/>
          <w:szCs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pPr>
        <w:pStyle w:val="00000b"/>
        <w:spacing w:before="0" w:beforeAutospacing="false" w:after="0" w:afterAutospacing="false" w:line="600" w:lineRule="exact"/>
        <w:ind w:firstLine="627" w:firstLineChars="196"/>
        <w:jc w:val="both"/>
        <w:rPr>
          <w:rFonts w:ascii="仿宋_GB2312" w:hAnsi="Times New Roman" w:eastAsia="仿宋_GB2312"/>
          <w:kern w:val="2"/>
          <w:sz w:val="32"/>
          <w:szCs w:val="32"/>
        </w:rPr>
      </w:pPr>
      <w:r>
        <w:rPr>
          <w:rFonts w:hint="eastAsia" w:ascii="黑体" w:hAnsi="黑体" w:eastAsia="黑体"/>
          <w:sz w:val="32"/>
          <w:szCs w:val="32"/>
        </w:rPr>
        <w:t>十一、</w:t>
      </w:r>
      <w:r>
        <w:rPr>
          <w:rFonts w:hint="eastAsia" w:ascii="仿宋_GB2312" w:hAnsi="Times New Roman" w:eastAsia="仿宋_GB2312"/>
          <w:kern w:val="2"/>
          <w:sz w:val="32"/>
          <w:szCs w:val="32"/>
        </w:rPr>
        <w:t>……。</w:t>
      </w:r>
    </w:p>
    <w:sectPr>
      <w:footerReference r:id="rId5" w:type="default"/>
      <w:type w:val="nextPage"/>
      <w:pgSz w:w="11906" w:h="16838"/>
      <w:pgMar w:top="1440" w:right="1418" w:bottom="1440" w:left="1797" w:header="851" w:footer="992" w:gutter="0"/>
      <w:pgNumType/>
      <w:cols/>
      <w:docGrid w:type="linesAndChars" w:linePitch="312"/>
    </w:sectPr>
  </w:body>
</w:document>
</file>

<file path=word/fontTable.xml><?xml version="1.0" encoding="utf-8"?>
<w:fonts xmlns:w="http://schemas.openxmlformats.org/wordprocessingml/2006/main">
  <w:font w:name="楷体_GB2312">
    <w:altName w:val="楷体"/>
    <w:panose1 w:val="02010609030101010101"/>
    <w:charset w:val="86" w:characterSet="ISO-8859-1"/>
    <w:family w:val="modern"/>
    <w:pitch w:val="default"/>
    <w:sig w:usb0="00000001" w:usb1="080E0000" w:usb2="00000000" w:usb3="00000000" w:csb0="00040000" w:csb1="00000000"/>
  </w:font>
  <w:font w:name="仿宋">
    <w:panose1 w:val="02010609060101010101"/>
    <w:charset w:val="86" w:characterSet="ISO-8859-1"/>
    <w:family w:val="modern"/>
    <w:pitch w:val="default"/>
    <w:sig w:usb0="800002BF" w:usb1="38CF7CFA" w:usb2="00000016" w:usb3="00000000" w:csb0="00040001" w:csb1="00000000"/>
  </w:font>
  <w:font w:name="仿宋_GB2312">
    <w:altName w:val="仿宋"/>
    <w:panose1 w:val="02010609030101010101"/>
    <w:charset w:val="86" w:characterSet="ISO-8859-1"/>
    <w:family w:val="modern"/>
    <w:pitch w:val="default"/>
    <w:sig w:usb0="00000001" w:usb1="080E0000" w:usb2="00000000" w:usb3="00000000" w:csb0="00040000" w:csb1="00000000"/>
  </w:font>
  <w:font w:name="黑体">
    <w:panose1 w:val="02010609060101010101"/>
    <w:charset w:val="86" w:characterSet="ISO-8859-1"/>
    <w:family w:val="auto"/>
    <w:pitch w:val="default"/>
    <w:sig w:usb0="800002BF" w:usb1="38CF7CFA" w:usb2="00000016" w:usb3="00000000" w:csb0="00040001" w:csb1="00000000"/>
  </w:font>
  <w:font w:name="宋体">
    <w:panose1 w:val="02010600030101010101"/>
    <w:charset w:val="86" w:characterSet="ISO-8859-1"/>
    <w:family w:val="auto"/>
    <w:pitch w:val="default"/>
    <w:sig w:usb0="00000003" w:usb1="288F0000" w:usb2="00000006" w:usb3="00000000" w:csb0="00040001" w:csb1="00000000"/>
  </w:font>
  <w:font w:name="楷体">
    <w:panose1 w:val="02010609060101010101"/>
    <w:charset w:val="86" w:characterSet="ISO-8859-1"/>
    <w:family w:val="modern"/>
    <w:pitch w:val="default"/>
    <w:sig w:usb0="800002BF" w:usb1="38CF7CFA" w:usb2="00000016" w:usb3="00000000" w:csb0="00040001" w:csb1="00000000"/>
  </w:font>
  <w:font w:name="Times New Roman">
    <w:panose1 w:val="02020603050405020304"/>
    <w:charset w:val="00" w:characterSet="ISO-8859-1"/>
    <w:family w:val="auto"/>
    <w:pitch w:val="default"/>
    <w:sig w:usb0="E0002AFF" w:usb1="C0007841" w:usb2="00000009" w:usb3="00000000" w:csb0="400001FF" w:csb1="FFFF0000"/>
  </w:font>
  <w:font w:name="华文中宋">
    <w:altName w:val="宋体"/>
    <w:panose1 w:val="02010600040101010101"/>
    <w:charset w:val="86" w:characterSet="ISO-8859-1"/>
    <w:family w:val="auto"/>
    <w:pitch w:val="default"/>
    <w:sig w:usb0="00000287" w:usb1="080F0000" w:usb2="00000000" w:usb3="00000000" w:csb0="0004009F" w:csb1="DFD70000"/>
  </w:font>
</w:fonts>
</file>

<file path=word/footer1.xml><?xml version="1.0" encoding="utf-8"?>
<w:ftr xmlns:w="http://schemas.openxmlformats.org/wordprocessingml/2006/main">
  <w:p>
    <w:pPr>
      <w:pStyle w:val="000007"/>
      <w:tabs>
        <w:tab w:val="clear" w:pos="4153"/>
        <w:tab w:val="clear" w:pos="8306"/>
      </w:tabs>
      <w:ind/>
      <w:jc w:val="center"/>
      <w:rPr/>
    </w:pPr>
    <w:r>
      <w:rPr/>
      <w:fldChar w:fldCharType="begin"/>
    </w:r>
    <w:r>
      <w:rPr/>
      <w:instrText xml:space="preserve"> PAGE   \* MERGEFORMAT </w:instrText>
    </w:r>
    <w:r>
      <w:rPr/>
      <w:fldChar w:fldCharType="separate"/>
    </w:r>
    <w:r>
      <w:rPr>
        <w:lang w:val="zh-CN"/>
      </w:rPr>
      <w:t>14</w:t>
    </w:r>
    <w:r>
      <w:rPr/>
      <w:fldChar w:fldCharType="end"/>
    </w:r>
  </w:p>
  <w:p>
    <w:pPr>
      <w:pStyle w:val="000007"/>
      <w:tabs>
        <w:tab w:val="clear" w:pos="4153"/>
        <w:tab w:val="clear" w:pos="8306"/>
      </w:tabs>
      <w:ind/>
      <w:rPr/>
    </w:pPr>
  </w:p>
</w:ftr>
</file>

<file path=word/numbering.xml><?xml version="1.0" encoding="utf-8"?>
<w:numbering xmlns:w="http://schemas.openxmlformats.org/wordprocessingml/2006/main">
  <w:abstractNum w:abstractNumId="1">
    <w:nsid w:val="57C7443E"/>
    <w:multiLevelType w:val="singleLevel"/>
    <w:tmpl w:val="57C7443E"/>
    <w:lvl w:ilvl="0">
      <w:start w:val="2"/>
      <w:numFmt w:val="decimal"/>
      <w:suff w:val="nothing"/>
      <w:lvlText w:val="（%1）"/>
      <w:lvlJc w:val="left"/>
      <w:pPr>
        <w:pStyle w:val="000001"/>
        <w:ind/>
      </w:pPr>
      <w:rPr/>
    </w:lvl>
  </w:abstractNum>
  <w:abstractNum w:abstractNumId="2">
    <w:nsid w:val="61F34332"/>
    <w:multiLevelType w:val="singleLevel"/>
    <w:tmpl w:val="61F34332"/>
    <w:lvl w:ilvl="0">
      <w:start w:val="2"/>
      <w:numFmt w:val="chineseCounting"/>
      <w:suff w:val="nothing"/>
      <w:lvlText w:val="%1、"/>
      <w:lvlJc w:val="left"/>
      <w:pPr>
        <w:pStyle w:val="000001"/>
        <w:ind w:left="3"/>
      </w:pPr>
      <w:rPr/>
    </w:lvl>
  </w:abstractNum>
  <w:num w:numId="2">
    <w:abstractNumId w:val="1"/>
  </w:num>
  <w:num w:numId="1">
    <w:abstractNumId w:val="2"/>
  </w:num>
</w:numbering>
</file>

<file path=word/settings.xml><?xml version="1.0" encoding="utf-8"?>
<w:settings xmlns:w="http://schemas.openxmlformats.org/wordprocessingml/2006/main">
  <w:zoom w:percent="100"/>
  <w:stylePaneFormatFilter/>
  <w:defaultTabStop w:val="420"/>
  <w:displayHorizontalDrawingGridEvery w:val="0"/>
  <w:displayVerticalDrawingGridEvery w:val="2"/>
  <w:characterSpacingControl w:val="compressPunctuation"/>
  <w:footnotePr/>
  <w:endnotePr/>
  <w:compat>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settings>
</file>

<file path=word/styles.xml><?xml version="1.0" encoding="utf-8"?>
<w:styles xmlns:w="http://schemas.openxmlformats.org/wordprocessingml/2006/main">
  <w:docDefaults>
    <w:rPrDefault>
      <w:rPr>
        <w:rFonts w:ascii="Times New Roman" w:hAnsi="Times New Roman" w:eastAsia="宋体" w:cs="Times New Roman"/>
        <w:kern w:val="2"/>
        <w:sz w:val="21"/>
        <w:szCs w:val="22"/>
        <w:u/>
        <w:lang w:val="en-US"/>
      </w:rPr>
    </w:rPrDefault>
    <w:pPrDefault>
      <w:pPr>
        <w:tabs/>
        <w:autoSpaceDE/>
        <w:autoSpaceDN/>
        <w:snapToGrid/>
        <w:spacing/>
        <w:ind/>
      </w:pPr>
    </w:pPrDefault>
  </w:docDefaults>
  <w:style w:type="paragraph" w:styleId="000006">
    <w:name w:val="Balloon Text"/>
    <w:basedOn w:val="000001"/>
    <w:next w:val="000006"/>
    <w:link w:val="000001"/>
    <w:semiHidden/>
    <w:rPr>
      <w:sz w:val="18"/>
      <w:szCs w:val="18"/>
    </w:rPr>
  </w:style>
  <w:style w:type="paragraph" w:styleId="000007">
    <w:name w:val="footer"/>
    <w:basedOn w:val="000001"/>
    <w:next w:val="000007"/>
    <w:link w:val="000008"/>
    <w:uiPriority w:val="99"/>
    <w:pPr>
      <w:tabs>
        <w:tab w:val="center" w:leader="none" w:pos="4153"/>
        <w:tab w:val="right" w:leader="none" w:pos="8306"/>
      </w:tabs>
      <w:jc w:val="left"/>
    </w:pPr>
    <w:rPr>
      <w:sz w:val="18"/>
      <w:szCs w:val="18"/>
    </w:rPr>
  </w:style>
  <w:style w:type="character" w:styleId="000008">
    <w:name w:val="页脚 Char"/>
    <w:basedOn w:val="000003"/>
    <w:next w:val="000008"/>
    <w:link w:val="000007"/>
    <w:uiPriority w:val="99"/>
    <w:rPr>
      <w:kern w:val="2"/>
      <w:sz w:val="18"/>
      <w:szCs w:val="18"/>
    </w:rPr>
  </w:style>
  <w:style w:type="character" w:styleId="00000a">
    <w:name w:val="页眉 Char"/>
    <w:basedOn w:val="000003"/>
    <w:next w:val="00000a"/>
    <w:link w:val="000009"/>
    <w:rPr>
      <w:kern w:val="2"/>
      <w:sz w:val="18"/>
      <w:szCs w:val="18"/>
    </w:rPr>
  </w:style>
  <w:style w:type="paragraph" w:styleId="000009">
    <w:name w:val="header"/>
    <w:basedOn w:val="000001"/>
    <w:next w:val="000009"/>
    <w:link w:val="00000a"/>
    <w:pPr>
      <w:pBdr>
        <w:bottom w:val="single" w:color="000000" w:sz="6" w:space="1"/>
      </w:pBdr>
      <w:tabs>
        <w:tab w:val="center" w:leader="none" w:pos="4153"/>
        <w:tab w:val="right" w:leader="none" w:pos="8306"/>
      </w:tabs>
      <w:jc w:val="center"/>
    </w:pPr>
    <w:rPr>
      <w:sz w:val="18"/>
      <w:szCs w:val="18"/>
    </w:rPr>
  </w:style>
  <w:style w:type="paragraph" w:styleId="00000b">
    <w:name w:val="Normal (Web)"/>
    <w:basedOn w:val="000001"/>
    <w:next w:val="00000b"/>
    <w:link w:val="000001"/>
    <w:qFormat/>
    <w:pPr>
      <w:widowControl/>
      <w:tabs/>
      <w:spacing w:before="100" w:beforeAutospacing="true" w:after="100" w:afterAutospacing="true"/>
      <w:jc w:val="left"/>
    </w:pPr>
    <w:rPr>
      <w:rFonts w:ascii="宋体" w:hAnsi="宋体" w:cs="宋体"/>
      <w:kern w:val="0"/>
      <w:sz w:val="24"/>
    </w:rPr>
  </w:style>
  <w:style w:type="character" w:styleId="00000c">
    <w:name w:val="Strong"/>
    <w:basedOn w:val="000003"/>
    <w:next w:val="00000c"/>
    <w:link w:val="000001"/>
    <w:qFormat/>
    <w:rPr>
      <w:b/>
    </w:rPr>
  </w:style>
  <w:style w:type="paragraph" w:styleId="000001">
    <w:name w:val="Normal"/>
    <w:aliases w:val="正文"/>
    <w:next w:val="000002"/>
    <w:link w:val="000001"/>
    <w:qFormat/>
    <w:pPr>
      <w:widowControl w:val="false"/>
      <w:jc w:val="both"/>
    </w:pPr>
    <w:rPr>
      <w:kern w:val="2"/>
      <w:sz w:val="21"/>
      <w:szCs w:val="24"/>
      <w:lang w:val="en-US" w:eastAsia="zh-CN" w:bidi="ar-SA"/>
    </w:rPr>
  </w:style>
  <w:style w:type="table" w:styleId="000004">
    <w:name w:val="Normal Table"/>
    <w:next w:val="000004"/>
    <w:link w:val="000001"/>
    <w:semiHidden/>
  </w:style>
  <w:style w:type="paragraph" w:styleId="000005">
    <w:name w:val="Document Map"/>
    <w:basedOn w:val="000001"/>
    <w:next w:val="000005"/>
    <w:link w:val="000001"/>
    <w:semiHidden/>
    <w:pPr>
      <w:shd w:val="clear" w:color="auto" w:fill="000080"/>
    </w:pPr>
  </w:style>
  <w:style w:type="paragraph" w:styleId="000002">
    <w:name w:val="Body Text"/>
    <w:basedOn w:val="000001"/>
    <w:next w:val="000002"/>
    <w:link w:val="000001"/>
    <w:pPr>
      <w:jc w:val="center"/>
    </w:pPr>
    <w:rPr>
      <w:rFonts w:eastAsia="黑体"/>
      <w:sz w:val="36"/>
    </w:rPr>
  </w:style>
  <w:style w:type="character" w:styleId="000003">
    <w:name w:val="Default Paragraph Font"/>
    <w:next w:val="000003"/>
    <w:link w:val="000001"/>
    <w:semiHidden/>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0" Type="http://schemas.openxmlformats.org/officeDocument/2006/relationships/styles" Target="styles.xml" /><Relationship Id="rId1" Type="http://schemas.openxmlformats.org/officeDocument/2006/relationships/settings" Target="settings.xml" /><Relationship Id="rId2"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footer" Target="footer1.xml" /></Relationships>
</file>

<file path=word/theme/theme1.xml><?xml version="1.0" encoding="utf-8"?>
<a:theme xmlns:a="http://schemas.openxmlformats.org/drawingml/2006/main" xmlns:thm15="http://schemas.microsoft.com/office/thememl/2012/main" xmlns:mc="http://schemas.openxmlformats.org/markup-compatibility/2006" name="Office 主题​​" mc:Ignorable="thm15">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Application>Tencent office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2026-07-13T10:16:47Z</dcterms:created>
  <dcterms:modified xsi:type="dcterms:W3CDTF">2026-07-13T10:16:47Z</dcterms:modified>
</cp:coreProperties>
</file>