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7FD4D">
      <w:pPr>
        <w:keepNext w:val="0"/>
        <w:keepLines w:val="0"/>
        <w:pageBreakBefore w:val="0"/>
        <w:kinsoku/>
        <w:overflowPunct/>
        <w:topLinePunct w:val="0"/>
        <w:autoSpaceDE/>
        <w:autoSpaceDN/>
        <w:bidi w:val="0"/>
        <w:adjustRightInd/>
        <w:snapToGrid/>
        <w:spacing w:line="560" w:lineRule="exact"/>
        <w:ind w:firstLine="883" w:firstLineChars="200"/>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2025年濉溪县预算绩效管理工作总结</w:t>
      </w:r>
    </w:p>
    <w:p w14:paraId="493264DD">
      <w:pPr>
        <w:keepNext w:val="0"/>
        <w:keepLines w:val="0"/>
        <w:pageBreakBefore w:val="0"/>
        <w:kinsoku/>
        <w:overflowPunct/>
        <w:topLinePunct w:val="0"/>
        <w:autoSpaceDE/>
        <w:autoSpaceDN/>
        <w:bidi w:val="0"/>
        <w:adjustRightInd/>
        <w:snapToGrid/>
        <w:spacing w:line="560" w:lineRule="exact"/>
        <w:ind w:firstLine="883" w:firstLineChars="200"/>
        <w:textAlignment w:val="auto"/>
        <w:rPr>
          <w:rFonts w:hint="eastAsia" w:ascii="宋体" w:hAnsi="宋体" w:eastAsia="宋体" w:cs="宋体"/>
          <w:b/>
          <w:bCs/>
          <w:sz w:val="44"/>
          <w:szCs w:val="44"/>
          <w:lang w:val="en-US" w:eastAsia="zh-CN"/>
        </w:rPr>
      </w:pPr>
    </w:p>
    <w:p w14:paraId="6AB04FB4">
      <w:pPr>
        <w:keepNext w:val="0"/>
        <w:keepLines w:val="0"/>
        <w:pageBreakBefore w:val="0"/>
        <w:kinsoku/>
        <w:wordWrap/>
        <w:overflowPunct/>
        <w:topLinePunct w:val="0"/>
        <w:autoSpaceDE/>
        <w:autoSpaceDN/>
        <w:bidi w:val="0"/>
        <w:adjustRightInd/>
        <w:snapToGrid/>
        <w:spacing w:beforeAutospacing="0" w:afterAutospacing="0" w:line="600" w:lineRule="exact"/>
        <w:ind w:right="105" w:rightChars="5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val="en-US" w:eastAsia="zh-CN"/>
        </w:rPr>
        <w:t>县财政局</w:t>
      </w:r>
      <w:r>
        <w:rPr>
          <w:rFonts w:hint="default" w:ascii="Times New Roman" w:hAnsi="Times New Roman" w:eastAsia="仿宋_GB2312" w:cs="Times New Roman"/>
          <w:sz w:val="32"/>
          <w:szCs w:val="32"/>
          <w:lang w:val="en-US" w:eastAsia="zh-CN"/>
        </w:rPr>
        <w:t>深入贯彻落实预算绩效管理相关政策要求，以提升财政资源配置效率和资金使用效益为核心，构建“事前评估、事中监控、事后评价、结果应用”全链条管理体系，扎实推进各项预算绩效管理工作。现将全年工作情况总结如下：</w:t>
      </w:r>
    </w:p>
    <w:p w14:paraId="6BF5CC9B">
      <w:pPr>
        <w:keepNext w:val="0"/>
        <w:keepLines w:val="0"/>
        <w:pageBreakBefore w:val="0"/>
        <w:kinsoku/>
        <w:wordWrap/>
        <w:overflowPunct/>
        <w:topLinePunct w:val="0"/>
        <w:autoSpaceDE/>
        <w:autoSpaceDN/>
        <w:bidi w:val="0"/>
        <w:adjustRightInd/>
        <w:snapToGrid/>
        <w:spacing w:beforeAutospacing="0" w:afterAutospacing="0" w:line="600" w:lineRule="exact"/>
        <w:ind w:right="105" w:rightChars="5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一、2025</w:t>
      </w:r>
      <w:r>
        <w:rPr>
          <w:rFonts w:hint="eastAsia" w:ascii="黑体" w:hAnsi="黑体" w:eastAsia="黑体" w:cs="黑体"/>
          <w:b w:val="0"/>
          <w:bCs/>
          <w:sz w:val="32"/>
          <w:szCs w:val="32"/>
        </w:rPr>
        <w:t>年预算绩效管理工作开展情况</w:t>
      </w:r>
    </w:p>
    <w:p w14:paraId="1238BA8B">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firstLine="321" w:firstLineChars="100"/>
        <w:jc w:val="both"/>
        <w:textAlignment w:val="auto"/>
        <w:rPr>
          <w:rFonts w:hint="default" w:ascii="Times New Roman" w:hAnsi="Times New Roman" w:eastAsia="仿宋_GB2312" w:cs="Times New Roman"/>
          <w:b w:val="0"/>
          <w:bCs w:val="0"/>
          <w:sz w:val="32"/>
          <w:szCs w:val="32"/>
          <w:lang w:val="en-US" w:eastAsia="zh-CN"/>
        </w:rPr>
      </w:pPr>
      <w:r>
        <w:rPr>
          <w:rFonts w:hint="eastAsia" w:ascii="楷体_GB2312" w:hAnsi="楷体_GB2312" w:eastAsia="楷体_GB2312" w:cs="楷体_GB2312"/>
          <w:b/>
          <w:bCs/>
          <w:sz w:val="32"/>
          <w:szCs w:val="32"/>
          <w:lang w:val="en-US" w:eastAsia="zh-CN"/>
        </w:rPr>
        <w:t>健全工作机制，夯实管理基础。</w:t>
      </w:r>
      <w:r>
        <w:rPr>
          <w:rFonts w:hint="default" w:ascii="Times New Roman" w:hAnsi="Times New Roman" w:eastAsia="仿宋_GB2312" w:cs="Times New Roman"/>
          <w:b w:val="0"/>
          <w:bCs w:val="0"/>
          <w:sz w:val="32"/>
          <w:szCs w:val="32"/>
          <w:lang w:val="en-US" w:eastAsia="zh-CN"/>
        </w:rPr>
        <w:t>强化组织领导，明确各部门职责分工，形成“财务部门统筹协调、业务部门主体负责、多方联动配合”的工作格局，</w:t>
      </w:r>
      <w:r>
        <w:rPr>
          <w:rFonts w:hint="eastAsia" w:ascii="仿宋" w:hAnsi="仿宋" w:eastAsia="仿宋" w:cs="仿宋"/>
          <w:b w:val="0"/>
          <w:bCs w:val="0"/>
          <w:sz w:val="32"/>
          <w:szCs w:val="32"/>
          <w:lang w:val="en-US" w:eastAsia="zh-CN"/>
        </w:rPr>
        <w:t>印发《关于开展2024年度县级预算支出绩效单位自评和部门评价工作的通知》、《关于开展2025年县级财政重点绩效评价工作的通知》、《</w:t>
      </w:r>
      <w:r>
        <w:rPr>
          <w:rFonts w:hint="default" w:ascii="仿宋" w:hAnsi="仿宋" w:eastAsia="仿宋" w:cs="仿宋"/>
          <w:b w:val="0"/>
          <w:bCs w:val="0"/>
          <w:sz w:val="32"/>
          <w:szCs w:val="32"/>
          <w:lang w:val="en-US" w:eastAsia="zh-CN"/>
        </w:rPr>
        <w:t>关于开展202</w:t>
      </w:r>
      <w:r>
        <w:rPr>
          <w:rFonts w:hint="eastAsia" w:ascii="仿宋" w:hAnsi="仿宋" w:eastAsia="仿宋" w:cs="仿宋"/>
          <w:b w:val="0"/>
          <w:bCs w:val="0"/>
          <w:sz w:val="32"/>
          <w:szCs w:val="32"/>
          <w:lang w:val="en-US" w:eastAsia="zh-CN"/>
        </w:rPr>
        <w:t>6</w:t>
      </w:r>
      <w:r>
        <w:rPr>
          <w:rFonts w:hint="default" w:ascii="仿宋" w:hAnsi="仿宋" w:eastAsia="仿宋" w:cs="仿宋"/>
          <w:b w:val="0"/>
          <w:bCs w:val="0"/>
          <w:sz w:val="32"/>
          <w:szCs w:val="32"/>
          <w:lang w:val="en-US" w:eastAsia="zh-CN"/>
        </w:rPr>
        <w:t>年政策和项目事前绩效评估工作的通知</w:t>
      </w:r>
      <w:r>
        <w:rPr>
          <w:rFonts w:hint="eastAsia" w:ascii="仿宋" w:hAnsi="仿宋" w:eastAsia="仿宋" w:cs="仿宋"/>
          <w:b w:val="0"/>
          <w:bCs w:val="0"/>
          <w:sz w:val="32"/>
          <w:szCs w:val="32"/>
          <w:lang w:val="en-US" w:eastAsia="zh-CN"/>
        </w:rPr>
        <w:t>》等文件，加</w:t>
      </w:r>
      <w:r>
        <w:rPr>
          <w:rFonts w:hint="eastAsia" w:ascii="Times New Roman" w:hAnsi="Times New Roman" w:eastAsia="仿宋_GB2312" w:cs="Times New Roman"/>
          <w:b w:val="0"/>
          <w:bCs w:val="0"/>
          <w:sz w:val="32"/>
          <w:szCs w:val="32"/>
          <w:lang w:val="en-US" w:eastAsia="zh-CN"/>
        </w:rPr>
        <w:t>强对绩效管理工作的指导与监督，</w:t>
      </w:r>
      <w:r>
        <w:rPr>
          <w:rFonts w:hint="default" w:ascii="Times New Roman" w:hAnsi="Times New Roman" w:eastAsia="仿宋_GB2312" w:cs="Times New Roman"/>
          <w:b w:val="0"/>
          <w:bCs w:val="0"/>
          <w:sz w:val="32"/>
          <w:szCs w:val="32"/>
          <w:lang w:val="en-US" w:eastAsia="zh-CN"/>
        </w:rPr>
        <w:t>确保各项工作有章可循、有规可依。</w:t>
      </w:r>
    </w:p>
    <w:p w14:paraId="3AF7757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321" w:firstLineChars="100"/>
        <w:jc w:val="both"/>
        <w:textAlignment w:val="auto"/>
        <w:rPr>
          <w:rFonts w:hint="default"/>
          <w:lang w:val="en-US"/>
        </w:rPr>
      </w:pPr>
      <w:r>
        <w:rPr>
          <w:rFonts w:hint="eastAsia" w:ascii="楷体_GB2312" w:hAnsi="楷体_GB2312" w:eastAsia="楷体_GB2312" w:cs="楷体_GB2312"/>
          <w:b/>
          <w:bCs/>
          <w:sz w:val="32"/>
          <w:szCs w:val="32"/>
          <w:lang w:val="en-US" w:eastAsia="zh-CN"/>
        </w:rPr>
        <w:t>（二）严把事前关口，提升编制质量。</w:t>
      </w:r>
      <w:r>
        <w:rPr>
          <w:rFonts w:hint="default" w:ascii="Times New Roman" w:hAnsi="Times New Roman" w:eastAsia="仿宋_GB2312" w:cs="Times New Roman"/>
          <w:b w:val="0"/>
          <w:bCs w:val="0"/>
          <w:sz w:val="32"/>
          <w:szCs w:val="32"/>
          <w:lang w:val="en-US" w:eastAsia="zh-CN"/>
        </w:rPr>
        <w:t>扩大事前绩效评估覆盖范围，将重大政策出台、重点项目立项全部纳入评估范畴，重点审核立项必要性、目标合理性、预算科学性及资金使用合规性，从源头解决“钱该不该花、花多少、怎么花”的问题。严格绩效目标审核，按照“具体、可衡量、可实现、相关联、有时限”要求，对各部门报送的绩效目标进行逐项审核，对模糊不清、难以量化的目标退回重新编制，确保绩效目标</w:t>
      </w:r>
      <w:r>
        <w:rPr>
          <w:rFonts w:hint="eastAsia" w:ascii="Times New Roman" w:hAnsi="Times New Roman" w:eastAsia="仿宋_GB2312" w:cs="Times New Roman"/>
          <w:b w:val="0"/>
          <w:bCs w:val="0"/>
          <w:sz w:val="32"/>
          <w:szCs w:val="32"/>
          <w:lang w:val="en-US" w:eastAsia="zh-CN"/>
        </w:rPr>
        <w:t>与项目精准对接。</w:t>
      </w:r>
    </w:p>
    <w:p w14:paraId="17A991E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3" w:firstLineChars="200"/>
        <w:jc w:val="left"/>
        <w:textAlignment w:val="auto"/>
        <w:rPr>
          <w:rFonts w:hint="default" w:ascii="Times New Roman" w:hAnsi="Times New Roman" w:eastAsia="仿宋_GB2312" w:cs="Times New Roman"/>
          <w:b w:val="0"/>
          <w:bCs w:val="0"/>
          <w:sz w:val="32"/>
          <w:szCs w:val="32"/>
          <w:lang w:val="en-US" w:eastAsia="zh-CN"/>
        </w:rPr>
      </w:pPr>
      <w:r>
        <w:rPr>
          <w:rFonts w:hint="eastAsia" w:ascii="楷体_GB2312" w:hAnsi="楷体_GB2312" w:eastAsia="楷体_GB2312" w:cs="楷体_GB2312"/>
          <w:b/>
          <w:bCs/>
          <w:kern w:val="2"/>
          <w:sz w:val="32"/>
          <w:szCs w:val="32"/>
          <w:lang w:val="en-US" w:eastAsia="zh-CN" w:bidi="ar-SA"/>
        </w:rPr>
        <w:t>（三）强化事中监控，防范执行风险。</w:t>
      </w:r>
      <w:r>
        <w:rPr>
          <w:rFonts w:hint="eastAsia" w:ascii="Times New Roman" w:hAnsi="Times New Roman" w:eastAsia="仿宋_GB2312" w:cs="Times New Roman"/>
          <w:b w:val="0"/>
          <w:bCs w:val="0"/>
          <w:sz w:val="32"/>
          <w:szCs w:val="32"/>
          <w:lang w:val="en-US" w:eastAsia="zh-CN"/>
        </w:rPr>
        <w:t>组织78个预算单位对717项目进行了项目和整体支出绩效自评，涉及资金约41亿元。对绩效目标完成情况进行动态监控，对于支出进度较慢，偏离绩效目标的项目进行预警通报，要求说明原因及时整改，确保绩效目标如期保质保量完成。</w:t>
      </w:r>
    </w:p>
    <w:p w14:paraId="53D0D3A6">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hint="eastAsia" w:ascii="仿宋_GB2312" w:hAnsi="黑体" w:eastAsia="仿宋_GB2312"/>
          <w:sz w:val="32"/>
          <w:szCs w:val="32"/>
        </w:rPr>
      </w:pPr>
      <w:r>
        <w:rPr>
          <w:rFonts w:hint="eastAsia" w:ascii="楷体_GB2312" w:hAnsi="楷体_GB2312" w:eastAsia="楷体_GB2312" w:cs="楷体_GB2312"/>
          <w:b/>
          <w:bCs/>
          <w:kern w:val="2"/>
          <w:sz w:val="32"/>
          <w:szCs w:val="32"/>
          <w:lang w:val="en-US" w:eastAsia="zh-CN" w:bidi="ar-SA"/>
        </w:rPr>
        <w:t>（四）抓实事后评价，强化结果运用。</w:t>
      </w:r>
      <w:r>
        <w:rPr>
          <w:rFonts w:hint="eastAsia" w:ascii="仿宋" w:hAnsi="仿宋" w:eastAsia="仿宋" w:cs="仿宋"/>
          <w:b w:val="0"/>
          <w:bCs w:val="0"/>
          <w:sz w:val="32"/>
          <w:szCs w:val="32"/>
          <w:lang w:val="en-US" w:eastAsia="zh-CN"/>
        </w:rPr>
        <w:t>组织各预算单位进行2024年项目和整体支出绩效自评填报工作，压实部门预算绩效管理主体责任，推动各单位不断健全完善“全方位、全过程、全覆盖”预算绩效管理体系。县财政部门组织实施2024年度财政重点项目绩效评价，涉及2个部门整体及13个项目，金额约为7.36亿元，</w:t>
      </w:r>
      <w:r>
        <w:rPr>
          <w:rFonts w:hint="eastAsia" w:ascii="仿宋_GB2312" w:hAnsi="黑体" w:eastAsia="仿宋_GB2312"/>
          <w:sz w:val="32"/>
          <w:szCs w:val="32"/>
        </w:rPr>
        <w:t>进一步增强预算单位财政支出绩效意识，提高财政资金使用效益，切实做到“把钱花在刀刃上”。</w:t>
      </w:r>
    </w:p>
    <w:p w14:paraId="594E0DA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3" w:firstLineChars="200"/>
        <w:textAlignment w:val="auto"/>
        <w:rPr>
          <w:rFonts w:hint="default" w:ascii="仿宋" w:hAnsi="仿宋" w:eastAsia="仿宋" w:cs="仿宋"/>
          <w:b w:val="0"/>
          <w:bCs w:val="0"/>
          <w:sz w:val="32"/>
          <w:szCs w:val="32"/>
          <w:lang w:val="en-US" w:eastAsia="zh-CN"/>
        </w:rPr>
      </w:pPr>
      <w:r>
        <w:rPr>
          <w:rFonts w:hint="eastAsia" w:ascii="楷体_GB2312" w:hAnsi="楷体_GB2312" w:eastAsia="楷体_GB2312" w:cs="楷体_GB2312"/>
          <w:b/>
          <w:bCs/>
          <w:kern w:val="2"/>
          <w:sz w:val="32"/>
          <w:szCs w:val="32"/>
          <w:lang w:val="en-US" w:eastAsia="zh-CN" w:bidi="ar-SA"/>
        </w:rPr>
        <w:t>（五）深化成本评价，提升评估实效。</w:t>
      </w:r>
      <w:r>
        <w:rPr>
          <w:rFonts w:hint="eastAsia" w:ascii="仿宋" w:hAnsi="仿宋" w:eastAsia="仿宋" w:cs="仿宋"/>
          <w:b w:val="0"/>
          <w:bCs w:val="0"/>
          <w:sz w:val="32"/>
          <w:szCs w:val="32"/>
          <w:lang w:val="en-US" w:eastAsia="zh-CN"/>
        </w:rPr>
        <w:t>县财政局委托第三方对城乡客运公交一体化和污水处理厂经费项目开展成本预算绩效分析， 其中城乡客运一体化项目按照本次核定的运行成本定额标准以及车辆优化情况，测算出城乡公交项目预期财政补贴年度支出规模约为3087万元/年，预算财政补贴支出规模较2024年核减913万元，核减率为22.83%；污水处理厂经费项目建议财政支出定额标准为665.86万元/年，较预算（680万元/年）压减14.14万元，压减率为2.08%，确保财政资金每一分都用到实效。</w:t>
      </w:r>
    </w:p>
    <w:p w14:paraId="3FCFA8C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、存在问题</w:t>
      </w:r>
    </w:p>
    <w:p w14:paraId="76915C1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过去的一年，我</w:t>
      </w:r>
      <w:r>
        <w:rPr>
          <w:rFonts w:hint="eastAsia" w:ascii="仿宋_GB2312" w:hAnsi="仿宋_GB2312" w:eastAsia="仿宋_GB2312" w:cs="仿宋_GB2312"/>
          <w:color w:val="000000"/>
          <w:sz w:val="32"/>
          <w:szCs w:val="32"/>
          <w:lang w:val="en-US" w:eastAsia="zh-CN"/>
        </w:rPr>
        <w:t>县</w:t>
      </w:r>
      <w:r>
        <w:rPr>
          <w:rFonts w:hint="eastAsia" w:ascii="仿宋_GB2312" w:hAnsi="仿宋_GB2312" w:eastAsia="仿宋_GB2312" w:cs="仿宋_GB2312"/>
          <w:color w:val="000000"/>
          <w:sz w:val="32"/>
          <w:szCs w:val="32"/>
        </w:rPr>
        <w:t>预算绩效管理工作</w:t>
      </w:r>
      <w:r>
        <w:rPr>
          <w:rFonts w:hint="eastAsia" w:ascii="仿宋_GB2312" w:hAnsi="仿宋_GB2312" w:eastAsia="仿宋_GB2312" w:cs="仿宋_GB2312"/>
          <w:color w:val="000000"/>
          <w:sz w:val="32"/>
          <w:szCs w:val="32"/>
          <w:lang w:val="en-US" w:eastAsia="zh-CN"/>
        </w:rPr>
        <w:t>稳步推进</w:t>
      </w:r>
      <w:r>
        <w:rPr>
          <w:rFonts w:hint="eastAsia" w:ascii="仿宋_GB2312" w:hAnsi="仿宋_GB2312" w:eastAsia="仿宋_GB2312" w:cs="仿宋_GB2312"/>
          <w:color w:val="000000"/>
          <w:sz w:val="32"/>
          <w:szCs w:val="32"/>
        </w:rPr>
        <w:t>，但由于部分部门绩效管理意识不够强，主体责任落实不够到位，预算绩效管理工作仍存在部门</w:t>
      </w:r>
      <w:r>
        <w:rPr>
          <w:rFonts w:hint="eastAsia" w:ascii="仿宋_GB2312" w:hAnsi="仿宋_GB2312" w:eastAsia="仿宋_GB2312" w:cs="仿宋_GB2312"/>
          <w:color w:val="000000"/>
          <w:sz w:val="32"/>
          <w:szCs w:val="32"/>
          <w:lang w:val="en-US" w:eastAsia="zh-CN"/>
        </w:rPr>
        <w:t>开展</w:t>
      </w:r>
      <w:r>
        <w:rPr>
          <w:rFonts w:hint="eastAsia" w:ascii="仿宋_GB2312" w:hAnsi="仿宋_GB2312" w:eastAsia="仿宋_GB2312" w:cs="仿宋_GB2312"/>
          <w:color w:val="000000"/>
          <w:sz w:val="32"/>
          <w:szCs w:val="32"/>
        </w:rPr>
        <w:t>事前绩效</w:t>
      </w:r>
      <w:bookmarkStart w:id="0" w:name="_GoBack"/>
      <w:bookmarkEnd w:id="0"/>
      <w:r>
        <w:rPr>
          <w:rFonts w:hint="eastAsia" w:ascii="仿宋_GB2312" w:hAnsi="仿宋_GB2312" w:eastAsia="仿宋_GB2312" w:cs="仿宋_GB2312"/>
          <w:color w:val="000000"/>
          <w:sz w:val="32"/>
          <w:szCs w:val="32"/>
        </w:rPr>
        <w:t>评估不够规范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绩效目标设置不够科学合理</w:t>
      </w:r>
      <w:r>
        <w:rPr>
          <w:rFonts w:hint="eastAsia" w:ascii="仿宋_GB2312" w:hAnsi="仿宋_GB2312" w:eastAsia="仿宋_GB2312" w:cs="仿宋_GB2312"/>
          <w:color w:val="000000"/>
          <w:sz w:val="32"/>
          <w:szCs w:val="32"/>
          <w:lang w:val="en-US" w:eastAsia="zh-CN"/>
        </w:rPr>
        <w:t>等问题。</w:t>
      </w:r>
    </w:p>
    <w:p w14:paraId="156EEB2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color w:val="000000"/>
          <w:sz w:val="32"/>
          <w:szCs w:val="32"/>
          <w:lang w:val="en-US" w:eastAsia="zh-CN"/>
        </w:rPr>
        <w:t>下一步，</w:t>
      </w:r>
      <w:r>
        <w:rPr>
          <w:rFonts w:hint="default" w:ascii="Times New Roman" w:hAnsi="Times New Roman" w:eastAsia="仿宋_GB2312" w:cs="Times New Roman"/>
          <w:kern w:val="0"/>
          <w:sz w:val="32"/>
          <w:szCs w:val="32"/>
          <w:lang w:val="en-US" w:eastAsia="zh-CN" w:bidi="ar"/>
        </w:rPr>
        <w:t>我们将坚持问题导向、目标导向和结果导向，进一步深化预算绩效管理改革，不断提升财政资源配置效率和财政资金使用效益。</w:t>
      </w:r>
    </w:p>
    <w:p w14:paraId="1F91E4A4">
      <w:pPr>
        <w:keepNext w:val="0"/>
        <w:keepLines w:val="0"/>
        <w:pageBreakBefore w:val="0"/>
        <w:numPr>
          <w:ilvl w:val="0"/>
          <w:numId w:val="0"/>
        </w:numPr>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bCs/>
          <w:kern w:val="0"/>
          <w:sz w:val="32"/>
          <w:szCs w:val="32"/>
          <w:lang w:val="en-US" w:eastAsia="zh-CN" w:bidi="ar"/>
        </w:rPr>
      </w:pPr>
      <w:r>
        <w:rPr>
          <w:rFonts w:hint="eastAsia" w:ascii="黑体" w:hAnsi="黑体" w:eastAsia="黑体" w:cs="黑体"/>
          <w:b w:val="0"/>
          <w:bCs w:val="0"/>
          <w:sz w:val="32"/>
          <w:szCs w:val="32"/>
          <w:lang w:val="en-US" w:eastAsia="zh-CN"/>
        </w:rPr>
        <w:t>三、下一步工作打算</w:t>
      </w:r>
    </w:p>
    <w:p w14:paraId="00DC1B27">
      <w:pPr>
        <w:keepNext w:val="0"/>
        <w:keepLines w:val="0"/>
        <w:pageBreakBefore w:val="0"/>
        <w:numPr>
          <w:ilvl w:val="0"/>
          <w:numId w:val="0"/>
        </w:numPr>
        <w:kinsoku/>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kern w:val="0"/>
          <w:sz w:val="32"/>
          <w:szCs w:val="32"/>
          <w:lang w:val="en-US" w:eastAsia="zh-CN" w:bidi="ar"/>
        </w:rPr>
      </w:pPr>
      <w:r>
        <w:rPr>
          <w:rFonts w:hint="eastAsia" w:ascii="楷体_GB2312" w:hAnsi="楷体_GB2312" w:eastAsia="楷体_GB2312" w:cs="楷体_GB2312"/>
          <w:b/>
          <w:bCs/>
          <w:kern w:val="0"/>
          <w:sz w:val="32"/>
          <w:szCs w:val="32"/>
          <w:lang w:val="en-US" w:eastAsia="zh-CN" w:bidi="ar"/>
        </w:rPr>
        <w:t>（一）压实部门主体责任。</w:t>
      </w:r>
      <w:r>
        <w:rPr>
          <w:rFonts w:hint="eastAsia" w:ascii="Times New Roman" w:hAnsi="Times New Roman" w:eastAsia="仿宋_GB2312" w:cs="Times New Roman"/>
          <w:kern w:val="0"/>
          <w:sz w:val="32"/>
          <w:szCs w:val="32"/>
          <w:lang w:val="en-US" w:eastAsia="zh-CN" w:bidi="ar"/>
        </w:rPr>
        <w:t>以制度为保障、以宣传为措施，形成财政资金必须讲责任、重绩效的社会共识。加强同市直部门的沟通对话、协同合作、培训指导，持续推进预算绩效管理工作与部门业务工作的融合，积极争取各级党委、政府的重视和支持，梯次推进项目和政策绩效、部门整体绩效和政府预算绩效。</w:t>
      </w:r>
    </w:p>
    <w:p w14:paraId="15556C51">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color w:val="000000"/>
          <w:sz w:val="32"/>
          <w:szCs w:val="32"/>
        </w:rPr>
      </w:pPr>
      <w:r>
        <w:rPr>
          <w:rFonts w:hint="eastAsia" w:ascii="Times New Roman" w:hAnsi="Times New Roman" w:eastAsia="楷体_GB2312" w:cs="Times New Roman"/>
          <w:b/>
          <w:color w:val="000000"/>
          <w:sz w:val="32"/>
          <w:szCs w:val="32"/>
          <w:lang w:val="en-US" w:eastAsia="zh-CN"/>
        </w:rPr>
        <w:t>（二）持续强化源头管理</w:t>
      </w:r>
      <w:r>
        <w:rPr>
          <w:rFonts w:hint="default" w:ascii="Times New Roman" w:hAnsi="Times New Roman" w:eastAsia="楷体_GB2312" w:cs="Times New Roman"/>
          <w:b/>
          <w:color w:val="000000"/>
          <w:sz w:val="32"/>
          <w:szCs w:val="32"/>
          <w:lang w:val="en-US" w:eastAsia="zh-CN"/>
        </w:rPr>
        <w:t>。</w:t>
      </w:r>
      <w:r>
        <w:rPr>
          <w:rFonts w:hint="eastAsia" w:ascii="仿宋_GB2312" w:hAnsi="仿宋_GB2312" w:eastAsia="仿宋_GB2312" w:cs="仿宋_GB2312"/>
          <w:b w:val="0"/>
          <w:bCs w:val="0"/>
          <w:color w:val="000000"/>
          <w:kern w:val="2"/>
          <w:sz w:val="32"/>
          <w:szCs w:val="32"/>
          <w:lang w:val="en-US" w:eastAsia="zh-CN" w:bidi="ar-SA"/>
        </w:rPr>
        <w:t>常态化做好绩效目标审核工作，不断强化县直部门绩效目标管理意识，督促县直预算部门科学合理设置经济效益、社会效益等各项绩效指标，确保绩效目标编制切实可行。</w:t>
      </w:r>
      <w:r>
        <w:rPr>
          <w:rFonts w:hint="eastAsia" w:ascii="Times New Roman" w:hAnsi="Times New Roman" w:eastAsia="仿宋_GB2312" w:cs="Times New Roman"/>
          <w:color w:val="000000"/>
          <w:sz w:val="32"/>
          <w:szCs w:val="32"/>
          <w:lang w:eastAsia="zh-CN"/>
        </w:rPr>
        <w:t>进一步</w:t>
      </w:r>
      <w:r>
        <w:rPr>
          <w:rFonts w:hint="eastAsia" w:ascii="Times New Roman" w:hAnsi="Times New Roman" w:eastAsia="仿宋_GB2312" w:cs="Times New Roman"/>
          <w:color w:val="000000"/>
          <w:sz w:val="32"/>
          <w:szCs w:val="32"/>
          <w:lang w:val="en-US" w:eastAsia="zh-CN"/>
        </w:rPr>
        <w:t>加快我县预算绩效管理进程</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lang w:val="en-US" w:eastAsia="zh-CN"/>
        </w:rPr>
        <w:t>按照预算编制、执行、监管和评价</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四位一体”的要求，建立以</w:t>
      </w:r>
      <w:r>
        <w:rPr>
          <w:rFonts w:hint="eastAsia" w:ascii="仿宋_GB2312" w:hAnsi="仿宋_GB2312" w:eastAsia="仿宋_GB2312" w:cs="仿宋_GB2312"/>
          <w:sz w:val="32"/>
          <w:szCs w:val="32"/>
          <w:lang w:val="en-US" w:eastAsia="zh-CN"/>
        </w:rPr>
        <w:t>绩效目标</w:t>
      </w:r>
      <w:r>
        <w:rPr>
          <w:rFonts w:hint="default" w:ascii="仿宋_GB2312" w:hAnsi="仿宋_GB2312" w:eastAsia="仿宋_GB2312" w:cs="仿宋_GB2312"/>
          <w:sz w:val="32"/>
          <w:szCs w:val="32"/>
          <w:lang w:val="en-US" w:eastAsia="zh-CN"/>
        </w:rPr>
        <w:t>为导向的</w:t>
      </w:r>
      <w:r>
        <w:rPr>
          <w:rFonts w:hint="eastAsia" w:ascii="仿宋_GB2312" w:hAnsi="仿宋_GB2312" w:eastAsia="仿宋_GB2312" w:cs="仿宋_GB2312"/>
          <w:sz w:val="32"/>
          <w:szCs w:val="32"/>
          <w:lang w:val="en-US" w:eastAsia="zh-CN"/>
        </w:rPr>
        <w:t>绩</w:t>
      </w:r>
      <w:r>
        <w:rPr>
          <w:rFonts w:hint="default" w:ascii="仿宋_GB2312" w:hAnsi="仿宋_GB2312" w:eastAsia="仿宋_GB2312" w:cs="仿宋_GB2312"/>
          <w:sz w:val="32"/>
          <w:szCs w:val="32"/>
          <w:lang w:val="en-US" w:eastAsia="zh-CN"/>
        </w:rPr>
        <w:t>效管理制度体系。</w:t>
      </w:r>
    </w:p>
    <w:p w14:paraId="2120FBF5">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楷体_GB2312" w:cs="Times New Roman"/>
          <w:b/>
          <w:color w:val="000000"/>
          <w:sz w:val="32"/>
          <w:szCs w:val="32"/>
        </w:rPr>
        <w:t>（</w:t>
      </w:r>
      <w:r>
        <w:rPr>
          <w:rFonts w:hint="eastAsia" w:ascii="Times New Roman" w:hAnsi="Times New Roman" w:eastAsia="楷体_GB2312" w:cs="Times New Roman"/>
          <w:b/>
          <w:color w:val="000000"/>
          <w:sz w:val="32"/>
          <w:szCs w:val="32"/>
          <w:lang w:val="en-US" w:eastAsia="zh-CN"/>
        </w:rPr>
        <w:t>三</w:t>
      </w:r>
      <w:r>
        <w:rPr>
          <w:rFonts w:hint="eastAsia" w:ascii="Times New Roman" w:hAnsi="Times New Roman" w:eastAsia="楷体_GB2312" w:cs="Times New Roman"/>
          <w:b/>
          <w:color w:val="000000"/>
          <w:sz w:val="32"/>
          <w:szCs w:val="32"/>
        </w:rPr>
        <w:t>）</w:t>
      </w:r>
      <w:r>
        <w:rPr>
          <w:rFonts w:ascii="Times New Roman" w:hAnsi="Times New Roman" w:eastAsia="楷体_GB2312" w:cs="Times New Roman"/>
          <w:b/>
          <w:color w:val="000000"/>
          <w:sz w:val="32"/>
          <w:szCs w:val="32"/>
        </w:rPr>
        <w:t>着力提升评价质量</w:t>
      </w:r>
      <w:r>
        <w:rPr>
          <w:rFonts w:hint="eastAsia" w:ascii="Times New Roman" w:hAnsi="Times New Roman" w:eastAsia="楷体_GB2312" w:cs="Times New Roman"/>
          <w:b/>
          <w:color w:val="000000"/>
          <w:sz w:val="32"/>
          <w:szCs w:val="32"/>
        </w:rPr>
        <w:t>。</w:t>
      </w:r>
      <w:r>
        <w:rPr>
          <w:rFonts w:hint="eastAsia" w:ascii="仿宋_GB2312" w:hAnsi="仿宋_GB2312" w:eastAsia="仿宋_GB2312" w:cs="仿宋_GB2312"/>
          <w:sz w:val="32"/>
          <w:szCs w:val="32"/>
        </w:rPr>
        <w:t>加大部门评价和财政评价的力度，逐步拓展部门评价的覆盖面，提升部门评价的覆盖率。全力推进成本预算绩效管理</w:t>
      </w:r>
      <w:r>
        <w:rPr>
          <w:rFonts w:hint="eastAsia" w:ascii="仿宋_GB2312" w:hAnsi="仿宋_GB2312" w:eastAsia="仿宋_GB2312" w:cs="仿宋_GB2312"/>
          <w:sz w:val="32"/>
          <w:szCs w:val="32"/>
          <w:lang w:val="en-US" w:eastAsia="zh-CN"/>
        </w:rPr>
        <w:t>试点工作</w:t>
      </w:r>
      <w:r>
        <w:rPr>
          <w:rFonts w:hint="eastAsia" w:ascii="仿宋_GB2312" w:hAnsi="仿宋_GB2312" w:eastAsia="仿宋_GB2312" w:cs="仿宋_GB2312"/>
          <w:sz w:val="32"/>
          <w:szCs w:val="32"/>
          <w:lang w:eastAsia="zh-CN"/>
        </w:rPr>
        <w:t>，选取</w:t>
      </w:r>
      <w:r>
        <w:rPr>
          <w:rFonts w:hint="eastAsia" w:ascii="仿宋_GB2312" w:hAnsi="仿宋_GB2312" w:eastAsia="仿宋_GB2312" w:cs="仿宋_GB2312"/>
          <w:sz w:val="32"/>
          <w:szCs w:val="32"/>
          <w:lang w:val="en-US" w:eastAsia="zh-CN"/>
        </w:rPr>
        <w:t>重点领域</w:t>
      </w:r>
      <w:r>
        <w:rPr>
          <w:rFonts w:hint="eastAsia" w:ascii="仿宋_GB2312" w:hAnsi="仿宋_GB2312" w:eastAsia="仿宋_GB2312" w:cs="仿宋_GB2312"/>
          <w:sz w:val="32"/>
          <w:szCs w:val="32"/>
          <w:lang w:eastAsia="zh-CN"/>
        </w:rPr>
        <w:t>项目开展成本效益分析。</w:t>
      </w:r>
      <w:r>
        <w:rPr>
          <w:rFonts w:hint="eastAsia" w:ascii="仿宋_GB2312" w:hAnsi="仿宋_GB2312" w:eastAsia="仿宋_GB2312" w:cs="仿宋_GB2312"/>
          <w:sz w:val="32"/>
          <w:szCs w:val="32"/>
        </w:rPr>
        <w:t>建立由第三方机构、专家和社会公众有序参与的绩效评价体系，</w:t>
      </w:r>
      <w:r>
        <w:rPr>
          <w:rFonts w:hint="eastAsia" w:ascii="仿宋_GB2312" w:hAnsi="仿宋_GB2312" w:eastAsia="仿宋_GB2312" w:cs="仿宋_GB2312"/>
          <w:sz w:val="32"/>
          <w:szCs w:val="32"/>
          <w:lang w:eastAsia="zh-CN"/>
        </w:rPr>
        <w:t>加强第三方执业质量监督，规范和引导第三方提高执业质量，增强绩效评价权威性和公信力。</w:t>
      </w:r>
    </w:p>
    <w:p w14:paraId="289E2BE9">
      <w:pPr>
        <w:ind w:firstLine="643" w:firstLineChars="200"/>
        <w:rPr>
          <w:rFonts w:hint="default"/>
          <w:lang w:val="en-US"/>
        </w:rPr>
      </w:pPr>
      <w:r>
        <w:rPr>
          <w:rFonts w:hint="eastAsia" w:ascii="Times New Roman" w:hAnsi="Times New Roman" w:eastAsia="楷体_GB2312" w:cs="Times New Roman"/>
          <w:b/>
          <w:color w:val="000000"/>
          <w:sz w:val="32"/>
          <w:szCs w:val="32"/>
        </w:rPr>
        <w:t>（</w:t>
      </w:r>
      <w:r>
        <w:rPr>
          <w:rFonts w:hint="eastAsia" w:ascii="Times New Roman" w:hAnsi="Times New Roman" w:eastAsia="楷体_GB2312" w:cs="Times New Roman"/>
          <w:b/>
          <w:color w:val="000000"/>
          <w:sz w:val="32"/>
          <w:szCs w:val="32"/>
          <w:lang w:val="en-US" w:eastAsia="zh-CN"/>
        </w:rPr>
        <w:t>四</w:t>
      </w:r>
      <w:r>
        <w:rPr>
          <w:rFonts w:hint="eastAsia" w:ascii="Times New Roman" w:hAnsi="Times New Roman" w:eastAsia="楷体_GB2312" w:cs="Times New Roman"/>
          <w:b/>
          <w:color w:val="000000"/>
          <w:sz w:val="32"/>
          <w:szCs w:val="32"/>
        </w:rPr>
        <w:t>）</w:t>
      </w:r>
      <w:r>
        <w:rPr>
          <w:rFonts w:ascii="Times New Roman" w:hAnsi="Times New Roman" w:eastAsia="楷体_GB2312" w:cs="Times New Roman"/>
          <w:b/>
          <w:color w:val="000000"/>
          <w:sz w:val="32"/>
          <w:szCs w:val="32"/>
        </w:rPr>
        <w:t>突出绩效评价约束</w:t>
      </w:r>
      <w:r>
        <w:rPr>
          <w:rFonts w:hint="eastAsia" w:ascii="Times New Roman" w:hAnsi="Times New Roman" w:eastAsia="楷体_GB2312" w:cs="Times New Roman"/>
          <w:b/>
          <w:color w:val="000000"/>
          <w:sz w:val="32"/>
          <w:szCs w:val="32"/>
        </w:rPr>
        <w:t>。</w:t>
      </w:r>
      <w:r>
        <w:rPr>
          <w:rFonts w:ascii="Times New Roman" w:hAnsi="Times New Roman" w:eastAsia="仿宋_GB2312" w:cs="Times New Roman"/>
          <w:color w:val="000000"/>
          <w:sz w:val="32"/>
          <w:szCs w:val="32"/>
        </w:rPr>
        <w:t>建立评价结果与年度预算安排挂钩的正向激励机制，将绩效评价结果作为编制预算的重要依据，及时向市人大常委会报告财政资金绩效情况，主动接受人大监督。按照“谁评价、谁公开”的原则，由主管部门将部门自评报告向社会公开，接受公众监督。落实好部门预算绩效评价的主体责任，探索财政政策执行后的评估机制，完善决策失误的追究办法，增强财政预算绩效评价的刚性约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FA32E"/>
    <w:multiLevelType w:val="singleLevel"/>
    <w:tmpl w:val="0E0FA32E"/>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45F8"/>
    <w:rsid w:val="01F42D45"/>
    <w:rsid w:val="032A4C70"/>
    <w:rsid w:val="0B07463D"/>
    <w:rsid w:val="0B1A7CC0"/>
    <w:rsid w:val="0EBE0962"/>
    <w:rsid w:val="1221564B"/>
    <w:rsid w:val="13E9022F"/>
    <w:rsid w:val="152C412F"/>
    <w:rsid w:val="1A6A7BF0"/>
    <w:rsid w:val="20C77B4A"/>
    <w:rsid w:val="21D70261"/>
    <w:rsid w:val="21DF0EC4"/>
    <w:rsid w:val="22372AAE"/>
    <w:rsid w:val="2AB415F0"/>
    <w:rsid w:val="2BDF28D0"/>
    <w:rsid w:val="2F7736F3"/>
    <w:rsid w:val="2FF56292"/>
    <w:rsid w:val="34B63D06"/>
    <w:rsid w:val="36486BE0"/>
    <w:rsid w:val="37356040"/>
    <w:rsid w:val="38B844F1"/>
    <w:rsid w:val="3B7364AD"/>
    <w:rsid w:val="42FC76D0"/>
    <w:rsid w:val="4E690BD6"/>
    <w:rsid w:val="4F6E3703"/>
    <w:rsid w:val="512A0C17"/>
    <w:rsid w:val="527E1EAF"/>
    <w:rsid w:val="532365B3"/>
    <w:rsid w:val="54307C6F"/>
    <w:rsid w:val="56503B63"/>
    <w:rsid w:val="58BD6B62"/>
    <w:rsid w:val="58C85C32"/>
    <w:rsid w:val="595C45CC"/>
    <w:rsid w:val="5B595267"/>
    <w:rsid w:val="5BDD0256"/>
    <w:rsid w:val="5CF54B1C"/>
    <w:rsid w:val="5E510478"/>
    <w:rsid w:val="5FA56CCD"/>
    <w:rsid w:val="5FFC08B7"/>
    <w:rsid w:val="61FF01EB"/>
    <w:rsid w:val="64946EB7"/>
    <w:rsid w:val="66B23A7E"/>
    <w:rsid w:val="6AEE1900"/>
    <w:rsid w:val="6F751AEC"/>
    <w:rsid w:val="72A02ECB"/>
    <w:rsid w:val="77025D87"/>
    <w:rsid w:val="794C38BE"/>
    <w:rsid w:val="7A5769BE"/>
    <w:rsid w:val="7DBB1012"/>
    <w:rsid w:val="7F34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1813</Words>
  <Characters>1873</Characters>
  <Lines>0</Lines>
  <Paragraphs>0</Paragraphs>
  <TotalTime>101</TotalTime>
  <ScaleCrop>false</ScaleCrop>
  <LinksUpToDate>false</LinksUpToDate>
  <CharactersWithSpaces>1874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2025-07-24T00:23:00Z</dcterms:created>
  <dc:creator>宋晴辰</dc:creator>
  <cp:lastModifiedBy>Williuna</cp:lastModifiedBy>
  <dcterms:modified xsi:type="dcterms:W3CDTF">2026-08-19T01:15:11Z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eyJoZGlkIjoiOGRlMWRjMjRlMzFjZWQxZTI1OTE5YjgyZTgyNWQwNzgiLCJ1c2VySWQiOiI2NzYwNTU2OTEifQ==</vt:lpwstr>
  </property>
  <property fmtid="{D5CDD505-2E9C-101B-9397-08002B2CF9AE}" pid="4" name="ICV">
    <vt:lpwstr>5517C8D7A83D40DBA88D6EBAAEE47488_13</vt:lpwstr>
  </property>
</Properties>
</file>