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312" w:afterLines="100" w:line="520" w:lineRule="exact"/>
        <w:ind w:left="0" w:leftChars="0" w:firstLine="0" w:firstLineChars="0"/>
        <w:jc w:val="center"/>
        <w:rPr>
          <w:rFonts w:ascii="Times New Roman" w:hAnsi="Times New Roman" w:eastAsia="仿宋_GB2312" w:cs="Times New Roman"/>
          <w:b/>
          <w:bCs/>
          <w:sz w:val="40"/>
          <w:szCs w:val="40"/>
        </w:rPr>
      </w:pPr>
      <w:r>
        <w:rPr>
          <w:rFonts w:hint="eastAsia" w:ascii="Times New Roman" w:hAnsi="Times New Roman" w:eastAsia="仿宋_GB2312" w:cs="Times New Roman"/>
          <w:b/>
          <w:bCs/>
          <w:sz w:val="40"/>
          <w:szCs w:val="40"/>
        </w:rPr>
        <w:t>濉溪县一网统管平台建设方案</w:t>
      </w:r>
    </w:p>
    <w:p>
      <w:pPr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近年来，濉溪县城市化进程加快，城市功能和规模不断扩大，发展方式、产业结构和区域布局发生深刻变化，城市运行系统日益复杂，安全风险不断增大，城市治理面临较大挑战。同时政务系统较多，涉及社会治理和服务的方方面面，但是大多系统处于信息孤岛的状态，各类数据得不到有效整合，数据无法共享共用，制约了城市治理与发展。为解决以上问题，贯彻落实省、市有关决策部署，濉溪县数据资源管理局基于前期部门调研情况，结合先发地区一网统管先进经验，提出以数据赋能破解城市治理难题方案，统筹规划建设数字濉溪“一网统管”项目。</w:t>
      </w:r>
    </w:p>
    <w:p>
      <w:pPr>
        <w:numPr>
          <w:ilvl w:val="0"/>
          <w:numId w:val="1"/>
        </w:numPr>
        <w:spacing w:after="0" w:line="360" w:lineRule="auto"/>
        <w:ind w:firstLine="640" w:firstLineChars="200"/>
        <w:jc w:val="both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政策背景</w:t>
      </w:r>
    </w:p>
    <w:p>
      <w:pPr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2021年3月，国家“十四五”规划明确提出，推进新型城市建设，推行城市运行一网统管。从政策层面明确了“一网统管”在新型智慧城市建设中的重要地位，是推动城市治理体系和治理能力现代化的关键基础工程。</w:t>
      </w:r>
    </w:p>
    <w:p>
      <w:pPr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《安徽省国民经济和社会发展第十四个五年规划和2035年远景目标纲要》明确提出，推进各市加快城市大脑建设，搭建基础能力平台，夯实基础设施体系，完善综合支撑体系，推进城市运行“一网统管”。</w:t>
      </w:r>
    </w:p>
    <w:p>
      <w:pPr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数字淮北建设规划（2021—2025年）》明确提出，充分发挥数据资源赋能作用，加快推进数字底座、数字政府、数字社会、数字经济和数字生态建设，着力打造淮北城市大脑，持续深化新型智慧城市应用，推动淮北经济社会各领域数字化转型发展。</w:t>
      </w:r>
    </w:p>
    <w:p>
      <w:pPr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濉溪县信息化平台统一规划不足，系统、数据都分散到各机房、各网络，信息链路较长，导致无法支撑现有系统互联互通、数据归集、共享等需求。同时本地缺乏云计算资源支撑未来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计算、数据存储、数据分析等能力。</w:t>
      </w:r>
    </w:p>
    <w:p>
      <w:pPr>
        <w:numPr>
          <w:ilvl w:val="0"/>
          <w:numId w:val="1"/>
        </w:numPr>
        <w:spacing w:after="0" w:line="360" w:lineRule="auto"/>
        <w:ind w:firstLine="640" w:firstLineChars="200"/>
        <w:jc w:val="both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建设意义</w:t>
      </w:r>
    </w:p>
    <w:p>
      <w:pPr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1、多源融合，实现数据互通共用</w:t>
      </w:r>
    </w:p>
    <w:p>
      <w:pPr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面加快我县信息资源的有序汇聚、关联分析、高效利用，并通过数据治理服务，整合利用新旧系统和多源数据，提供业务融合、技术融合、数据融合于一体，跨系统、跨部门、跨业务的协同共享服务，通过整合现有数据、系统等资源，打破部门及行业信息数据壁垒，实现全县政务信息系统和数据资源“一本账”管理、“一站式”浏览，推动数据在各部门、各层级之间有序共享，为“一网统管”场景提供专题数据服务。</w:t>
      </w:r>
    </w:p>
    <w:p>
      <w:pPr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2、打通线上线下，实现高效协同处置</w:t>
      </w:r>
    </w:p>
    <w:p>
      <w:pPr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全面接入城市治理事件，通过打造线上流程和事件分析模型，建立从事件发现告警到统一协同处理的全过程管理与控制流程，推动城市运行管理从管到防，提升我县对于综合类城市事件的协同处置和预防能力。</w:t>
      </w:r>
    </w:p>
    <w:p>
      <w:pPr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3、量化数据特征，实现全域运行监管</w:t>
      </w:r>
    </w:p>
    <w:p>
      <w:pPr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过构建数据指标体系，绘制濉溪县数据资源“一张图”，多视角展示数据资源接入，数据资源使用以及数据资源生产加工过程。推动城市治理实现从“人治”到“数智”的转变，全面提升城市治理能力的科学化、精细化和智能化。</w:t>
      </w:r>
    </w:p>
    <w:p>
      <w:pPr>
        <w:numPr>
          <w:ilvl w:val="0"/>
          <w:numId w:val="1"/>
        </w:numPr>
        <w:spacing w:after="0" w:line="360" w:lineRule="auto"/>
        <w:ind w:firstLine="640" w:firstLineChars="200"/>
        <w:jc w:val="both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项目建设必要性及可行性</w:t>
      </w:r>
    </w:p>
    <w:p>
      <w:pPr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1、建设必要性</w:t>
      </w:r>
    </w:p>
    <w:p>
      <w:pPr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濉溪县城市规模的扩张、人口及其流动性的日益增长，交通拥堵防范、城市治安维稳等城市管理工作压力日见加大。“濉溪一网统管平台”建设将为变革城市管理模式提供有力的技术保障，从而提升城市管理的监测、分析、预警、决策能力和智慧化水平，提高城市管理和服务的精细化程度，满足公众对城市生活和营商环境的新需求，也是一种认知城市的新角度、一种发展城市的新思维。</w:t>
      </w:r>
    </w:p>
    <w:p>
      <w:pPr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市管理的成功与否影响着我县的发展动力和潜力。推进一网统管现代化工作，有利于资源整合，形成有力的协同效应，同时积极探索一网统管方法和路径，让城市到处都洋溢着公道正派、安宁太平、宽厚祥和的气息，为全国城市治理的现代化树立成功的典范。</w:t>
      </w:r>
    </w:p>
    <w:p>
      <w:pPr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2、建设可行性</w:t>
      </w:r>
    </w:p>
    <w:p>
      <w:pPr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（1）政策可行性</w:t>
      </w:r>
    </w:p>
    <w:p>
      <w:pPr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四五规划明确提出，“加快数字化发展，建设数字中国，迎接数字时代。激活数据要素潜能，推进网络强国建设，加快建设数字经济、数字社会、数字政府，以数字化转型整体驱动生产方式、生活方式和治理方式变革。”数字政府是建设数字中国的重要组成部分，是落实数字现代化建设的重要保障。党的十九届四中全会、十九届五中全会其强调数字政府建设的必要性和紧迫性，提出“推进数字政府建设，加强数据有序共享”、“要加强数字社会、数字政府的建设，提升公共服务、城市治理等数字化、智能化水平”。</w:t>
      </w:r>
    </w:p>
    <w:p>
      <w:pPr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（2）技术可行性</w:t>
      </w:r>
    </w:p>
    <w:p>
      <w:pPr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本项目充分利用云计算、大数据等技术，本项目建设过程需要的相关技术都已经很成熟，以下是建设项目所需要的核心技术：</w:t>
      </w:r>
    </w:p>
    <w:p>
      <w:pPr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云计算技术：云平台提供稳定可靠、可伸缩的硬件服务支持、数据服务支持、软件中间件支持。</w:t>
      </w:r>
    </w:p>
    <w:p>
      <w:pPr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AI智能技术：AI智能分析技术实际上可以看做是数据库技术的应用分支。该技术应用于一网统管内的事件预警(异常判断)、趋势分析、服务创新等多种业务。商业智能技术已经得到成熟应用。</w:t>
      </w:r>
    </w:p>
    <w:p>
      <w:pPr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技术：本项目核心就是数据开发和综合利用工作，其中政务数据是本项目的核心原料池，因此数据安全、应用安全、物理安全、管理安全及保密工作是项目建设的基本红线。在本项目的涉及到的安全和保密技术上，国内已有全方位的安全等保体制和技术标准，从物理层、数据层、网络层、应用层、管理、测评、制度等全方位均有成熟技术和评估体制，因此本项目的安全和保密上已经具备可行性。</w:t>
      </w:r>
    </w:p>
    <w:p>
      <w:pPr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其它如数据智能分析技术等，对项目的成功建设都很重要，目前这些技术也经过了多年的发展和实践检验，技术相对成熟。因此，本项目建设在技术上是可行的。</w:t>
      </w:r>
    </w:p>
    <w:p>
      <w:pPr>
        <w:numPr>
          <w:ilvl w:val="0"/>
          <w:numId w:val="1"/>
        </w:numPr>
        <w:spacing w:after="0" w:line="360" w:lineRule="auto"/>
        <w:ind w:firstLine="640" w:firstLineChars="200"/>
        <w:jc w:val="both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建设内容</w:t>
      </w:r>
    </w:p>
    <w:p>
      <w:pPr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按照“1+1+1+N”总体架构设计，建设濉溪县一网统管平台。</w:t>
      </w:r>
    </w:p>
    <w:p>
      <w:pPr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（一）建设“一网统管”运行指挥中心，保障工作安全、有序开展</w:t>
      </w:r>
    </w:p>
    <w:p>
      <w:pPr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“一网统管”运行指挥中心，包括大屏显示系统、音频扩音系统、计算机网络系统、供电系统、安防系统等。</w:t>
      </w:r>
    </w:p>
    <w:p>
      <w:pPr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（二）建设“一网统管”平台数字底座，确保平台安全运行</w:t>
      </w:r>
    </w:p>
    <w:p>
      <w:pPr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建设全县集约的数字底座，包括统一的云资源及相关网信安全能力，数据治理能力等。通过数据汇聚，处理、交互、存储等，对数据进行管理并开展数据开发工作。</w:t>
      </w:r>
    </w:p>
    <w:p>
      <w:pPr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（三）建设“一网统管”平台，提升部门协调联动处置能力</w:t>
      </w:r>
    </w:p>
    <w:p>
      <w:pPr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建设“一网统管”平台，实现多渠道事件及全域基础数据汇聚，构建指挥中枢总体能力，打造集运行监测、监测预警、辅助决策等为一体的展示中心，为全县各级领导及工作人员提供城市稳定运行的全景透视图，提升跨区域、跨部门、跨领域的协同处置能力。</w:t>
      </w:r>
    </w:p>
    <w:p>
      <w:pPr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（四）建设“一网统管”数据展示体系，展现数据资源的全貌</w:t>
      </w:r>
    </w:p>
    <w:p>
      <w:pPr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各部门的数据资源目录和数据资源进行管理，通过信息资源门户提供数据查询、申请、审批、使用等功能；通过对数据接入情况全景洞察，展示总体的数据接入情况，包括接入概况、昨日增量、每个单位的结构化和非结构化数据的接入情况和质量情况；通过对数据服务情况全景洞察，展示总体的数据使用情况，包括累计调用情况、服务热度排行情况、应用的调动排行，以及各类资源的订阅量、调用量等情况；通过对工业经济运行指标分析，展示工业经济运行总量、结构、分布，企业等信息，辅助领导决策分析。</w:t>
      </w:r>
    </w:p>
    <w:p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建设模式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为节约财政资金，同时为即将建设的数字濉溪新型基础建设有效衔接，首先建设一个小规模的一网统管平台，通过公开招标，政府购买服务的方式，费用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按年支付。</w:t>
      </w:r>
    </w:p>
    <w:p>
      <w:pPr>
        <w:spacing w:after="0" w:line="360" w:lineRule="auto"/>
        <w:ind w:firstLine="200"/>
        <w:jc w:val="both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CACA5C"/>
    <w:multiLevelType w:val="singleLevel"/>
    <w:tmpl w:val="F6CACA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37"/>
    <w:rsid w:val="00012CDA"/>
    <w:rsid w:val="00013C2C"/>
    <w:rsid w:val="00060A67"/>
    <w:rsid w:val="000D507F"/>
    <w:rsid w:val="00104E88"/>
    <w:rsid w:val="001520AC"/>
    <w:rsid w:val="00173A2E"/>
    <w:rsid w:val="0026496F"/>
    <w:rsid w:val="00281AB9"/>
    <w:rsid w:val="003519B5"/>
    <w:rsid w:val="00363ACE"/>
    <w:rsid w:val="003933CB"/>
    <w:rsid w:val="003B4A5F"/>
    <w:rsid w:val="00493B2D"/>
    <w:rsid w:val="004F4CDF"/>
    <w:rsid w:val="005B2B6B"/>
    <w:rsid w:val="00655ECB"/>
    <w:rsid w:val="00696628"/>
    <w:rsid w:val="00703D8E"/>
    <w:rsid w:val="00733671"/>
    <w:rsid w:val="007D37A0"/>
    <w:rsid w:val="00804FFF"/>
    <w:rsid w:val="008C666A"/>
    <w:rsid w:val="00906937"/>
    <w:rsid w:val="0098017F"/>
    <w:rsid w:val="009F31F6"/>
    <w:rsid w:val="00AA3262"/>
    <w:rsid w:val="00AB3B8D"/>
    <w:rsid w:val="00BA788E"/>
    <w:rsid w:val="00C003D7"/>
    <w:rsid w:val="00E3694A"/>
    <w:rsid w:val="00EE125A"/>
    <w:rsid w:val="00FA424A"/>
    <w:rsid w:val="00FA4D8A"/>
    <w:rsid w:val="01942E10"/>
    <w:rsid w:val="16D03372"/>
    <w:rsid w:val="1A773433"/>
    <w:rsid w:val="204B02DE"/>
    <w:rsid w:val="217429B4"/>
    <w:rsid w:val="21F25B25"/>
    <w:rsid w:val="2E92104B"/>
    <w:rsid w:val="39630F70"/>
    <w:rsid w:val="3CB01A7E"/>
    <w:rsid w:val="3DA1572E"/>
    <w:rsid w:val="4BF909D4"/>
    <w:rsid w:val="4C0E09BA"/>
    <w:rsid w:val="53021FFB"/>
    <w:rsid w:val="66AF09FC"/>
    <w:rsid w:val="6C0C00CC"/>
    <w:rsid w:val="6E7C0C1A"/>
    <w:rsid w:val="71E1523E"/>
    <w:rsid w:val="74A51A49"/>
    <w:rsid w:val="76FA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正文文本缩进 字符"/>
    <w:basedOn w:val="7"/>
    <w:link w:val="3"/>
    <w:semiHidden/>
    <w:qFormat/>
    <w:uiPriority w:val="99"/>
    <w:rPr>
      <w:rFonts w:ascii="Tahoma" w:hAnsi="Tahoma" w:eastAsia="微软雅黑"/>
      <w:kern w:val="0"/>
      <w:sz w:val="22"/>
    </w:rPr>
  </w:style>
  <w:style w:type="character" w:customStyle="1" w:styleId="11">
    <w:name w:val="正文文本首行缩进 2 字符"/>
    <w:basedOn w:val="10"/>
    <w:link w:val="2"/>
    <w:qFormat/>
    <w:uiPriority w:val="99"/>
    <w:rPr>
      <w:rFonts w:ascii="Tahoma" w:hAnsi="Tahoma" w:eastAsia="微软雅黑"/>
      <w:kern w:val="0"/>
      <w:sz w:val="2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407</Words>
  <Characters>2323</Characters>
  <Lines>19</Lines>
  <Paragraphs>5</Paragraphs>
  <TotalTime>79</TotalTime>
  <ScaleCrop>false</ScaleCrop>
  <LinksUpToDate>false</LinksUpToDate>
  <CharactersWithSpaces>2725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2023-04-06T03:37:00Z</dcterms:created>
  <dc:creator>Administrator</dc:creator>
  <cp:lastModifiedBy>丁晓静</cp:lastModifiedBy>
  <dcterms:modified xsi:type="dcterms:W3CDTF">2023-04-06T07:17:24Z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