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90" w:lineRule="atLeast"/>
        <w:jc w:val="center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Theme="minorHAnsi" w:cstheme="minorBidi"/>
          <w:b w:val="0"/>
          <w:color w:val="auto"/>
          <w:kern w:val="2"/>
          <w:sz w:val="36"/>
          <w:szCs w:val="36"/>
        </w:rPr>
        <w:t>濉溪县202</w:t>
      </w:r>
      <w:r>
        <w:rPr>
          <w:rFonts w:hint="eastAsia" w:ascii="方正小标宋简体" w:eastAsia="方正小标宋简体" w:hAnsiTheme="minorHAnsi" w:cstheme="minorBidi"/>
          <w:b w:val="0"/>
          <w:color w:val="auto"/>
          <w:kern w:val="2"/>
          <w:sz w:val="36"/>
          <w:szCs w:val="36"/>
          <w:lang w:val="en-US" w:eastAsia="zh-CN"/>
        </w:rPr>
        <w:t>3</w:t>
      </w:r>
      <w:r>
        <w:rPr>
          <w:rFonts w:ascii="方正小标宋简体" w:eastAsia="方正小标宋简体" w:hAnsiTheme="minorHAnsi" w:cstheme="minorBidi"/>
          <w:b w:val="0"/>
          <w:color w:val="auto"/>
          <w:kern w:val="2"/>
          <w:sz w:val="36"/>
          <w:szCs w:val="36"/>
        </w:rPr>
        <w:t>年国民经济和社会发展统计公报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vertAlign w:val="superscript"/>
          <w:lang w:bidi="ar"/>
        </w:rPr>
        <w:t>[1]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2023年，县委县政府坚持以习近平新时代中国特色社会主义思想为指导，强实体、夯基础，抓项目、扩投资，优环境、提服务，全县经济发展稳中有进、稳中向好。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一、综合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全年实现地区生产总值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bidi="ar"/>
        </w:rPr>
        <w:t>[2]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603.6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亿元，按可比价格计算，同比增长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7.3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%，总量居全省59县（市）第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位。其中，第一产业增加值60.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亿元，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增长3.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%；第二产业增加值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306.3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亿元，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同比增长9.8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%；第三产业增加值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236.4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亿元，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增长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5.6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%。三次产业结构为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10.1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:5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0.7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:3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9.2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。按常住人口计算，人均地区生产总值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658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61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元。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-SA"/>
        </w:rPr>
        <w:t>2023年濉溪县生产总值（GDP）</w:t>
      </w:r>
    </w:p>
    <w:tbl>
      <w:tblPr>
        <w:tblStyle w:val="10"/>
        <w:tblW w:w="869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2642"/>
        <w:gridCol w:w="33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指标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总量（亿元）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地区生产总值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603.6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其中：第一产业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60.9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306.3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236.4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5.6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年末户籍人口114.1万人，比上年减少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人，其中，男性59.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万人，增加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1247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人；女性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54.9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万人，减少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1378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人。当年出生人口9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人，死亡人口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1747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人。</w:t>
      </w:r>
    </w:p>
    <w:tbl>
      <w:tblPr>
        <w:tblStyle w:val="10"/>
        <w:tblW w:w="834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2607"/>
        <w:gridCol w:w="2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3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年末全县户籍人口及构成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年末数（人）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比重（%）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全县户籍人口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1141136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其中：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城镇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509092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农村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632044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55.4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其中：男性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591780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女性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549356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其中：0-17岁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258247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18-34岁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267282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35-59岁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428358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60岁以上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187249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16.4</w:t>
            </w: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全年新增城镇就业人口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.7万人，新增私营企业2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622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户，新增个体工商户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12331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新增市场主体15942个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二、农业</w:t>
      </w:r>
    </w:p>
    <w:p>
      <w:pPr>
        <w:pStyle w:val="8"/>
        <w:spacing w:beforeAutospacing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2023年，全年农林牧渔业总产值103.6亿元，同比增长4.4%。粮食种植面积 341.2万亩，总产量126.3万吨。蔬菜播种面积8.0 万亩，同比增长5.1 %；蔬菜产量 21.0万吨，同比增长 6.6%。全年生猪出栏91.4万头，同比增长7.2 %；牛出栏1.2万头，同比增长0.4%；羊出栏24.3万只，同比增长4.9 %；家禽出栏971.4万只，同比增长8.5 %；肉类总产量9.7万吨，同比增长8.1%；禽蛋产量4.0万吨，同比增长13.5%</w:t>
      </w:r>
    </w:p>
    <w:tbl>
      <w:tblPr>
        <w:tblStyle w:val="10"/>
        <w:tblW w:w="870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2"/>
        <w:gridCol w:w="2738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年全县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主要农产品产量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产量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万吨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比上年增长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粮食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126.3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0.8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其中：小麦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85.6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34.2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大豆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6.4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21.0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肉类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9.7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其中：猪肉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7.4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8.6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牛肉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0.2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羊肉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0.3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禽蛋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4.0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13.5</w:t>
            </w:r>
          </w:p>
        </w:tc>
      </w:tr>
    </w:tbl>
    <w:p>
      <w:pPr>
        <w:pStyle w:val="8"/>
        <w:spacing w:beforeAutospacing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农业提质增效。2023年全县小麦单产居全省第二，总产居全省第三，粮食生产实现“二十连丰”。建成高标准农田8万亩，新增智能农机示范基地2个。新增家庭农场2322家、农业合作社126家。新增农作物国审品种2个、省审品种12个，拥有国家级农业产业化龙头企业2家、省市级58家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三、工业和建筑业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全年新增规模以上工业企业2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"/>
        </w:rPr>
        <w:t>[3]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，国家高新技术企业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118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其中2023年净增高技术企业28家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。规模以上工业增加值同比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增长11.2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%，高技术产业（制造业）增加值同比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增长18.0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%，战略性新兴产业产值同比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增长13.1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%。全县规模以上工业企业实现营业收入同比下降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0.1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%，利润总额同比下降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31.9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%，应交增值税同比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下降20.2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%。</w:t>
      </w:r>
    </w:p>
    <w:p>
      <w:pPr>
        <w:pStyle w:val="8"/>
        <w:spacing w:beforeAutospacing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创新提升能力有成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，2023年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新增省级“专精特新”企业16家，牧原农牧获批省级数字化车间。支持民营经济发展，理士电源、口子酒业入选2023安徽省民营企业营收百强、安徽省民营企业制造业综合百强和安徽省民营企业吸纳就业百强。濉溪经济开发区被认定为安徽省制造业数字化转型示范园区，获评首批安徽省产品质量提升示范区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资质等级以上建筑企业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。全年房屋建筑施工面积117.8万平方米，同比下降2.2%。房屋竣工面积43.6万平方米，同比增长49.3%。实现建筑业产值11.7亿元，同比增长10.7%。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四、固定资产投资</w:t>
      </w:r>
    </w:p>
    <w:p>
      <w:pPr>
        <w:pStyle w:val="8"/>
        <w:spacing w:beforeAutospacing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设立5亿元新兴产业投资基金，参股宁波金浦新材料10亿元投资基金，全年签约亿元以上项目65个、10亿元以上项目8个。铝基新能源材料暨电池箔高峰论坛提级召开，签约项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12个，总投资138.1亿元。项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目建设稳步推进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中基三期、力幕三期等重大项目顺利开工，中德产业园、濉溪群众喝上引调水等基础设施项目加快建设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久江新能源、东博盛业等产业项目竣工投产。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全年实施重点项目271个，完成投资226.7亿元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全年固定资产投资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bidi="ar"/>
        </w:rPr>
        <w:t>[4]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增长19.2%，在建项目275个，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项目完成投资额同比增长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46.7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5000万以上项目200个，完成投资增长54.0%，其中亿元以上项目136个，完成投资增长56.0%。新开工项目支撑作用较强，2023年新开工入统项目116个，完成投资增长43.5%。分产业看，第一产业投资下降50.4%；第二产业投资增长40.0%，其中工业投资增长40.0%，技改投资增长38.0%；第三产业投资增长70.8%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房地产开发完成投资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36.7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亿元，同比下降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38.9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%。其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中住宅投资同比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下降47.7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%。商品房销售面积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40.2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万平方米，同比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增长13.9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%，其中住宅销售面积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24.1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万平方米，同比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增长6.0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五、国内贸易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中瑞冷链物流如期建成，京东云仓顺利入驻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全年入统限额以上商贸单位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bidi="ar"/>
        </w:rPr>
        <w:t>[5]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家。实现社会消费品零售总额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165.8亿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元，同比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增长7.0%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限额以上消费品零售额累计增长6.9%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。分城乡看，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城镇限上单位零售额增长 6.8%，乡村限上单位零售额增长 24.4%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；从消费形态看，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商品零售额增长8.0%，餐饮收入增长5.7%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六、外贸外资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全年实现外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贸进出口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7.62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亿美元，同比下降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%，其中，出口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7.15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亿美元，同比下降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3.8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进口0.47亿，增长32.4%，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有出口实绩企业达3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全年签约亿元以上项目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利用省外资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金160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亿元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，利用外资3277万美元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，新增外资企业2家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七、交通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堵点痛点加速破解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乾隆湖路、沱河东路加快建设，北环路、岱河西路等断头路全面打通，溪河路涉铁立交、岱河路北菜市段、金沙路跨老濉河桥、玉龙路西延加快推进。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提质改造农村公路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112.1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公里，成功入选全国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四好农村路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示范县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城多交通一体化水平达到5A级标准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全年交通运输、仓储和邮政业实现增加值2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八、财政和金融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年完成财政总收入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56.0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19.1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%。其中，一般公共预算收入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33.6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18.4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%。其中税收收入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26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.7亿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元，同比增长22%；非税收入6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.9亿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同比增长6.2%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一般公共预算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82.3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%。其中，教育支出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18.4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%；科学技术支出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3.0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11.2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%；社会保障支出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11.3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14.7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%；城乡社区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15.0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农林水事务支出15.0亿元，同比增长5.7%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。</w:t>
      </w:r>
    </w:p>
    <w:p>
      <w:pPr>
        <w:pStyle w:val="8"/>
        <w:widowControl/>
        <w:spacing w:beforeAutospacing="0" w:afterAutospacing="0" w:line="330" w:lineRule="atLeas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2023年全县一般公共预算收支情况</w:t>
      </w:r>
    </w:p>
    <w:tbl>
      <w:tblPr>
        <w:tblStyle w:val="10"/>
        <w:tblW w:w="85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6"/>
        <w:gridCol w:w="2278"/>
        <w:gridCol w:w="1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完成数（亿元）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同比增长%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一般公共预算收入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33.6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一般公共预算支出 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其中：一般公共服务支出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-26.0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公共安全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教育支出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18.4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科学技术支出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11.2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文化旅游体育与传媒支出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社会保障和就业支出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卫生健康支出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-9.1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节能环保支出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-62.3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城乡社区事务支出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-61.0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农林水事务支出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交通运输支出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465.1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住房保障支出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116.3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债务付息支出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ind w:firstLine="960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其他支出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689.8 </w:t>
            </w:r>
          </w:p>
        </w:tc>
      </w:tr>
    </w:tbl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年末全县金融机构各项人民币存款余额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805.4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亿元，比年初增加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118.0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17.2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%；住户储蓄存款余额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622.6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亿元，比年初增加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80.7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14.9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%；金融机构各项人民币贷款余额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610.5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亿元，比年初增加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92.9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亿元，同比增长17.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%。金融存贷比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75.8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%，比上年提升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个百分点。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九、教育和科学技术</w:t>
      </w:r>
    </w:p>
    <w:p>
      <w:pPr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2023年全县共有各类中等职业技术学校2所，当年招生794人，在校学生2898人；普通中学52所，当年招生21645人，在校学生61286人，其中高中7所，当年招生6471人，在校学生18472人；初中45所，当年招生15174人，在校学生42541人；小学167所，当年招生14295人，在校学生89736人；幼儿园179所，当年招生8811人，在校学生33548人。初中毕业生升学率94.2%；九年义务教育完成率99.8%。年末全县中小学共有专任教师10593（公办8526）人，职业教育教职工138人，幼儿教育教职工2905（公办1173）人。</w:t>
      </w:r>
    </w:p>
    <w:p>
      <w:pPr>
        <w:pStyle w:val="8"/>
        <w:widowControl/>
        <w:spacing w:beforeAutospacing="0" w:afterAutospacing="0" w:line="330" w:lineRule="atLeas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2023年全县学校学生情况</w:t>
      </w:r>
    </w:p>
    <w:tbl>
      <w:tblPr>
        <w:tblStyle w:val="10"/>
        <w:tblW w:w="90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9"/>
        <w:gridCol w:w="2108"/>
        <w:gridCol w:w="1776"/>
        <w:gridCol w:w="2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学校数（所）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招生（人）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spacing w:beforeAutospacing="0" w:afterAutospacing="0" w:line="33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在校学生（人）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中等职业技术学校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794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普通中学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21645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其中：高中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6471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15174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14295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8811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33548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教育事业全面发展，濉溪职业技术学校达到A类办学标准获评安徽省优秀中等职业学校。开发区中心校完成扩建，城关三小建成使用，义务教育大班额占比持续下降。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铝基新材料产业知识产权保护工作站正式获批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成立皖北铝基新材料产业技术研究院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全省首家县级数字研究院揭牌成立。备案国家科技型中小企业133家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新增知识产权贯标认证企业6家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登记科技成果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171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项，技术合同交易额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30.3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亿元。实施产学研合作项目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项，获省科技项目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县级科技项目9个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。新增专利授权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1096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件，其中发明专利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新增商标1109件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十、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文化、卫生和资源环境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乡村风貌全面提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升。濉溪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县获评全省美丽多村建设先进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。组织348家民营企业参与“万企兴万村”行动，投入资金超15亿元，荣获省“万企兴万村”行动典型县称号。特色产业打响品牌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标王农牧、“五沟香”大米、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“阳光先生”葡萄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、“世伟”西瓜获评“皖美农品”品牌。黑糯玉米通过中国“气候好产品”认证。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濉溪县入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选全省第二批村务公开标准化建设试点，四铺镇周陈村获评全国多村治理示范村，临涣镇“一杯茶”调解法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选全国乡村治理典型案例。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举办中国·淮北首届嵇康古琴艺术节重塑“古琴之乡”文化品牌。“濉溪号”观光小火车正式运营溪水长街建成开放，凤栖湖公园正式开园，长三角汽车(房车)集结赛暨长三角场地越野赛成功举办。濉溪古城通过4A级旅游景区景观质量评价。濉溪古城、临涣老街入选安徽省“皖美消费新场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2023年末全县共有卫生机构426个(含村卫生室)，床位4936 张，卫生技术人员5681人。其中医院15个，床位2949张；卫生技术人员2629人，执业医师及助理医师965人；乡镇及街道卫生院18个，床位1450张，卫生技术人员1402人，执业医师及助理医师693人；妇幼保健院(所、站)1所，床位120张，卫生技术人员117人，执业医师及助理医师56人；疾病预防控制中心1所，卫生技术人员53人，执业医师及助理医师39人；诊所、卫生所、医务室102个，执业医师及助理医师150人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坚定不移优生态 环境质量持续向好，深化污染防治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PM2.5平均浓度39微克/立方米，优良天数比例71.2%。6条农村黑臭水体完成治理，5个镇政府驻地污水处理设施提质增效，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154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家企业纳入固废管理系统，建设用地安全利用率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100%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。创建省级森林城镇2个、森林村庄10个。推进采煤沉陷区综合治理，全年治理沉陷区面积3778亩。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推动绿色转型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建成新能源装机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网规模23.5万千瓦。2个项目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选省节能环保“五个一百”重点改造项目，8个高技术产业投资项目顺利推进。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十一、人民生活和社会保障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城镇居民人均可支配收入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39797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元，同比增长5.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%，农村居民人均可支配收入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18661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%。</w:t>
      </w:r>
    </w:p>
    <w:p>
      <w:pPr>
        <w:pStyle w:val="8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全年民生支出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73.2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亿元，占财政总支出比重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84.1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建成安置房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2530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套，新增城区绿化面积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4.6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万平方米，新建停车泊位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扎实开展10项暖民心行动，认真抓好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0件民生实事，民生资金投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71.1亿元。实施50项民生实事，14个社区达到省市“三公里”充分就业社区标准，新增老年食堂(助餐点)23个，扩容老年教学点22所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新增托位960个，新增家政服务人员1128人。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全县城镇职工基本养老保险、医疗保险、失业保险参保人数分别为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万人。城乡居民基本医疗保险参保人数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87.3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万人。城乡居民基本养老保险参保人数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51.0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万人，续保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31.2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万人。城镇居民最低生活保障人数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3484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人，农村居民最低生活保障人数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24446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人。</w:t>
      </w:r>
    </w:p>
    <w:p>
      <w:pPr>
        <w:pStyle w:val="8"/>
        <w:widowControl/>
        <w:shd w:val="clear" w:color="auto" w:fill="FFFFFF"/>
        <w:spacing w:beforeAutospacing="0" w:afterAutospacing="0" w:line="315" w:lineRule="atLeast"/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widowControl/>
        <w:shd w:val="clear" w:color="auto" w:fill="FFFFFF"/>
        <w:spacing w:beforeAutospacing="0" w:afterAutospacing="0" w:line="315" w:lineRule="atLeast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注：</w:t>
      </w:r>
    </w:p>
    <w:p>
      <w:pPr>
        <w:pStyle w:val="8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[1]本公报中部分数据为初步统计数。</w:t>
      </w:r>
    </w:p>
    <w:p>
      <w:pPr>
        <w:pStyle w:val="8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[2]地区生产总值及其分类项目增加值绝对数按现价计算，增长速度按不变价格计算。</w:t>
      </w:r>
    </w:p>
    <w:p>
      <w:pPr>
        <w:pStyle w:val="8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[3]规模以上工业统计范围为年主营业务收入2000万元及以上的企业。</w:t>
      </w:r>
    </w:p>
    <w:p>
      <w:pPr>
        <w:pStyle w:val="8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[4]固定资产投资统计范围为计划总投资500万元及以上项目和房地产开发投资。</w:t>
      </w:r>
    </w:p>
    <w:p>
      <w:pPr>
        <w:pStyle w:val="8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[5]限额以上批发零售和住宿餐饮企业（单位）统计范围为年主营业务收入2000万元及以上的批发企业（单位）、年主营业务收入500万元及以上的零售企业（单位）和年主营业务收入200万元及以上的住宿、餐饮企业（单位）。</w:t>
      </w:r>
    </w:p>
    <w:p>
      <w:pPr>
        <w:rPr>
          <w:rFonts w:hint="default" w:ascii="Times New Roman" w:hAnsi="Times New Roman" w:cs="Times New Roman"/>
          <w:color w:val="FF000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0"/>
    <w:rsid w:val="00087618"/>
    <w:rsid w:val="000C307D"/>
    <w:rsid w:val="00140E07"/>
    <w:rsid w:val="001778B2"/>
    <w:rsid w:val="001A2070"/>
    <w:rsid w:val="00214BEC"/>
    <w:rsid w:val="0025015E"/>
    <w:rsid w:val="003C312C"/>
    <w:rsid w:val="0043181B"/>
    <w:rsid w:val="00460F77"/>
    <w:rsid w:val="004A574A"/>
    <w:rsid w:val="004E0059"/>
    <w:rsid w:val="005D4F8D"/>
    <w:rsid w:val="005E44F4"/>
    <w:rsid w:val="006C5EDD"/>
    <w:rsid w:val="006F3968"/>
    <w:rsid w:val="006F4DA7"/>
    <w:rsid w:val="00773456"/>
    <w:rsid w:val="007D2D2B"/>
    <w:rsid w:val="00837D22"/>
    <w:rsid w:val="008A3268"/>
    <w:rsid w:val="008B6FB4"/>
    <w:rsid w:val="009105BF"/>
    <w:rsid w:val="0091766C"/>
    <w:rsid w:val="00921B1F"/>
    <w:rsid w:val="0093352B"/>
    <w:rsid w:val="00A4784F"/>
    <w:rsid w:val="00A6732F"/>
    <w:rsid w:val="00AB1BF2"/>
    <w:rsid w:val="00BA605F"/>
    <w:rsid w:val="00BB4FF2"/>
    <w:rsid w:val="00BE2AF4"/>
    <w:rsid w:val="00C03FC3"/>
    <w:rsid w:val="00C16003"/>
    <w:rsid w:val="00CD667E"/>
    <w:rsid w:val="00D34828"/>
    <w:rsid w:val="00E8756C"/>
    <w:rsid w:val="00EE3919"/>
    <w:rsid w:val="00F00400"/>
    <w:rsid w:val="00F13A1A"/>
    <w:rsid w:val="00F85BD0"/>
    <w:rsid w:val="00F91E25"/>
    <w:rsid w:val="00FB207B"/>
    <w:rsid w:val="04053394"/>
    <w:rsid w:val="043513F0"/>
    <w:rsid w:val="055F6C9D"/>
    <w:rsid w:val="05C01496"/>
    <w:rsid w:val="07AF3F11"/>
    <w:rsid w:val="09B73EDB"/>
    <w:rsid w:val="09DE1D87"/>
    <w:rsid w:val="09DF117B"/>
    <w:rsid w:val="09E1706B"/>
    <w:rsid w:val="0A92150E"/>
    <w:rsid w:val="0A955DDF"/>
    <w:rsid w:val="0AB35CB1"/>
    <w:rsid w:val="0B08056A"/>
    <w:rsid w:val="0B8F1EAC"/>
    <w:rsid w:val="0B977FFE"/>
    <w:rsid w:val="0C68118F"/>
    <w:rsid w:val="0C9B4EC1"/>
    <w:rsid w:val="0D3D2B39"/>
    <w:rsid w:val="0D43104B"/>
    <w:rsid w:val="0D617091"/>
    <w:rsid w:val="0D9240B2"/>
    <w:rsid w:val="0DC74945"/>
    <w:rsid w:val="0E334815"/>
    <w:rsid w:val="0EDF7F8A"/>
    <w:rsid w:val="10FC58AD"/>
    <w:rsid w:val="11264303"/>
    <w:rsid w:val="12AB6115"/>
    <w:rsid w:val="12D54B66"/>
    <w:rsid w:val="136352E4"/>
    <w:rsid w:val="1374071D"/>
    <w:rsid w:val="14BD55F5"/>
    <w:rsid w:val="152556CB"/>
    <w:rsid w:val="1536371F"/>
    <w:rsid w:val="156B4A25"/>
    <w:rsid w:val="15A9624E"/>
    <w:rsid w:val="169F0BFB"/>
    <w:rsid w:val="17126207"/>
    <w:rsid w:val="17784A52"/>
    <w:rsid w:val="191E4D03"/>
    <w:rsid w:val="197E699D"/>
    <w:rsid w:val="1B0D7968"/>
    <w:rsid w:val="1C8C6FEF"/>
    <w:rsid w:val="1D777FB0"/>
    <w:rsid w:val="1DDF069D"/>
    <w:rsid w:val="1DEA2E26"/>
    <w:rsid w:val="1E5E1B5E"/>
    <w:rsid w:val="1E6F0C29"/>
    <w:rsid w:val="1EB12F4D"/>
    <w:rsid w:val="1FA1666B"/>
    <w:rsid w:val="1FDB1DD9"/>
    <w:rsid w:val="1FF50F59"/>
    <w:rsid w:val="200F0E56"/>
    <w:rsid w:val="2073637B"/>
    <w:rsid w:val="209C16C6"/>
    <w:rsid w:val="20A33569"/>
    <w:rsid w:val="20B138CD"/>
    <w:rsid w:val="218E3E69"/>
    <w:rsid w:val="21953C56"/>
    <w:rsid w:val="21F12E9B"/>
    <w:rsid w:val="22953975"/>
    <w:rsid w:val="22B30532"/>
    <w:rsid w:val="234329A5"/>
    <w:rsid w:val="23D6388B"/>
    <w:rsid w:val="23D81226"/>
    <w:rsid w:val="24B957C4"/>
    <w:rsid w:val="261C36A9"/>
    <w:rsid w:val="278C521C"/>
    <w:rsid w:val="278E2E96"/>
    <w:rsid w:val="29777650"/>
    <w:rsid w:val="297F1E3E"/>
    <w:rsid w:val="298C4DC4"/>
    <w:rsid w:val="29AF7A2A"/>
    <w:rsid w:val="2A2B59FD"/>
    <w:rsid w:val="2BF03E9B"/>
    <w:rsid w:val="2CEE7709"/>
    <w:rsid w:val="2D4D4697"/>
    <w:rsid w:val="2F992928"/>
    <w:rsid w:val="3119067C"/>
    <w:rsid w:val="312F3199"/>
    <w:rsid w:val="325401A7"/>
    <w:rsid w:val="329A0FA9"/>
    <w:rsid w:val="3306758E"/>
    <w:rsid w:val="343E6DB2"/>
    <w:rsid w:val="34D64FB1"/>
    <w:rsid w:val="35C21820"/>
    <w:rsid w:val="35CB07AC"/>
    <w:rsid w:val="35EC744B"/>
    <w:rsid w:val="35F6777B"/>
    <w:rsid w:val="361C5719"/>
    <w:rsid w:val="363A614B"/>
    <w:rsid w:val="36543112"/>
    <w:rsid w:val="36A838FA"/>
    <w:rsid w:val="37237334"/>
    <w:rsid w:val="37FD1E42"/>
    <w:rsid w:val="396C620A"/>
    <w:rsid w:val="39FD6097"/>
    <w:rsid w:val="3BAA01D1"/>
    <w:rsid w:val="3BFE5A99"/>
    <w:rsid w:val="3D8E1D81"/>
    <w:rsid w:val="3DCD40BB"/>
    <w:rsid w:val="3DF71DCB"/>
    <w:rsid w:val="3E4A7FD3"/>
    <w:rsid w:val="3EC64AFB"/>
    <w:rsid w:val="3EC7221F"/>
    <w:rsid w:val="3F052620"/>
    <w:rsid w:val="3FD1079F"/>
    <w:rsid w:val="4039216F"/>
    <w:rsid w:val="40CF4C0D"/>
    <w:rsid w:val="41440AB5"/>
    <w:rsid w:val="417F2D26"/>
    <w:rsid w:val="420D695A"/>
    <w:rsid w:val="42C12B3F"/>
    <w:rsid w:val="43376A2F"/>
    <w:rsid w:val="4346583C"/>
    <w:rsid w:val="43F303D4"/>
    <w:rsid w:val="440A613D"/>
    <w:rsid w:val="4441508B"/>
    <w:rsid w:val="44A610D9"/>
    <w:rsid w:val="44D31987"/>
    <w:rsid w:val="45EE1CEE"/>
    <w:rsid w:val="46976FAE"/>
    <w:rsid w:val="46DD32EC"/>
    <w:rsid w:val="474071E0"/>
    <w:rsid w:val="47885961"/>
    <w:rsid w:val="47CC1680"/>
    <w:rsid w:val="482043DF"/>
    <w:rsid w:val="4B2D0E79"/>
    <w:rsid w:val="4C304B76"/>
    <w:rsid w:val="4C3852B5"/>
    <w:rsid w:val="4D3E2F99"/>
    <w:rsid w:val="4E3231D9"/>
    <w:rsid w:val="4E6E5F79"/>
    <w:rsid w:val="4EFC38A7"/>
    <w:rsid w:val="4F0B12FC"/>
    <w:rsid w:val="4F21038B"/>
    <w:rsid w:val="4FC472EA"/>
    <w:rsid w:val="501F1999"/>
    <w:rsid w:val="51206244"/>
    <w:rsid w:val="51EC4FB3"/>
    <w:rsid w:val="537C1D70"/>
    <w:rsid w:val="5437759E"/>
    <w:rsid w:val="55F96A7A"/>
    <w:rsid w:val="569B51F1"/>
    <w:rsid w:val="56CE3A00"/>
    <w:rsid w:val="576B34D9"/>
    <w:rsid w:val="5A131A6F"/>
    <w:rsid w:val="5B0A79E8"/>
    <w:rsid w:val="5B5866A8"/>
    <w:rsid w:val="5BF92270"/>
    <w:rsid w:val="5C0F50B9"/>
    <w:rsid w:val="5CD30E07"/>
    <w:rsid w:val="5D215E3F"/>
    <w:rsid w:val="5D81228B"/>
    <w:rsid w:val="5D9E4871"/>
    <w:rsid w:val="5E454CED"/>
    <w:rsid w:val="5E6E0780"/>
    <w:rsid w:val="5F5C72E6"/>
    <w:rsid w:val="5FCF719E"/>
    <w:rsid w:val="5FDB7E7A"/>
    <w:rsid w:val="600E29DA"/>
    <w:rsid w:val="60233FD7"/>
    <w:rsid w:val="61DC75FF"/>
    <w:rsid w:val="620D2D8F"/>
    <w:rsid w:val="62206B5C"/>
    <w:rsid w:val="624E5DF8"/>
    <w:rsid w:val="634965B4"/>
    <w:rsid w:val="639E6096"/>
    <w:rsid w:val="63B72C2C"/>
    <w:rsid w:val="65A570EC"/>
    <w:rsid w:val="66A65767"/>
    <w:rsid w:val="687B026B"/>
    <w:rsid w:val="691E3102"/>
    <w:rsid w:val="69596260"/>
    <w:rsid w:val="6B89145B"/>
    <w:rsid w:val="6C2038E0"/>
    <w:rsid w:val="6CA84682"/>
    <w:rsid w:val="6D44730F"/>
    <w:rsid w:val="6F5353A9"/>
    <w:rsid w:val="6FB9050C"/>
    <w:rsid w:val="71190611"/>
    <w:rsid w:val="72CF4DC0"/>
    <w:rsid w:val="734D3967"/>
    <w:rsid w:val="73A04420"/>
    <w:rsid w:val="747F630F"/>
    <w:rsid w:val="74CA5626"/>
    <w:rsid w:val="754F06F5"/>
    <w:rsid w:val="76841EE6"/>
    <w:rsid w:val="76C12A08"/>
    <w:rsid w:val="772470A0"/>
    <w:rsid w:val="77637F1F"/>
    <w:rsid w:val="77DB0ED7"/>
    <w:rsid w:val="785C2F1F"/>
    <w:rsid w:val="788E7FF8"/>
    <w:rsid w:val="79A92231"/>
    <w:rsid w:val="79CC22CF"/>
    <w:rsid w:val="7A4324D8"/>
    <w:rsid w:val="7AE2391E"/>
    <w:rsid w:val="7B037742"/>
    <w:rsid w:val="7B52597A"/>
    <w:rsid w:val="7CC60ED2"/>
    <w:rsid w:val="7D6118FA"/>
    <w:rsid w:val="7DAD4165"/>
    <w:rsid w:val="7E1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qFormat/>
    <w:uiPriority w:val="0"/>
    <w:rPr>
      <w:rFonts w:ascii="Arial" w:hAnsi="Arial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customStyle="1" w:styleId="12">
    <w:name w:val="样式  Char + 首行缩进:  2 字符"/>
    <w:basedOn w:val="13"/>
    <w:qFormat/>
    <w:uiPriority w:val="0"/>
    <w:pPr>
      <w:ind w:firstLine="420"/>
    </w:pPr>
    <w:rPr>
      <w:rFonts w:eastAsia="宋体" w:cs="宋体"/>
      <w:sz w:val="24"/>
    </w:rPr>
  </w:style>
  <w:style w:type="paragraph" w:customStyle="1" w:styleId="13">
    <w:name w:val="Char"/>
    <w:basedOn w:val="1"/>
    <w:qFormat/>
    <w:uiPriority w:val="0"/>
    <w:pPr>
      <w:spacing w:line="360" w:lineRule="auto"/>
    </w:pPr>
    <w:rPr>
      <w:rFonts w:ascii="宋体" w:hAnsi="宋体"/>
      <w:b/>
      <w:sz w:val="28"/>
      <w:szCs w:val="28"/>
    </w:rPr>
  </w:style>
  <w:style w:type="paragraph" w:customStyle="1" w:styleId="14">
    <w:name w:val="Char1"/>
    <w:basedOn w:val="1"/>
    <w:qFormat/>
    <w:uiPriority w:val="0"/>
    <w:pPr>
      <w:spacing w:line="360" w:lineRule="auto"/>
    </w:pPr>
    <w:rPr>
      <w:rFonts w:ascii="宋体" w:hAnsi="宋体"/>
      <w:b/>
      <w:sz w:val="28"/>
      <w:szCs w:val="28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9</Pages>
  <Words>682</Words>
  <Characters>3894</Characters>
  <Lines>32</Lines>
  <Paragraphs>9</Paragraphs>
  <TotalTime>10</TotalTime>
  <ScaleCrop>false</ScaleCrop>
  <LinksUpToDate>false</LinksUpToDate>
  <CharactersWithSpaces>4567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2022-02-14T02:04:00Z</dcterms:created>
  <dc:creator>lenovo</dc:creator>
  <cp:lastModifiedBy>不吃香菜</cp:lastModifiedBy>
  <dcterms:modified xsi:type="dcterms:W3CDTF">2024-04-10T01:57:54Z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