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90" w:lineRule="atLeast"/>
        <w:jc w:val="center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Theme="minorHAnsi" w:cstheme="minorBidi"/>
          <w:b w:val="0"/>
          <w:color w:val="auto"/>
          <w:kern w:val="2"/>
          <w:sz w:val="36"/>
          <w:szCs w:val="36"/>
        </w:rPr>
        <w:t>濉溪县202</w:t>
      </w:r>
      <w:r>
        <w:rPr>
          <w:rFonts w:hint="eastAsia" w:ascii="方正小标宋简体" w:eastAsia="方正小标宋简体" w:hAnsiTheme="minorHAnsi" w:cstheme="minorBidi"/>
          <w:b w:val="0"/>
          <w:color w:val="auto"/>
          <w:kern w:val="2"/>
          <w:sz w:val="36"/>
          <w:szCs w:val="36"/>
          <w:lang w:val="en-US" w:eastAsia="zh-CN"/>
        </w:rPr>
        <w:t>3</w:t>
      </w:r>
      <w:r>
        <w:rPr>
          <w:rFonts w:ascii="方正小标宋简体" w:eastAsia="方正小标宋简体" w:hAnsiTheme="minorHAnsi" w:cstheme="minorBidi"/>
          <w:b w:val="0"/>
          <w:color w:val="auto"/>
          <w:kern w:val="2"/>
          <w:sz w:val="36"/>
          <w:szCs w:val="36"/>
        </w:rPr>
        <w:t>年国民经济和社会发展统计公报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vertAlign w:val="superscript"/>
          <w:lang w:bidi="ar"/>
        </w:rPr>
        <w:t>[1]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2023年，县委县政府坚持以习近平新时代中国特色社会主义思想为指导，强实体、夯基础，抓项目、扩投资，优环境、提服务，全县经济发展稳中有进、稳中向好。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一、综合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全年实现地区生产总值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vertAlign w:val="superscript"/>
          <w:lang w:bidi="ar"/>
        </w:rPr>
        <w:t>[2]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603.6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亿元，按可比价格计算，同比增长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7.3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%，总量居全省59县（市）第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位。其中，第一产业增加值60.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亿元，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同比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增长3.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%；第二产业增加值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306.3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亿元，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同比增长9.8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%；第三产业增加值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236.4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亿元，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同比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增长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5.6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%。三次产业结构为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10.1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:5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0.7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:3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9.2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。按常住人口计算，人均地区生产总值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658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61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77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0"/>
          <w:sz w:val="32"/>
          <w:szCs w:val="32"/>
          <w:lang w:val="en-US" w:eastAsia="zh-CN" w:bidi="ar-SA"/>
        </w:rPr>
        <w:t>2023年濉溪县生产总值（GDP）</w:t>
      </w:r>
    </w:p>
    <w:tbl>
      <w:tblPr>
        <w:tblStyle w:val="10"/>
        <w:tblW w:w="869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2642"/>
        <w:gridCol w:w="3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指标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总量（亿元）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增速（%）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地区生产总值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603.6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其中：第一产业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60.9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第二产业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306.3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236.4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5.6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年末户籍人口114.1万人，比上年减少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人，其中，男性59.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万人，增加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1247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人；女性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54.9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万人，减少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1378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人。当年出生人口9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468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人，死亡人口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1747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人。</w:t>
      </w:r>
    </w:p>
    <w:tbl>
      <w:tblPr>
        <w:tblStyle w:val="10"/>
        <w:tblW w:w="834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5"/>
        <w:gridCol w:w="2607"/>
        <w:gridCol w:w="21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83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年末全县户籍人口及构成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指标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年末数（人）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比重（%）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全县户籍人口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1141136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　其中：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城镇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509092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　　　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农村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632044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55.4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　其中：男性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591780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　　　　女性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549356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　其中：0-17岁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258247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　　　　18-34岁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267282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　　　　35-59岁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428358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　　　　60岁以上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187249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16.4</w:t>
            </w:r>
          </w:p>
        </w:tc>
      </w:tr>
    </w:tbl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全年新增城镇就业人口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.7万人，新增私营企业2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622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户，新增个体工商户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12331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新增市场主体15942个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二、农业</w:t>
      </w:r>
    </w:p>
    <w:p>
      <w:pPr>
        <w:pStyle w:val="8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ar"/>
        </w:rPr>
        <w:t>2023年，全年农林牧渔业总产值103.6亿元，同比增长4.4%。粮食种植面积 341.2万亩，总产量126.3万吨。蔬菜播种面积8.0 万亩，同比增长5.1 %；蔬菜产量 21.0万吨，同比增长 6.6%。全年生猪出栏91.4万头，同比增长7.2 %；牛出栏1.2万头，同比增长0.4%；羊出栏24.3万只，同比增长4.9 %；家禽出栏971.4万只，同比增长8.5 %；肉类总产量9.7万吨，同比增长8.1%；禽蛋产量4.0万吨，同比增长13.5%</w:t>
      </w:r>
    </w:p>
    <w:tbl>
      <w:tblPr>
        <w:tblStyle w:val="10"/>
        <w:tblW w:w="870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2"/>
        <w:gridCol w:w="2738"/>
        <w:gridCol w:w="2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70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年全县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主要农产品产量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产品名称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产量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万吨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比上年增长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（%）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粮食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126.3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其中：小麦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85.6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　　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玉米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34.2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大豆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6.4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蔬菜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21.0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肉类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9.7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其中：猪肉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7.4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8.6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牛肉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0.2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羊肉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0.3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禽蛋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4.0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13.5</w:t>
            </w:r>
          </w:p>
        </w:tc>
      </w:tr>
    </w:tbl>
    <w:p>
      <w:pPr>
        <w:pStyle w:val="8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ar"/>
        </w:rPr>
        <w:t>农业提质增效。2023年全县小麦单产居全省第二，总产居全省第三，粮食生产实现“二十连丰”。建成高标准农田8万亩，新增智能农机示范基地2个。新增家庭农场2322家、农业合作社126家。新增农作物国审品种2个、省审品种12个，拥有国家级农业产业化龙头企业2家、省市级58家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三、工业和建筑业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全年新增规模以上工业企业2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vertAlign w:val="superscript"/>
          <w:lang w:val="en-US" w:eastAsia="zh-CN" w:bidi="ar"/>
        </w:rPr>
        <w:t>[3]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，国家高新技术企业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118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其中2023年净增高技术企业28家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。规模以上工业增加值同比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增长11.2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%，高技术产业（制造业）增加值同比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增长18.0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%，战略性新兴产业产值同比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增长13.1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%。全县规模以上工业企业实现营业收入同比下降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0.1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%，利润总额同比下降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31.9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%，应交增值税同比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下降20.2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%。</w:t>
      </w:r>
    </w:p>
    <w:p>
      <w:pPr>
        <w:pStyle w:val="8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ar"/>
        </w:rPr>
        <w:t>创新提升能力有成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 w:bidi="ar"/>
        </w:rPr>
        <w:t>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 w:bidi="ar"/>
        </w:rPr>
        <w:t>，2023年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bidi="ar"/>
        </w:rPr>
        <w:t>新增省级“专精特新”企业16家，牧原农牧获批省级数字化车间。支持民营经济发展，理士电源、口子酒业入选2023安徽省民营企业营收百强、安徽省民营企业制造业综合百强和安徽省民营企业吸纳就业百强。濉溪经济开发区被认定为安徽省制造业数字化转型示范园区，获评首批安徽省产品质量提升示范区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"/>
        </w:rPr>
        <w:t>新增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资质等级以上建筑企业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bidi="ar"/>
        </w:rPr>
        <w:t>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。全年房屋建筑施工面积117.8万平方米，同比下降2.2%。房屋竣工面积43.6万平方米，同比增长49.3%。实现建筑业产值11.7亿元，同比增长10.7%。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四、固定资产投资</w:t>
      </w:r>
    </w:p>
    <w:p>
      <w:pPr>
        <w:pStyle w:val="8"/>
        <w:spacing w:beforeAutospacing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设立5亿元新兴产业投资基金，参股宁波金浦新材料10亿元投资基金，全年签约亿元以上项目65个、10亿元以上项目8个。铝基新能源材料暨电池箔高峰论坛提级召开，签约项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12个，总投资138.1亿元。项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目建设稳步推进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中基三期、力幕三期等重大项目顺利开工，中德产业园、濉溪群众喝上引调水等基础设施项目加快建设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久江新能源、东博盛业等产业项目竣工投产。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全年实施重点项目271个，完成投资226.7亿元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全年固定资产投资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vertAlign w:val="superscript"/>
          <w:lang w:bidi="ar"/>
        </w:rPr>
        <w:t>[4]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增长19.2%，在建项目275个，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项目完成投资额同比增长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46.7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5000万以上项目200个，完成投资增长54.0%，其中亿元以上项目136个，完成投资增长56.0%。新开工项目支撑作用较强，2023年新开工入统项目116个，完成投资增长43.5%。分产业看，第一产业投资下降50.4%；第二产业投资增长40.0%，其中工业投资增长40.0%，技改投资增长38.0%；第三产业投资增长70.8%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bidi="ar"/>
        </w:rPr>
        <w:t>房地产开发完成投资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36.7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bidi="ar"/>
        </w:rPr>
        <w:t>亿元，同比下降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38.9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bidi="ar"/>
        </w:rPr>
        <w:t>%。其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中住宅投资同比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下降47.7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%。商品房销售面积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40.2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万平方米，同比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增长13.9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%，其中住宅销售面积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24.1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万平方米，同比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增长6.0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五、国内贸易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中瑞冷链物流如期建成，京东云仓顺利入驻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全年入统限额以上商贸单位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vertAlign w:val="superscript"/>
          <w:lang w:bidi="ar"/>
        </w:rPr>
        <w:t>[5]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36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家。实现社会消费品零售总额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165.8亿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元，同比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增长7.0%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，其中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限额以上消费品零售额累计增长6.9%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。分城乡看，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城镇限上单位零售额增长 6.8%，乡村限上单位零售额增长 24.4%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；从消费形态看，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商品零售额增长8.0%，餐饮收入增长5.7%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六、外贸外资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全年实现外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贸进出口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7.62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亿美元，同比下降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2.1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%，其中，出口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7.15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亿美元，同比下降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3.8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%，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进口0.47亿，增长32.4%，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有出口实绩企业达3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全年签约亿元以上项目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利用省外资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金160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亿元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，利用外资3277万美元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，新增外资企业2家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七、交通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堵点痛点加速破解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乾隆湖路、沱河东路加快建设，北环路、岱河西路等断头路全面打通，溪河路涉铁立交、岱河路北菜市段、金沙路跨老濉河桥、玉龙路西延加快推进。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提质改造农村公路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112.1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公里，成功入选全国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四好农村路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示范县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城多交通一体化水平达到5A级标准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全年交通运输、仓储和邮政业实现增加值2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八、财政和金融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年完成财政总收入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56.0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19.1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%。其中，一般公共预算收入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33.6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18.4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%。其中税收收入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  <w:t>26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/>
        </w:rPr>
        <w:t>.7亿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  <w:t>元，同比增长22%；非税收入6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/>
        </w:rPr>
        <w:t>.9亿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  <w:t>元，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同比增长6.2%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一般公共预算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支出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82.3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4.4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%。其中，教育支出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18.4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%；科学技术支出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3.0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11.2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%；社会保障支出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11.3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14.7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%；城乡社区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事务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支出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15.0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5.7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农林水事务支出15.0亿元，同比增长5.7%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30" w:lineRule="atLeas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2023年全县一般公共预算收支情况</w:t>
      </w:r>
    </w:p>
    <w:tbl>
      <w:tblPr>
        <w:tblStyle w:val="10"/>
        <w:tblW w:w="85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6"/>
        <w:gridCol w:w="2278"/>
        <w:gridCol w:w="1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完成数（亿元）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同比增长%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一般公共预算收入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33.6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一般公共预算支出 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82.3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其中：一般公共服务支出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-26.0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公共安全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教育支出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18.4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科学技术支出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11.2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文化旅游体育与传媒支出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77.0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社会保障和就业支出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11.3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卫生健康支出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-9.1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节能环保支出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-62.3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城乡社区事务支出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-61.0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农林水事务支出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交通运输支出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465.1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住房保障支出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116.3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债务付息支出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ind w:firstLine="960" w:firstLineChars="3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其他支出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689.8 </w:t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年末全县金融机构各项人民币存款余额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805.4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亿元，比年初增加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118.0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17.2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%；住户储蓄存款余额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622.6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亿元，比年初增加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80.7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亿元，同比增长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14.9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%；金融机构各项人民币贷款余额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610.5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亿元，比年初增加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92.9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亿元，同比增长17.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%。金融存贷比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75.8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%，比上年提升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个百分点。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九、教育和科学技术</w:t>
      </w:r>
    </w:p>
    <w:p>
      <w:pPr>
        <w:ind w:firstLine="960" w:firstLineChars="300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2023年全县共有各类中等职业技术学校2所，当年招生794人，在校学生2898人；普通中学52所，当年招生21645人，在校学生61286人，其中高中7所，当年招生6471人，在校学生18472人；初中45所，当年招生15174人，在校学生42541人；小学167所，当年招生14295人，在校学生89736人；幼儿园179所，当年招生8811人，在校学生33548人。初中毕业生升学率94.2%；九年义务教育完成率99.8%。年末全县中小学共有专任教师10593（公办8526）人，职业教育教职工138人，幼儿教育教职工2905（公办1173）人。</w:t>
      </w:r>
    </w:p>
    <w:p>
      <w:pPr>
        <w:pStyle w:val="8"/>
        <w:widowControl/>
        <w:spacing w:beforeAutospacing="0" w:afterAutospacing="0" w:line="330" w:lineRule="atLeas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2023年全县学校学生情况</w:t>
      </w:r>
    </w:p>
    <w:tbl>
      <w:tblPr>
        <w:tblStyle w:val="10"/>
        <w:tblW w:w="90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9"/>
        <w:gridCol w:w="2108"/>
        <w:gridCol w:w="1776"/>
        <w:gridCol w:w="24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10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学校数（所）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招生（人）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spacing w:beforeAutospacing="0" w:afterAutospacing="0" w:line="330" w:lineRule="atLeas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  <w:lang w:val="en-US" w:eastAsia="zh-CN"/>
              </w:rPr>
              <w:t>在校学生（人）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中等职业技术学校</w:t>
            </w:r>
          </w:p>
        </w:tc>
        <w:tc>
          <w:tcPr>
            <w:tcW w:w="2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普通中学</w:t>
            </w:r>
          </w:p>
        </w:tc>
        <w:tc>
          <w:tcPr>
            <w:tcW w:w="2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其中：高中</w:t>
            </w:r>
          </w:p>
        </w:tc>
        <w:tc>
          <w:tcPr>
            <w:tcW w:w="2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6471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2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15174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2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14295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8811</w:t>
            </w:r>
          </w:p>
        </w:tc>
        <w:tc>
          <w:tcPr>
            <w:tcW w:w="2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33548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FF00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教育事业全面发展，濉溪职业技术学校达到A类办学标准获评安徽省优秀中等职业学校。开发区中心校完成扩建，城关三小建成使用，义务教育大班额占比持续下降。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铝基新材料产业知识产权保护工作站正式获批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成立皖北铝基新材料产业技术研究院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全省首家县级数字研究院揭牌成立。备案国家科技型中小企业133家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新增知识产权贯标认证企业6家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登记科技成果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171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项，技术合同交易额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30.3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亿元。实施产学研合作项目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项，获省科技项目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项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县级科技项目9个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。新增专利授权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1096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件，其中发明专利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150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新增商标1109件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  <w:t>十、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文化、卫生和资源环境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乡村风貌全面提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升。濉溪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县获评全省美丽多村建设先进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。组织348家民营企业参与“万企兴万村”行动，投入资金超15亿元，荣获省“万企兴万村”行动典型县称号。特色产业打响品牌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标王农牧、“五沟香”大米、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“阳光先生”葡萄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、“世伟”西瓜获评“皖美农品”品牌。黑糯玉米通过中国“气候好产品”认证。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濉溪县入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选全省第二批村务公开标准化建设试点，四铺镇周陈村获评全国多村治理示范村，临涣镇“一杯茶”调解法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选全国乡村治理典型案例。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举办中国·淮北首届嵇康古琴艺术节重塑“古琴之乡”文化品牌。“濉溪号”观光小火车正式运营溪水长街建成开放，凤栖湖公园正式开园，长三角汽车(房车)集结赛暨长三角场地越野赛成功举办。濉溪古城通过4A级旅游景区景观质量评价。濉溪古城、临涣老街入选安徽省“皖美消费新场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2023年末全县共有卫生机构426个(含村卫生室)，床位4936 张，卫生技术人员5681人。其中医院15个，床位2949张；卫生技术人员2629人，执业医师及助理医师965人；乡镇及街道卫生院18个，床位1450张，卫生技术人员1402人，执业医师及助理医师693人；妇幼保健院(所、站)1所，床位120张，卫生技术人员117人，执业医师及助理医师56人；疾病预防控制中心1所，卫生技术人员53人，执业医师及助理医师39人；诊所、卫生所、医务室102个，执业医师及助理医师150人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坚定不移优生态 环境质量持续向好，深化污染防治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PM2.5平均浓度39微克/立方米，优良天数比例71.2%。6条农村黑臭水体完成治理，5个镇政府驻地污水处理设施提质增效，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154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家企业纳入固废管理系统，建设用地安全利用率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100%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。创建省级森林城镇2个、森林村庄10个。推进采煤沉陷区综合治理，全年治理沉陷区面积3778亩。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  <w:t>推动绿色转型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  <w:t>建成新能源装机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  <w:t>网规模23.5万千瓦。2个项目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/>
        </w:rPr>
        <w:t>入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  <w:t>选省节能环保“五个一百”重点改造项目，8个高技术产业投资项目顺利推进。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十一、人民生活和社会保障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城镇居民人均可支配收入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39797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元，同比增长5.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%，农村居民人均可支配收入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18661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元，同比增长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7.4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%。</w:t>
      </w:r>
    </w:p>
    <w:p>
      <w:pPr>
        <w:pStyle w:val="8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全年民生支出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73.2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亿元，占财政总支出比重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84.1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%。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建成安置房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2530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套，新增城区绿化面积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4.6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万平方米，新建停车泊位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2025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个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扎实开展10项暖民心行动，认真抓好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0件民生实事，民生资金投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71.1亿元。实施50项民生实事，14个社区达到省市“三公里”充分就业社区标准，新增老年食堂(助餐点)23个，扩容老年教学点22所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新增托位960个，新增家政服务人员1128人。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全县城镇职工基本养老保险、医疗保险、失业保险参保人数分别为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10.5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6.7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万人和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万人。城乡居民基本医疗保险参保人数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87.3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万人。城乡居民基本养老保险参保人数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51.0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万人，续保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31.2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万人。城镇居民最低生活保障人数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3484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人，农村居民最低生活保障人数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24446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人。</w:t>
      </w:r>
    </w:p>
    <w:p>
      <w:pPr>
        <w:pStyle w:val="8"/>
        <w:widowControl/>
        <w:shd w:val="clear" w:color="auto" w:fill="FFFFFF"/>
        <w:spacing w:beforeAutospacing="0" w:afterAutospacing="0" w:line="315" w:lineRule="atLeast"/>
        <w:jc w:val="both"/>
        <w:rPr>
          <w:rFonts w:hint="default" w:ascii="Times New Roman" w:hAnsi="Times New Roman" w:eastAsia="宋体" w:cs="Times New Roman"/>
          <w:color w:val="auto"/>
          <w:sz w:val="21"/>
          <w:szCs w:val="21"/>
          <w:shd w:val="clear" w:color="auto" w:fill="FFFFFF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widowControl/>
        <w:shd w:val="clear" w:color="auto" w:fill="FFFFFF"/>
        <w:spacing w:beforeAutospacing="0" w:afterAutospacing="0" w:line="315" w:lineRule="atLeast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shd w:val="clear" w:color="auto" w:fill="FFFFFF"/>
        </w:rPr>
        <w:t>注：</w:t>
      </w:r>
    </w:p>
    <w:p>
      <w:pPr>
        <w:pStyle w:val="8"/>
        <w:widowControl/>
        <w:shd w:val="clear" w:color="auto" w:fill="FFFFFF"/>
        <w:spacing w:beforeAutospacing="0" w:afterAutospacing="0" w:line="400" w:lineRule="atLeast"/>
        <w:ind w:firstLine="560"/>
        <w:jc w:val="both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shd w:val="clear" w:color="auto" w:fill="FFFFFF"/>
        </w:rPr>
        <w:t>[1]本公报中部分数据为初步统计数。</w:t>
      </w:r>
    </w:p>
    <w:p>
      <w:pPr>
        <w:pStyle w:val="8"/>
        <w:widowControl/>
        <w:shd w:val="clear" w:color="auto" w:fill="FFFFFF"/>
        <w:spacing w:beforeAutospacing="0" w:afterAutospacing="0" w:line="400" w:lineRule="atLeast"/>
        <w:ind w:firstLine="560"/>
        <w:jc w:val="both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shd w:val="clear" w:color="auto" w:fill="FFFFFF"/>
        </w:rPr>
        <w:t>[2]地区生产总值及其分类项目增加值绝对数按现价计算，增长速度按不变价格计算。</w:t>
      </w:r>
    </w:p>
    <w:p>
      <w:pPr>
        <w:pStyle w:val="8"/>
        <w:widowControl/>
        <w:shd w:val="clear" w:color="auto" w:fill="FFFFFF"/>
        <w:spacing w:beforeAutospacing="0" w:afterAutospacing="0" w:line="400" w:lineRule="atLeast"/>
        <w:ind w:firstLine="560"/>
        <w:jc w:val="both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shd w:val="clear" w:color="auto" w:fill="FFFFFF"/>
        </w:rPr>
        <w:t>[3]规模以上工业统计范围为年主营业务收入2000万元及以上的企业。</w:t>
      </w:r>
    </w:p>
    <w:p>
      <w:pPr>
        <w:pStyle w:val="8"/>
        <w:widowControl/>
        <w:shd w:val="clear" w:color="auto" w:fill="FFFFFF"/>
        <w:spacing w:beforeAutospacing="0" w:afterAutospacing="0" w:line="400" w:lineRule="atLeast"/>
        <w:ind w:firstLine="560"/>
        <w:jc w:val="both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shd w:val="clear" w:color="auto" w:fill="FFFFFF"/>
        </w:rPr>
        <w:t>[4]固定资产投资统计范围为计划总投资500万元及以上项目和房地产开发投资。</w:t>
      </w:r>
    </w:p>
    <w:p>
      <w:pPr>
        <w:pStyle w:val="8"/>
        <w:widowControl/>
        <w:shd w:val="clear" w:color="auto" w:fill="FFFFFF"/>
        <w:spacing w:beforeAutospacing="0" w:afterAutospacing="0" w:line="400" w:lineRule="atLeast"/>
        <w:ind w:firstLine="560"/>
        <w:jc w:val="both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shd w:val="clear" w:color="auto" w:fill="FFFFFF"/>
        </w:rPr>
        <w:t>[5]限额以上批发零售和住宿餐饮企业（单位）统计范围为年主营业务收入2000万元及以上的批发企业（单位）、年主营业务收入500万元及以上的零售企业（单位）和年主营业务收入200万元及以上的住宿、餐饮企业（单位）。</w:t>
      </w:r>
    </w:p>
    <w:p>
      <w:pPr>
        <w:rPr>
          <w:rFonts w:hint="default" w:ascii="Times New Roman" w:hAnsi="Times New Roman" w:cs="Times New Roman"/>
          <w:color w:val="FF000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0"/>
    <w:rsid w:val="00087618"/>
    <w:rsid w:val="000C307D"/>
    <w:rsid w:val="00140E07"/>
    <w:rsid w:val="001778B2"/>
    <w:rsid w:val="001A2070"/>
    <w:rsid w:val="00214BEC"/>
    <w:rsid w:val="0025015E"/>
    <w:rsid w:val="003C312C"/>
    <w:rsid w:val="0043181B"/>
    <w:rsid w:val="00460F77"/>
    <w:rsid w:val="004A574A"/>
    <w:rsid w:val="004E0059"/>
    <w:rsid w:val="005D4F8D"/>
    <w:rsid w:val="005E44F4"/>
    <w:rsid w:val="006C5EDD"/>
    <w:rsid w:val="006F3968"/>
    <w:rsid w:val="006F4DA7"/>
    <w:rsid w:val="00773456"/>
    <w:rsid w:val="007D2D2B"/>
    <w:rsid w:val="00837D22"/>
    <w:rsid w:val="008A3268"/>
    <w:rsid w:val="008B6FB4"/>
    <w:rsid w:val="009105BF"/>
    <w:rsid w:val="0091766C"/>
    <w:rsid w:val="00921B1F"/>
    <w:rsid w:val="0093352B"/>
    <w:rsid w:val="00A4784F"/>
    <w:rsid w:val="00A6732F"/>
    <w:rsid w:val="00AB1BF2"/>
    <w:rsid w:val="00BA605F"/>
    <w:rsid w:val="00BB4FF2"/>
    <w:rsid w:val="00BE2AF4"/>
    <w:rsid w:val="00C03FC3"/>
    <w:rsid w:val="00C16003"/>
    <w:rsid w:val="00CD667E"/>
    <w:rsid w:val="00D34828"/>
    <w:rsid w:val="00E8756C"/>
    <w:rsid w:val="00EE3919"/>
    <w:rsid w:val="00F00400"/>
    <w:rsid w:val="00F13A1A"/>
    <w:rsid w:val="00F85BD0"/>
    <w:rsid w:val="00F91E25"/>
    <w:rsid w:val="00FB207B"/>
    <w:rsid w:val="04053394"/>
    <w:rsid w:val="043513F0"/>
    <w:rsid w:val="055F6C9D"/>
    <w:rsid w:val="05C01496"/>
    <w:rsid w:val="07AF3F11"/>
    <w:rsid w:val="09B73EDB"/>
    <w:rsid w:val="09DE1D87"/>
    <w:rsid w:val="09DF117B"/>
    <w:rsid w:val="09E1706B"/>
    <w:rsid w:val="0A92150E"/>
    <w:rsid w:val="0A955DDF"/>
    <w:rsid w:val="0AB35CB1"/>
    <w:rsid w:val="0B08056A"/>
    <w:rsid w:val="0B8F1EAC"/>
    <w:rsid w:val="0B977FFE"/>
    <w:rsid w:val="0C68118F"/>
    <w:rsid w:val="0C9B4EC1"/>
    <w:rsid w:val="0D3D2B39"/>
    <w:rsid w:val="0D43104B"/>
    <w:rsid w:val="0D617091"/>
    <w:rsid w:val="0D9240B2"/>
    <w:rsid w:val="0DC74945"/>
    <w:rsid w:val="0E334815"/>
    <w:rsid w:val="0EDF7F8A"/>
    <w:rsid w:val="10FC58AD"/>
    <w:rsid w:val="11264303"/>
    <w:rsid w:val="12AB6115"/>
    <w:rsid w:val="12D54B66"/>
    <w:rsid w:val="136352E4"/>
    <w:rsid w:val="1374071D"/>
    <w:rsid w:val="14BD55F5"/>
    <w:rsid w:val="152556CB"/>
    <w:rsid w:val="1536371F"/>
    <w:rsid w:val="156B4A25"/>
    <w:rsid w:val="15A9624E"/>
    <w:rsid w:val="169F0BFB"/>
    <w:rsid w:val="17126207"/>
    <w:rsid w:val="17784A52"/>
    <w:rsid w:val="191E4D03"/>
    <w:rsid w:val="197E699D"/>
    <w:rsid w:val="1B0D7968"/>
    <w:rsid w:val="1C8C6FEF"/>
    <w:rsid w:val="1D777FB0"/>
    <w:rsid w:val="1DDF069D"/>
    <w:rsid w:val="1DEA2E26"/>
    <w:rsid w:val="1E5E1B5E"/>
    <w:rsid w:val="1E6F0C29"/>
    <w:rsid w:val="1EB12F4D"/>
    <w:rsid w:val="1FA1666B"/>
    <w:rsid w:val="1FDB1DD9"/>
    <w:rsid w:val="1FF50F59"/>
    <w:rsid w:val="200F0E56"/>
    <w:rsid w:val="2073637B"/>
    <w:rsid w:val="209C16C6"/>
    <w:rsid w:val="20A33569"/>
    <w:rsid w:val="20B138CD"/>
    <w:rsid w:val="218E3E69"/>
    <w:rsid w:val="21953C56"/>
    <w:rsid w:val="21F12E9B"/>
    <w:rsid w:val="22953975"/>
    <w:rsid w:val="22B30532"/>
    <w:rsid w:val="234329A5"/>
    <w:rsid w:val="23D6388B"/>
    <w:rsid w:val="23D81226"/>
    <w:rsid w:val="24B957C4"/>
    <w:rsid w:val="261C36A9"/>
    <w:rsid w:val="278C521C"/>
    <w:rsid w:val="278E2E96"/>
    <w:rsid w:val="29777650"/>
    <w:rsid w:val="297F1E3E"/>
    <w:rsid w:val="298C4DC4"/>
    <w:rsid w:val="29AF7A2A"/>
    <w:rsid w:val="2A2B59FD"/>
    <w:rsid w:val="2BF03E9B"/>
    <w:rsid w:val="2CEE7709"/>
    <w:rsid w:val="2D4D4697"/>
    <w:rsid w:val="2F992928"/>
    <w:rsid w:val="3119067C"/>
    <w:rsid w:val="312F3199"/>
    <w:rsid w:val="325401A7"/>
    <w:rsid w:val="329A0FA9"/>
    <w:rsid w:val="3306758E"/>
    <w:rsid w:val="343E6DB2"/>
    <w:rsid w:val="34D64FB1"/>
    <w:rsid w:val="35C21820"/>
    <w:rsid w:val="35CB07AC"/>
    <w:rsid w:val="35EC744B"/>
    <w:rsid w:val="35F6777B"/>
    <w:rsid w:val="361C5719"/>
    <w:rsid w:val="363A614B"/>
    <w:rsid w:val="36543112"/>
    <w:rsid w:val="36A838FA"/>
    <w:rsid w:val="37237334"/>
    <w:rsid w:val="37FD1E42"/>
    <w:rsid w:val="396C620A"/>
    <w:rsid w:val="39FD6097"/>
    <w:rsid w:val="3BAA01D1"/>
    <w:rsid w:val="3BFE5A99"/>
    <w:rsid w:val="3D8E1D81"/>
    <w:rsid w:val="3DCD40BB"/>
    <w:rsid w:val="3DF71DCB"/>
    <w:rsid w:val="3E4A7FD3"/>
    <w:rsid w:val="3EC64AFB"/>
    <w:rsid w:val="3EC7221F"/>
    <w:rsid w:val="3F052620"/>
    <w:rsid w:val="3FD1079F"/>
    <w:rsid w:val="4039216F"/>
    <w:rsid w:val="40CF4C0D"/>
    <w:rsid w:val="41440AB5"/>
    <w:rsid w:val="417F2D26"/>
    <w:rsid w:val="420D695A"/>
    <w:rsid w:val="42C12B3F"/>
    <w:rsid w:val="43376A2F"/>
    <w:rsid w:val="4346583C"/>
    <w:rsid w:val="43F303D4"/>
    <w:rsid w:val="440A613D"/>
    <w:rsid w:val="4441508B"/>
    <w:rsid w:val="44A610D9"/>
    <w:rsid w:val="44D31987"/>
    <w:rsid w:val="45EE1CEE"/>
    <w:rsid w:val="46976FAE"/>
    <w:rsid w:val="46DD32EC"/>
    <w:rsid w:val="474071E0"/>
    <w:rsid w:val="47885961"/>
    <w:rsid w:val="47CC1680"/>
    <w:rsid w:val="482043DF"/>
    <w:rsid w:val="4B2D0E79"/>
    <w:rsid w:val="4C304B76"/>
    <w:rsid w:val="4C3852B5"/>
    <w:rsid w:val="4D3E2F99"/>
    <w:rsid w:val="4E3231D9"/>
    <w:rsid w:val="4E6E5F79"/>
    <w:rsid w:val="4EFC38A7"/>
    <w:rsid w:val="4F0B12FC"/>
    <w:rsid w:val="4F21038B"/>
    <w:rsid w:val="4FC472EA"/>
    <w:rsid w:val="501F1999"/>
    <w:rsid w:val="51206244"/>
    <w:rsid w:val="51EC4FB3"/>
    <w:rsid w:val="537C1D70"/>
    <w:rsid w:val="5437759E"/>
    <w:rsid w:val="55F96A7A"/>
    <w:rsid w:val="569B51F1"/>
    <w:rsid w:val="56CE3A00"/>
    <w:rsid w:val="576B34D9"/>
    <w:rsid w:val="5A131A6F"/>
    <w:rsid w:val="5B0A79E8"/>
    <w:rsid w:val="5B5866A8"/>
    <w:rsid w:val="5BF92270"/>
    <w:rsid w:val="5C0F50B9"/>
    <w:rsid w:val="5CD30E07"/>
    <w:rsid w:val="5D215E3F"/>
    <w:rsid w:val="5D81228B"/>
    <w:rsid w:val="5D9E4871"/>
    <w:rsid w:val="5E454CED"/>
    <w:rsid w:val="5E6E0780"/>
    <w:rsid w:val="5F5C72E6"/>
    <w:rsid w:val="5FCF719E"/>
    <w:rsid w:val="5FDB7E7A"/>
    <w:rsid w:val="600E29DA"/>
    <w:rsid w:val="60233FD7"/>
    <w:rsid w:val="61DC75FF"/>
    <w:rsid w:val="620D2D8F"/>
    <w:rsid w:val="62206B5C"/>
    <w:rsid w:val="624E5DF8"/>
    <w:rsid w:val="634965B4"/>
    <w:rsid w:val="639E6096"/>
    <w:rsid w:val="63B72C2C"/>
    <w:rsid w:val="65A570EC"/>
    <w:rsid w:val="66A65767"/>
    <w:rsid w:val="687B026B"/>
    <w:rsid w:val="691E3102"/>
    <w:rsid w:val="69596260"/>
    <w:rsid w:val="6B89145B"/>
    <w:rsid w:val="6C2038E0"/>
    <w:rsid w:val="6CA84682"/>
    <w:rsid w:val="6D44730F"/>
    <w:rsid w:val="6F5353A9"/>
    <w:rsid w:val="6FB9050C"/>
    <w:rsid w:val="71190611"/>
    <w:rsid w:val="72CF4DC0"/>
    <w:rsid w:val="734D3967"/>
    <w:rsid w:val="73A04420"/>
    <w:rsid w:val="747F630F"/>
    <w:rsid w:val="74CA5626"/>
    <w:rsid w:val="754F06F5"/>
    <w:rsid w:val="76841EE6"/>
    <w:rsid w:val="76C12A08"/>
    <w:rsid w:val="772470A0"/>
    <w:rsid w:val="77637F1F"/>
    <w:rsid w:val="77DB0ED7"/>
    <w:rsid w:val="785C2F1F"/>
    <w:rsid w:val="788E7FF8"/>
    <w:rsid w:val="79A92231"/>
    <w:rsid w:val="79CC22CF"/>
    <w:rsid w:val="7A4324D8"/>
    <w:rsid w:val="7AE2391E"/>
    <w:rsid w:val="7B037742"/>
    <w:rsid w:val="7B52597A"/>
    <w:rsid w:val="7CC60ED2"/>
    <w:rsid w:val="7D6118FA"/>
    <w:rsid w:val="7DAD4165"/>
    <w:rsid w:val="7E1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libri Light" w:hAnsi="Calibri Light" w:eastAsia="宋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envelope return"/>
    <w:basedOn w:val="1"/>
    <w:qFormat/>
    <w:uiPriority w:val="0"/>
    <w:rPr>
      <w:rFonts w:ascii="Arial" w:hAnsi="Arial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customStyle="1" w:styleId="12">
    <w:name w:val="样式  Char + 首行缩进:  2 字符"/>
    <w:basedOn w:val="13"/>
    <w:qFormat/>
    <w:uiPriority w:val="0"/>
    <w:pPr>
      <w:ind w:firstLine="420"/>
    </w:pPr>
    <w:rPr>
      <w:rFonts w:eastAsia="宋体" w:cs="宋体"/>
      <w:sz w:val="24"/>
    </w:rPr>
  </w:style>
  <w:style w:type="paragraph" w:customStyle="1" w:styleId="13">
    <w:name w:val="Char"/>
    <w:basedOn w:val="1"/>
    <w:qFormat/>
    <w:uiPriority w:val="0"/>
    <w:pPr>
      <w:spacing w:line="360" w:lineRule="auto"/>
    </w:pPr>
    <w:rPr>
      <w:rFonts w:ascii="宋体" w:hAnsi="宋体"/>
      <w:b/>
      <w:sz w:val="28"/>
      <w:szCs w:val="28"/>
    </w:rPr>
  </w:style>
  <w:style w:type="paragraph" w:customStyle="1" w:styleId="14">
    <w:name w:val="Char1"/>
    <w:basedOn w:val="1"/>
    <w:qFormat/>
    <w:uiPriority w:val="0"/>
    <w:pPr>
      <w:spacing w:line="360" w:lineRule="auto"/>
    </w:pPr>
    <w:rPr>
      <w:rFonts w:ascii="宋体" w:hAnsi="宋体"/>
      <w:b/>
      <w:sz w:val="28"/>
      <w:szCs w:val="28"/>
    </w:rPr>
  </w:style>
  <w:style w:type="character" w:customStyle="1" w:styleId="15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9</Pages>
  <Words>682</Words>
  <Characters>3894</Characters>
  <Lines>32</Lines>
  <Paragraphs>9</Paragraphs>
  <TotalTime>10</TotalTime>
  <ScaleCrop>false</ScaleCrop>
  <LinksUpToDate>false</LinksUpToDate>
  <CharactersWithSpaces>4567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2022-02-14T02:04:00Z</dcterms:created>
  <dc:creator>lenovo</dc:creator>
  <cp:lastModifiedBy>不吃香菜</cp:lastModifiedBy>
  <dcterms:modified xsi:type="dcterms:W3CDTF">2024-04-10T01:57:54Z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