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F2433">
      <w:pPr>
        <w:pStyle w:val="2"/>
        <w:bidi w:val="0"/>
        <w:jc w:val="center"/>
        <w:rPr>
          <w:rFonts w:hint="eastAsia"/>
          <w:highlight w:val="none"/>
        </w:rPr>
      </w:pPr>
    </w:p>
    <w:p w14:paraId="35095F62">
      <w:pPr>
        <w:pStyle w:val="2"/>
        <w:bidi w:val="0"/>
        <w:jc w:val="center"/>
        <w:rPr>
          <w:rFonts w:hint="eastAsia"/>
          <w:highlight w:val="none"/>
        </w:rPr>
      </w:pPr>
    </w:p>
    <w:p w14:paraId="22540DE4">
      <w:pPr>
        <w:pStyle w:val="2"/>
        <w:bidi w:val="0"/>
        <w:jc w:val="center"/>
        <w:rPr>
          <w:rFonts w:hint="eastAsia"/>
          <w:highlight w:val="none"/>
        </w:rPr>
      </w:pPr>
    </w:p>
    <w:p w14:paraId="329A5C10">
      <w:pPr>
        <w:pStyle w:val="2"/>
        <w:bidi w:val="0"/>
        <w:jc w:val="center"/>
        <w:rPr>
          <w:rFonts w:hint="eastAsia"/>
          <w:highlight w:val="none"/>
        </w:rPr>
      </w:pPr>
      <w:bookmarkStart w:id="0" w:name="_Toc1450"/>
      <w:bookmarkStart w:id="1" w:name="_Toc22885"/>
      <w:bookmarkStart w:id="2" w:name="_Toc27492"/>
      <w:bookmarkStart w:id="3" w:name="_Toc26186"/>
      <w:bookmarkStart w:id="4" w:name="_Toc25206"/>
      <w:bookmarkStart w:id="5" w:name="_Toc17753"/>
      <w:bookmarkStart w:id="6" w:name="_Toc7554"/>
      <w:bookmarkStart w:id="7" w:name="_Toc16210"/>
      <w:bookmarkStart w:id="8" w:name="_Toc31642"/>
      <w:bookmarkStart w:id="9" w:name="_Toc12317"/>
      <w:bookmarkStart w:id="10" w:name="_Toc17048"/>
      <w:bookmarkStart w:id="11" w:name="_Toc2053"/>
      <w:bookmarkStart w:id="12" w:name="_Toc19369"/>
      <w:bookmarkStart w:id="13" w:name="_Toc15399"/>
      <w:bookmarkStart w:id="14" w:name="_Toc22314"/>
      <w:bookmarkStart w:id="15" w:name="_Toc26450"/>
      <w:bookmarkStart w:id="16" w:name="_Toc20988"/>
      <w:r>
        <w:rPr>
          <w:rFonts w:hint="eastAsia"/>
          <w:highlight w:val="none"/>
        </w:rPr>
        <w:t>数字濉溪建设</w:t>
      </w:r>
      <w:r>
        <w:rPr>
          <w:rFonts w:hint="eastAsia"/>
          <w:highlight w:val="none"/>
          <w:lang w:eastAsia="zh-CN"/>
        </w:rPr>
        <w:t>“</w:t>
      </w:r>
      <w:r>
        <w:rPr>
          <w:rFonts w:hint="eastAsia"/>
          <w:highlight w:val="none"/>
          <w:lang w:val="en-US" w:eastAsia="zh-CN"/>
        </w:rPr>
        <w:t>十五五</w:t>
      </w:r>
      <w:r>
        <w:rPr>
          <w:rFonts w:hint="eastAsia"/>
          <w:highlight w:val="none"/>
          <w:lang w:eastAsia="zh-CN"/>
        </w:rPr>
        <w:t>”</w:t>
      </w:r>
      <w:r>
        <w:rPr>
          <w:rFonts w:hint="eastAsia"/>
          <w:highlight w:val="none"/>
        </w:rPr>
        <w:t>规划</w:t>
      </w:r>
      <w:bookmarkEnd w:id="0"/>
      <w:bookmarkEnd w:id="1"/>
      <w:bookmarkEnd w:id="2"/>
      <w:bookmarkEnd w:id="3"/>
      <w:bookmarkEnd w:id="4"/>
      <w:bookmarkEnd w:id="5"/>
      <w:bookmarkEnd w:id="6"/>
      <w:bookmarkEnd w:id="7"/>
      <w:bookmarkEnd w:id="8"/>
      <w:bookmarkEnd w:id="9"/>
      <w:bookmarkEnd w:id="10"/>
      <w:bookmarkEnd w:id="11"/>
    </w:p>
    <w:p w14:paraId="387F3558">
      <w:pPr>
        <w:pStyle w:val="2"/>
        <w:bidi w:val="0"/>
        <w:jc w:val="center"/>
        <w:rPr>
          <w:rFonts w:hint="eastAsia" w:eastAsiaTheme="minorEastAsia"/>
          <w:highlight w:val="none"/>
          <w:lang w:val="en-US" w:eastAsia="zh-CN"/>
        </w:rPr>
      </w:pPr>
      <w:bookmarkStart w:id="17" w:name="_Toc9911"/>
      <w:bookmarkStart w:id="18" w:name="_Toc5237"/>
      <w:bookmarkStart w:id="19" w:name="_Toc24102"/>
      <w:bookmarkStart w:id="20" w:name="_Toc29413"/>
      <w:bookmarkStart w:id="21" w:name="_Toc21008"/>
      <w:bookmarkStart w:id="22" w:name="_Toc21487"/>
      <w:bookmarkStart w:id="23" w:name="_Toc2811"/>
      <w:bookmarkStart w:id="24" w:name="_Toc11689"/>
      <w:bookmarkStart w:id="25" w:name="_Toc2382"/>
      <w:bookmarkStart w:id="26" w:name="_Toc31779"/>
      <w:bookmarkStart w:id="27" w:name="_Toc16349"/>
      <w:bookmarkStart w:id="28" w:name="_Toc23495"/>
      <w:r>
        <w:rPr>
          <w:rFonts w:hint="eastAsia"/>
          <w:highlight w:val="none"/>
        </w:rPr>
        <w:t>（2026-2030）</w:t>
      </w:r>
      <w:bookmarkEnd w:id="12"/>
      <w:bookmarkEnd w:id="13"/>
      <w:bookmarkEnd w:id="14"/>
      <w:bookmarkEnd w:id="15"/>
      <w:bookmarkEnd w:id="16"/>
      <w:bookmarkEnd w:id="17"/>
      <w:bookmarkEnd w:id="18"/>
      <w:bookmarkEnd w:id="19"/>
      <w:bookmarkEnd w:id="20"/>
      <w:bookmarkEnd w:id="21"/>
      <w:bookmarkEnd w:id="22"/>
      <w:r>
        <w:rPr>
          <w:rFonts w:hint="eastAsia"/>
          <w:highlight w:val="none"/>
          <w:lang w:eastAsia="zh-CN"/>
        </w:rPr>
        <w:t>（</w:t>
      </w:r>
      <w:r>
        <w:rPr>
          <w:rFonts w:hint="eastAsia"/>
          <w:highlight w:val="none"/>
          <w:lang w:val="en-US" w:eastAsia="zh-CN"/>
        </w:rPr>
        <w:t>征求意见稿</w:t>
      </w:r>
      <w:r>
        <w:rPr>
          <w:rFonts w:hint="eastAsia"/>
          <w:highlight w:val="none"/>
          <w:lang w:eastAsia="zh-CN"/>
        </w:rPr>
        <w:t>）</w:t>
      </w:r>
      <w:bookmarkEnd w:id="23"/>
      <w:bookmarkEnd w:id="24"/>
      <w:bookmarkEnd w:id="25"/>
      <w:bookmarkEnd w:id="26"/>
      <w:bookmarkEnd w:id="27"/>
      <w:bookmarkEnd w:id="28"/>
    </w:p>
    <w:p w14:paraId="1E7367B5">
      <w:pPr>
        <w:rPr>
          <w:rFonts w:hint="eastAsia" w:ascii="仿宋" w:hAnsi="仿宋" w:eastAsia="仿宋" w:cs="仿宋"/>
          <w:sz w:val="32"/>
          <w:szCs w:val="32"/>
          <w:highlight w:val="none"/>
        </w:rPr>
      </w:pPr>
    </w:p>
    <w:p w14:paraId="0A1309EA">
      <w:pPr>
        <w:rPr>
          <w:rFonts w:hint="eastAsia" w:ascii="仿宋" w:hAnsi="仿宋" w:eastAsia="仿宋" w:cs="仿宋"/>
          <w:sz w:val="32"/>
          <w:szCs w:val="32"/>
          <w:highlight w:val="none"/>
        </w:rPr>
      </w:pPr>
    </w:p>
    <w:p w14:paraId="07DEA8D0">
      <w:pPr>
        <w:rPr>
          <w:rFonts w:hint="eastAsia" w:ascii="仿宋" w:hAnsi="仿宋" w:eastAsia="仿宋" w:cs="仿宋"/>
          <w:sz w:val="32"/>
          <w:szCs w:val="32"/>
          <w:highlight w:val="none"/>
        </w:rPr>
      </w:pPr>
    </w:p>
    <w:p w14:paraId="6B9C4C55">
      <w:pPr>
        <w:rPr>
          <w:rFonts w:hint="eastAsia" w:ascii="仿宋" w:hAnsi="仿宋" w:eastAsia="仿宋" w:cs="仿宋"/>
          <w:sz w:val="32"/>
          <w:szCs w:val="32"/>
          <w:highlight w:val="none"/>
        </w:rPr>
      </w:pPr>
    </w:p>
    <w:p w14:paraId="7C32E8E8">
      <w:pPr>
        <w:rPr>
          <w:rFonts w:hint="eastAsia" w:ascii="仿宋" w:hAnsi="仿宋" w:eastAsia="仿宋" w:cs="仿宋"/>
          <w:sz w:val="32"/>
          <w:szCs w:val="32"/>
          <w:highlight w:val="none"/>
        </w:rPr>
      </w:pPr>
    </w:p>
    <w:p w14:paraId="4B751D6E">
      <w:pPr>
        <w:rPr>
          <w:rFonts w:hint="eastAsia" w:ascii="仿宋" w:hAnsi="仿宋" w:eastAsia="仿宋" w:cs="仿宋"/>
          <w:sz w:val="32"/>
          <w:szCs w:val="32"/>
          <w:highlight w:val="none"/>
        </w:rPr>
      </w:pPr>
    </w:p>
    <w:p w14:paraId="23383D19">
      <w:pPr>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濉溪县数据资源管理局</w:t>
      </w:r>
    </w:p>
    <w:p w14:paraId="520E672A">
      <w:pPr>
        <w:jc w:val="center"/>
        <w:rPr>
          <w:rFonts w:hint="default" w:ascii="仿宋" w:hAnsi="仿宋" w:eastAsia="仿宋" w:cs="仿宋"/>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24日</w:t>
      </w:r>
    </w:p>
    <w:p w14:paraId="242E54A1">
      <w:pPr>
        <w:rPr>
          <w:rFonts w:hint="eastAsia" w:ascii="仿宋" w:hAnsi="仿宋" w:eastAsia="仿宋" w:cs="仿宋"/>
          <w:sz w:val="32"/>
          <w:szCs w:val="32"/>
          <w:highlight w:val="none"/>
        </w:rPr>
      </w:pPr>
    </w:p>
    <w:sdt>
      <w:sdtPr>
        <w:rPr>
          <w:rFonts w:ascii="宋体" w:hAnsi="宋体" w:eastAsia="宋体" w:cstheme="minorBidi"/>
          <w:b/>
          <w:bCs/>
          <w:kern w:val="2"/>
          <w:sz w:val="36"/>
          <w:szCs w:val="36"/>
          <w:lang w:val="en-US" w:eastAsia="zh-CN" w:bidi="ar-SA"/>
        </w:rPr>
        <w:id w:val="147461435"/>
        <w15:color w:val="DBDBDB"/>
        <w:docPartObj>
          <w:docPartGallery w:val="Table of Contents"/>
          <w:docPartUnique/>
        </w:docPartObj>
      </w:sdtPr>
      <w:sdtEndPr>
        <w:rPr>
          <w:rFonts w:ascii="宋体" w:hAnsi="宋体" w:eastAsia="宋体" w:cstheme="minorBidi"/>
          <w:b/>
          <w:bCs/>
          <w:kern w:val="2"/>
          <w:sz w:val="21"/>
          <w:szCs w:val="24"/>
          <w:lang w:val="en-US" w:eastAsia="zh-CN" w:bidi="ar-SA"/>
        </w:rPr>
      </w:sdtEndPr>
      <w:sdtContent>
        <w:p w14:paraId="39C8A99A">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目录</w:t>
          </w:r>
        </w:p>
        <w:p w14:paraId="2814B98A">
          <w:pPr>
            <w:pStyle w:val="11"/>
            <w:tabs>
              <w:tab w:val="right" w:leader="dot" w:pos="8306"/>
            </w:tabs>
          </w:pPr>
          <w:r>
            <w:fldChar w:fldCharType="begin"/>
          </w:r>
          <w:r>
            <w:instrText xml:space="preserve">TOC \o "1-3" \h \u </w:instrText>
          </w:r>
          <w:r>
            <w:fldChar w:fldCharType="separate"/>
          </w:r>
        </w:p>
        <w:p w14:paraId="55B3D88D">
          <w:pPr>
            <w:pStyle w:val="11"/>
            <w:tabs>
              <w:tab w:val="right" w:leader="dot" w:pos="8306"/>
            </w:tabs>
          </w:pPr>
          <w:r>
            <w:fldChar w:fldCharType="begin"/>
          </w:r>
          <w:r>
            <w:instrText xml:space="preserve"> HYPERLINK \l _Toc22975 </w:instrText>
          </w:r>
          <w:r>
            <w:fldChar w:fldCharType="separate"/>
          </w:r>
          <w:r>
            <w:rPr>
              <w:rFonts w:hint="eastAsia"/>
              <w:highlight w:val="none"/>
            </w:rPr>
            <w:t>序言</w:t>
          </w:r>
          <w:r>
            <w:tab/>
          </w:r>
          <w:r>
            <w:fldChar w:fldCharType="begin"/>
          </w:r>
          <w:r>
            <w:instrText xml:space="preserve"> PAGEREF _Toc22975 \h </w:instrText>
          </w:r>
          <w:r>
            <w:fldChar w:fldCharType="separate"/>
          </w:r>
          <w:r>
            <w:t>1</w:t>
          </w:r>
          <w:r>
            <w:fldChar w:fldCharType="end"/>
          </w:r>
          <w:r>
            <w:fldChar w:fldCharType="end"/>
          </w:r>
        </w:p>
        <w:p w14:paraId="323A44CC">
          <w:pPr>
            <w:pStyle w:val="11"/>
            <w:tabs>
              <w:tab w:val="right" w:leader="dot" w:pos="8306"/>
            </w:tabs>
          </w:pPr>
          <w:r>
            <w:fldChar w:fldCharType="begin"/>
          </w:r>
          <w:r>
            <w:instrText xml:space="preserve"> HYPERLINK \l _Toc31285 </w:instrText>
          </w:r>
          <w:r>
            <w:fldChar w:fldCharType="separate"/>
          </w:r>
          <w:r>
            <w:rPr>
              <w:rFonts w:hint="eastAsia" w:ascii="黑体" w:hAnsi="黑体" w:eastAsia="黑体" w:cs="黑体"/>
              <w:szCs w:val="32"/>
              <w:lang w:eastAsia="zh-CN"/>
            </w:rPr>
            <w:t xml:space="preserve">一、 </w:t>
          </w:r>
          <w:r>
            <w:rPr>
              <w:rFonts w:hint="eastAsia" w:ascii="黑体" w:hAnsi="黑体" w:eastAsia="黑体" w:cs="黑体"/>
              <w:szCs w:val="32"/>
              <w:highlight w:val="none"/>
              <w:lang w:val="en-US" w:eastAsia="zh-CN"/>
            </w:rPr>
            <w:t>总体规划</w:t>
          </w:r>
          <w:r>
            <w:tab/>
          </w:r>
          <w:r>
            <w:fldChar w:fldCharType="begin"/>
          </w:r>
          <w:r>
            <w:instrText xml:space="preserve"> PAGEREF _Toc31285 \h </w:instrText>
          </w:r>
          <w:r>
            <w:fldChar w:fldCharType="separate"/>
          </w:r>
          <w:r>
            <w:t>2</w:t>
          </w:r>
          <w:r>
            <w:fldChar w:fldCharType="end"/>
          </w:r>
          <w:r>
            <w:fldChar w:fldCharType="end"/>
          </w:r>
        </w:p>
        <w:p w14:paraId="626065EF">
          <w:pPr>
            <w:pStyle w:val="11"/>
            <w:tabs>
              <w:tab w:val="right" w:leader="dot" w:pos="8306"/>
            </w:tabs>
          </w:pPr>
          <w:r>
            <w:fldChar w:fldCharType="begin"/>
          </w:r>
          <w:r>
            <w:instrText xml:space="preserve"> HYPERLINK \l _Toc10279 </w:instrText>
          </w:r>
          <w:r>
            <w:fldChar w:fldCharType="separate"/>
          </w:r>
          <w:r>
            <w:rPr>
              <w:rFonts w:hint="eastAsia" w:ascii="黑体" w:hAnsi="黑体" w:eastAsia="黑体" w:cs="黑体"/>
              <w:szCs w:val="32"/>
            </w:rPr>
            <w:t xml:space="preserve">二、 </w:t>
          </w:r>
          <w:r>
            <w:rPr>
              <w:rFonts w:hint="eastAsia" w:ascii="黑体" w:hAnsi="黑体" w:eastAsia="黑体" w:cs="黑体"/>
              <w:szCs w:val="32"/>
              <w:highlight w:val="none"/>
            </w:rPr>
            <w:t>数字基座夯实工程</w:t>
          </w:r>
          <w:r>
            <w:rPr>
              <w:rFonts w:hint="eastAsia" w:ascii="黑体" w:hAnsi="黑体" w:eastAsia="黑体" w:cs="黑体"/>
              <w:szCs w:val="32"/>
              <w:highlight w:val="none"/>
              <w:lang w:eastAsia="zh-CN"/>
            </w:rPr>
            <w:t>：</w:t>
          </w:r>
          <w:r>
            <w:rPr>
              <w:rFonts w:hint="eastAsia" w:ascii="黑体" w:hAnsi="黑体" w:eastAsia="黑体" w:cs="黑体"/>
              <w:szCs w:val="32"/>
              <w:highlight w:val="none"/>
            </w:rPr>
            <w:t>筑牢智能化发展根基</w:t>
          </w:r>
          <w:r>
            <w:tab/>
          </w:r>
          <w:r>
            <w:fldChar w:fldCharType="begin"/>
          </w:r>
          <w:r>
            <w:instrText xml:space="preserve"> PAGEREF _Toc10279 \h </w:instrText>
          </w:r>
          <w:r>
            <w:fldChar w:fldCharType="separate"/>
          </w:r>
          <w:r>
            <w:t>3</w:t>
          </w:r>
          <w:r>
            <w:fldChar w:fldCharType="end"/>
          </w:r>
          <w:r>
            <w:fldChar w:fldCharType="end"/>
          </w:r>
        </w:p>
        <w:p w14:paraId="53D57722">
          <w:pPr>
            <w:pStyle w:val="12"/>
            <w:tabs>
              <w:tab w:val="right" w:leader="dot" w:pos="8306"/>
            </w:tabs>
          </w:pPr>
          <w:r>
            <w:fldChar w:fldCharType="begin"/>
          </w:r>
          <w:r>
            <w:instrText xml:space="preserve"> HYPERLINK \l _Toc25157 </w:instrText>
          </w:r>
          <w:r>
            <w:fldChar w:fldCharType="separate"/>
          </w:r>
          <w:r>
            <w:rPr>
              <w:rFonts w:hint="eastAsia" w:ascii="仿宋" w:hAnsi="仿宋" w:eastAsia="仿宋" w:cs="仿宋"/>
              <w:bCs/>
              <w:szCs w:val="32"/>
              <w:lang w:eastAsia="zh-CN"/>
            </w:rPr>
            <w:t xml:space="preserve">（一） </w:t>
          </w:r>
          <w:r>
            <w:rPr>
              <w:rFonts w:hint="eastAsia" w:ascii="仿宋" w:hAnsi="仿宋" w:eastAsia="仿宋" w:cs="仿宋"/>
              <w:bCs/>
              <w:szCs w:val="32"/>
              <w:highlight w:val="none"/>
            </w:rPr>
            <w:t>政务系统信创化改造</w:t>
          </w:r>
          <w:r>
            <w:tab/>
          </w:r>
          <w:r>
            <w:fldChar w:fldCharType="begin"/>
          </w:r>
          <w:r>
            <w:instrText xml:space="preserve"> PAGEREF _Toc25157 \h </w:instrText>
          </w:r>
          <w:r>
            <w:fldChar w:fldCharType="separate"/>
          </w:r>
          <w:r>
            <w:t>3</w:t>
          </w:r>
          <w:r>
            <w:fldChar w:fldCharType="end"/>
          </w:r>
          <w:r>
            <w:fldChar w:fldCharType="end"/>
          </w:r>
        </w:p>
        <w:p w14:paraId="2E79710C">
          <w:pPr>
            <w:pStyle w:val="12"/>
            <w:tabs>
              <w:tab w:val="right" w:leader="dot" w:pos="8306"/>
            </w:tabs>
          </w:pPr>
          <w:r>
            <w:fldChar w:fldCharType="begin"/>
          </w:r>
          <w:r>
            <w:instrText xml:space="preserve"> HYPERLINK \l _Toc21051 </w:instrText>
          </w:r>
          <w:r>
            <w:fldChar w:fldCharType="separate"/>
          </w:r>
          <w:r>
            <w:rPr>
              <w:rFonts w:hint="eastAsia" w:ascii="仿宋" w:hAnsi="仿宋" w:eastAsia="仿宋" w:cs="仿宋"/>
              <w:bCs/>
              <w:szCs w:val="32"/>
              <w:lang w:eastAsia="zh-CN"/>
            </w:rPr>
            <w:t xml:space="preserve">（二） </w:t>
          </w:r>
          <w:r>
            <w:rPr>
              <w:rFonts w:hint="eastAsia" w:ascii="仿宋" w:hAnsi="仿宋" w:eastAsia="仿宋" w:cs="仿宋"/>
              <w:bCs/>
              <w:szCs w:val="32"/>
              <w:highlight w:val="none"/>
            </w:rPr>
            <w:t>推进“双千兆”网络全域覆盖</w:t>
          </w:r>
          <w:r>
            <w:tab/>
          </w:r>
          <w:r>
            <w:fldChar w:fldCharType="begin"/>
          </w:r>
          <w:r>
            <w:instrText xml:space="preserve"> PAGEREF _Toc21051 \h </w:instrText>
          </w:r>
          <w:r>
            <w:fldChar w:fldCharType="separate"/>
          </w:r>
          <w:r>
            <w:t>4</w:t>
          </w:r>
          <w:r>
            <w:fldChar w:fldCharType="end"/>
          </w:r>
          <w:r>
            <w:fldChar w:fldCharType="end"/>
          </w:r>
        </w:p>
        <w:p w14:paraId="552C8BC1">
          <w:pPr>
            <w:pStyle w:val="12"/>
            <w:tabs>
              <w:tab w:val="right" w:leader="dot" w:pos="8306"/>
            </w:tabs>
          </w:pPr>
          <w:r>
            <w:fldChar w:fldCharType="begin"/>
          </w:r>
          <w:r>
            <w:instrText xml:space="preserve"> HYPERLINK \l _Toc10454 </w:instrText>
          </w:r>
          <w:r>
            <w:fldChar w:fldCharType="separate"/>
          </w:r>
          <w:r>
            <w:rPr>
              <w:rFonts w:hint="eastAsia" w:ascii="仿宋" w:hAnsi="仿宋" w:eastAsia="仿宋" w:cs="仿宋"/>
              <w:bCs/>
              <w:szCs w:val="32"/>
            </w:rPr>
            <w:t xml:space="preserve">（三） </w:t>
          </w:r>
          <w:r>
            <w:rPr>
              <w:rFonts w:hint="eastAsia" w:ascii="仿宋" w:hAnsi="仿宋" w:eastAsia="仿宋" w:cs="仿宋"/>
              <w:bCs/>
              <w:szCs w:val="32"/>
              <w:highlight w:val="none"/>
              <w:lang w:val="en-US" w:eastAsia="zh-CN"/>
            </w:rPr>
            <w:t>推进算力网</w:t>
          </w:r>
          <w:r>
            <w:rPr>
              <w:rFonts w:hint="eastAsia" w:ascii="仿宋" w:hAnsi="仿宋" w:eastAsia="仿宋" w:cs="仿宋"/>
              <w:bCs/>
              <w:szCs w:val="32"/>
              <w:highlight w:val="none"/>
            </w:rPr>
            <w:t>边缘计算节点</w:t>
          </w:r>
          <w:r>
            <w:rPr>
              <w:rFonts w:hint="eastAsia" w:ascii="仿宋" w:hAnsi="仿宋" w:eastAsia="仿宋" w:cs="仿宋"/>
              <w:bCs/>
              <w:szCs w:val="32"/>
              <w:highlight w:val="none"/>
              <w:lang w:val="en-US" w:eastAsia="zh-CN"/>
            </w:rPr>
            <w:t>建设</w:t>
          </w:r>
          <w:r>
            <w:tab/>
          </w:r>
          <w:r>
            <w:fldChar w:fldCharType="begin"/>
          </w:r>
          <w:r>
            <w:instrText xml:space="preserve"> PAGEREF _Toc10454 \h </w:instrText>
          </w:r>
          <w:r>
            <w:fldChar w:fldCharType="separate"/>
          </w:r>
          <w:r>
            <w:t>4</w:t>
          </w:r>
          <w:r>
            <w:fldChar w:fldCharType="end"/>
          </w:r>
          <w:r>
            <w:fldChar w:fldCharType="end"/>
          </w:r>
        </w:p>
        <w:p w14:paraId="454C7452">
          <w:pPr>
            <w:pStyle w:val="11"/>
            <w:tabs>
              <w:tab w:val="right" w:leader="dot" w:pos="8306"/>
            </w:tabs>
          </w:pPr>
          <w:r>
            <w:fldChar w:fldCharType="begin"/>
          </w:r>
          <w:r>
            <w:instrText xml:space="preserve"> HYPERLINK \l _Toc27970 </w:instrText>
          </w:r>
          <w:r>
            <w:fldChar w:fldCharType="separate"/>
          </w:r>
          <w:r>
            <w:rPr>
              <w:rFonts w:hint="eastAsia" w:ascii="黑体" w:hAnsi="黑体" w:eastAsia="黑体" w:cs="黑体"/>
              <w:szCs w:val="32"/>
            </w:rPr>
            <w:t xml:space="preserve">三、 </w:t>
          </w:r>
          <w:r>
            <w:rPr>
              <w:rFonts w:hint="eastAsia" w:ascii="黑体" w:hAnsi="黑体" w:eastAsia="黑体" w:cs="黑体"/>
              <w:szCs w:val="32"/>
              <w:highlight w:val="none"/>
            </w:rPr>
            <w:t>数字园区发展工程：打造数字经济集聚载体</w:t>
          </w:r>
          <w:r>
            <w:tab/>
          </w:r>
          <w:r>
            <w:fldChar w:fldCharType="begin"/>
          </w:r>
          <w:r>
            <w:instrText xml:space="preserve"> PAGEREF _Toc27970 \h </w:instrText>
          </w:r>
          <w:r>
            <w:fldChar w:fldCharType="separate"/>
          </w:r>
          <w:r>
            <w:t>4</w:t>
          </w:r>
          <w:r>
            <w:fldChar w:fldCharType="end"/>
          </w:r>
          <w:r>
            <w:fldChar w:fldCharType="end"/>
          </w:r>
        </w:p>
        <w:p w14:paraId="02FB8E39">
          <w:pPr>
            <w:pStyle w:val="12"/>
            <w:tabs>
              <w:tab w:val="right" w:leader="dot" w:pos="8306"/>
            </w:tabs>
          </w:pPr>
          <w:r>
            <w:fldChar w:fldCharType="begin"/>
          </w:r>
          <w:r>
            <w:instrText xml:space="preserve"> HYPERLINK \l _Toc21556 </w:instrText>
          </w:r>
          <w:r>
            <w:fldChar w:fldCharType="separate"/>
          </w:r>
          <w:r>
            <w:rPr>
              <w:rFonts w:hint="eastAsia" w:ascii="仿宋" w:hAnsi="仿宋" w:eastAsia="仿宋" w:cs="仿宋"/>
              <w:bCs/>
              <w:szCs w:val="32"/>
              <w:lang w:eastAsia="zh-CN"/>
            </w:rPr>
            <w:t xml:space="preserve">（一） </w:t>
          </w:r>
          <w:r>
            <w:rPr>
              <w:rFonts w:hint="eastAsia" w:ascii="仿宋" w:hAnsi="仿宋" w:eastAsia="仿宋" w:cs="仿宋"/>
              <w:bCs/>
              <w:szCs w:val="32"/>
              <w:highlight w:val="none"/>
              <w:lang w:val="en-US" w:eastAsia="zh-CN"/>
            </w:rPr>
            <w:t>推进</w:t>
          </w:r>
          <w:r>
            <w:rPr>
              <w:rFonts w:hint="eastAsia" w:ascii="仿宋" w:hAnsi="仿宋" w:eastAsia="仿宋" w:cs="仿宋"/>
              <w:bCs/>
              <w:szCs w:val="32"/>
              <w:highlight w:val="none"/>
            </w:rPr>
            <w:t>公共服务平台建设</w:t>
          </w:r>
          <w:r>
            <w:tab/>
          </w:r>
          <w:r>
            <w:fldChar w:fldCharType="begin"/>
          </w:r>
          <w:r>
            <w:instrText xml:space="preserve"> PAGEREF _Toc21556 \h </w:instrText>
          </w:r>
          <w:r>
            <w:fldChar w:fldCharType="separate"/>
          </w:r>
          <w:r>
            <w:t>5</w:t>
          </w:r>
          <w:r>
            <w:fldChar w:fldCharType="end"/>
          </w:r>
          <w:r>
            <w:fldChar w:fldCharType="end"/>
          </w:r>
        </w:p>
        <w:p w14:paraId="389D4649">
          <w:pPr>
            <w:pStyle w:val="12"/>
            <w:tabs>
              <w:tab w:val="right" w:leader="dot" w:pos="8306"/>
            </w:tabs>
          </w:pPr>
          <w:r>
            <w:fldChar w:fldCharType="begin"/>
          </w:r>
          <w:r>
            <w:instrText xml:space="preserve"> HYPERLINK \l _Toc7152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开展精准化招商与生态培育</w:t>
          </w:r>
          <w:r>
            <w:tab/>
          </w:r>
          <w:r>
            <w:fldChar w:fldCharType="begin"/>
          </w:r>
          <w:r>
            <w:instrText xml:space="preserve"> PAGEREF _Toc7152 \h </w:instrText>
          </w:r>
          <w:r>
            <w:fldChar w:fldCharType="separate"/>
          </w:r>
          <w:r>
            <w:t>5</w:t>
          </w:r>
          <w:r>
            <w:fldChar w:fldCharType="end"/>
          </w:r>
          <w:r>
            <w:fldChar w:fldCharType="end"/>
          </w:r>
        </w:p>
        <w:p w14:paraId="3190A079">
          <w:pPr>
            <w:pStyle w:val="12"/>
            <w:tabs>
              <w:tab w:val="right" w:leader="dot" w:pos="8306"/>
            </w:tabs>
          </w:pPr>
          <w:r>
            <w:fldChar w:fldCharType="begin"/>
          </w:r>
          <w:r>
            <w:instrText xml:space="preserve"> HYPERLINK \l _Toc17267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培育数字产业创新生态</w:t>
          </w:r>
          <w:r>
            <w:tab/>
          </w:r>
          <w:r>
            <w:fldChar w:fldCharType="begin"/>
          </w:r>
          <w:r>
            <w:instrText xml:space="preserve"> PAGEREF _Toc17267 \h </w:instrText>
          </w:r>
          <w:r>
            <w:fldChar w:fldCharType="separate"/>
          </w:r>
          <w:r>
            <w:t>6</w:t>
          </w:r>
          <w:r>
            <w:fldChar w:fldCharType="end"/>
          </w:r>
          <w:r>
            <w:fldChar w:fldCharType="end"/>
          </w:r>
        </w:p>
        <w:p w14:paraId="53B5F6B7">
          <w:pPr>
            <w:pStyle w:val="11"/>
            <w:tabs>
              <w:tab w:val="right" w:leader="dot" w:pos="8306"/>
            </w:tabs>
          </w:pPr>
          <w:r>
            <w:fldChar w:fldCharType="begin"/>
          </w:r>
          <w:r>
            <w:instrText xml:space="preserve"> HYPERLINK \l _Toc13168 </w:instrText>
          </w:r>
          <w:r>
            <w:fldChar w:fldCharType="separate"/>
          </w:r>
          <w:r>
            <w:rPr>
              <w:rFonts w:hint="eastAsia" w:ascii="黑体" w:hAnsi="黑体" w:eastAsia="黑体" w:cs="黑体"/>
              <w:szCs w:val="32"/>
            </w:rPr>
            <w:t xml:space="preserve">四、 </w:t>
          </w:r>
          <w:r>
            <w:rPr>
              <w:rFonts w:hint="eastAsia" w:ascii="黑体" w:hAnsi="黑体" w:eastAsia="黑体" w:cs="黑体"/>
              <w:szCs w:val="32"/>
              <w:highlight w:val="none"/>
            </w:rPr>
            <w:t>数字经济提效工程：激活产业转型新动能</w:t>
          </w:r>
          <w:r>
            <w:tab/>
          </w:r>
          <w:r>
            <w:fldChar w:fldCharType="begin"/>
          </w:r>
          <w:r>
            <w:instrText xml:space="preserve"> PAGEREF _Toc13168 \h </w:instrText>
          </w:r>
          <w:r>
            <w:fldChar w:fldCharType="separate"/>
          </w:r>
          <w:r>
            <w:t>6</w:t>
          </w:r>
          <w:r>
            <w:fldChar w:fldCharType="end"/>
          </w:r>
          <w:r>
            <w:fldChar w:fldCharType="end"/>
          </w:r>
        </w:p>
        <w:p w14:paraId="72B710A4">
          <w:pPr>
            <w:pStyle w:val="12"/>
            <w:tabs>
              <w:tab w:val="right" w:leader="dot" w:pos="8306"/>
            </w:tabs>
          </w:pPr>
          <w:r>
            <w:fldChar w:fldCharType="begin"/>
          </w:r>
          <w:r>
            <w:instrText xml:space="preserve"> HYPERLINK \l _Toc18395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培育壮大数字经济市场主体</w:t>
          </w:r>
          <w:r>
            <w:tab/>
          </w:r>
          <w:r>
            <w:fldChar w:fldCharType="begin"/>
          </w:r>
          <w:r>
            <w:instrText xml:space="preserve"> PAGEREF _Toc18395 \h </w:instrText>
          </w:r>
          <w:r>
            <w:fldChar w:fldCharType="separate"/>
          </w:r>
          <w:r>
            <w:t>6</w:t>
          </w:r>
          <w:r>
            <w:fldChar w:fldCharType="end"/>
          </w:r>
          <w:r>
            <w:fldChar w:fldCharType="end"/>
          </w:r>
        </w:p>
        <w:p w14:paraId="4715CF3D">
          <w:pPr>
            <w:pStyle w:val="12"/>
            <w:tabs>
              <w:tab w:val="right" w:leader="dot" w:pos="8306"/>
            </w:tabs>
          </w:pPr>
          <w:r>
            <w:fldChar w:fldCharType="begin"/>
          </w:r>
          <w:r>
            <w:instrText xml:space="preserve"> HYPERLINK \l _Toc21927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推进工业领域数字化转型</w:t>
          </w:r>
          <w:r>
            <w:tab/>
          </w:r>
          <w:r>
            <w:fldChar w:fldCharType="begin"/>
          </w:r>
          <w:r>
            <w:instrText xml:space="preserve"> PAGEREF _Toc21927 \h </w:instrText>
          </w:r>
          <w:r>
            <w:fldChar w:fldCharType="separate"/>
          </w:r>
          <w:r>
            <w:t>7</w:t>
          </w:r>
          <w:r>
            <w:fldChar w:fldCharType="end"/>
          </w:r>
          <w:r>
            <w:fldChar w:fldCharType="end"/>
          </w:r>
        </w:p>
        <w:p w14:paraId="47D1E76D">
          <w:pPr>
            <w:pStyle w:val="12"/>
            <w:tabs>
              <w:tab w:val="right" w:leader="dot" w:pos="8306"/>
            </w:tabs>
          </w:pPr>
          <w:r>
            <w:fldChar w:fldCharType="begin"/>
          </w:r>
          <w:r>
            <w:instrText xml:space="preserve"> HYPERLINK \l _Toc8839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推动数字文旅融合发展</w:t>
          </w:r>
          <w:r>
            <w:tab/>
          </w:r>
          <w:r>
            <w:fldChar w:fldCharType="begin"/>
          </w:r>
          <w:r>
            <w:instrText xml:space="preserve"> PAGEREF _Toc8839 \h </w:instrText>
          </w:r>
          <w:r>
            <w:fldChar w:fldCharType="separate"/>
          </w:r>
          <w:r>
            <w:t>8</w:t>
          </w:r>
          <w:r>
            <w:fldChar w:fldCharType="end"/>
          </w:r>
          <w:r>
            <w:fldChar w:fldCharType="end"/>
          </w:r>
        </w:p>
        <w:p w14:paraId="3B2B352D">
          <w:pPr>
            <w:pStyle w:val="11"/>
            <w:tabs>
              <w:tab w:val="right" w:leader="dot" w:pos="8306"/>
            </w:tabs>
          </w:pPr>
          <w:r>
            <w:fldChar w:fldCharType="begin"/>
          </w:r>
          <w:r>
            <w:instrText xml:space="preserve"> HYPERLINK \l _Toc4814 </w:instrText>
          </w:r>
          <w:r>
            <w:fldChar w:fldCharType="separate"/>
          </w:r>
          <w:r>
            <w:rPr>
              <w:rFonts w:hint="eastAsia" w:ascii="黑体" w:hAnsi="黑体" w:eastAsia="黑体" w:cs="黑体"/>
              <w:szCs w:val="32"/>
            </w:rPr>
            <w:t xml:space="preserve">五、 </w:t>
          </w:r>
          <w:r>
            <w:rPr>
              <w:rFonts w:hint="eastAsia" w:ascii="黑体" w:hAnsi="黑体" w:eastAsia="黑体" w:cs="黑体"/>
              <w:szCs w:val="32"/>
              <w:highlight w:val="none"/>
            </w:rPr>
            <w:t>数字政务迭代工程：构建高效便民服务体系</w:t>
          </w:r>
          <w:r>
            <w:tab/>
          </w:r>
          <w:r>
            <w:fldChar w:fldCharType="begin"/>
          </w:r>
          <w:r>
            <w:instrText xml:space="preserve"> PAGEREF _Toc4814 \h </w:instrText>
          </w:r>
          <w:r>
            <w:fldChar w:fldCharType="separate"/>
          </w:r>
          <w:r>
            <w:t>8</w:t>
          </w:r>
          <w:r>
            <w:fldChar w:fldCharType="end"/>
          </w:r>
          <w:r>
            <w:fldChar w:fldCharType="end"/>
          </w:r>
        </w:p>
        <w:p w14:paraId="219ACD64">
          <w:pPr>
            <w:pStyle w:val="12"/>
            <w:tabs>
              <w:tab w:val="right" w:leader="dot" w:pos="8306"/>
            </w:tabs>
          </w:pPr>
          <w:r>
            <w:fldChar w:fldCharType="begin"/>
          </w:r>
          <w:r>
            <w:instrText xml:space="preserve"> HYPERLINK \l _Toc20529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深化“高效办成一件事”改革</w:t>
          </w:r>
          <w:r>
            <w:tab/>
          </w:r>
          <w:r>
            <w:fldChar w:fldCharType="begin"/>
          </w:r>
          <w:r>
            <w:instrText xml:space="preserve"> PAGEREF _Toc20529 \h </w:instrText>
          </w:r>
          <w:r>
            <w:fldChar w:fldCharType="separate"/>
          </w:r>
          <w:r>
            <w:t>9</w:t>
          </w:r>
          <w:r>
            <w:fldChar w:fldCharType="end"/>
          </w:r>
          <w:r>
            <w:fldChar w:fldCharType="end"/>
          </w:r>
        </w:p>
        <w:p w14:paraId="44C963DF">
          <w:pPr>
            <w:pStyle w:val="12"/>
            <w:tabs>
              <w:tab w:val="right" w:leader="dot" w:pos="8306"/>
            </w:tabs>
          </w:pPr>
          <w:r>
            <w:fldChar w:fldCharType="begin"/>
          </w:r>
          <w:r>
            <w:instrText xml:space="preserve"> HYPERLINK \l _Toc29841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持续打造政务服务“快办”品牌</w:t>
          </w:r>
          <w:r>
            <w:tab/>
          </w:r>
          <w:r>
            <w:fldChar w:fldCharType="begin"/>
          </w:r>
          <w:r>
            <w:instrText xml:space="preserve"> PAGEREF _Toc29841 \h </w:instrText>
          </w:r>
          <w:r>
            <w:fldChar w:fldCharType="separate"/>
          </w:r>
          <w:r>
            <w:t>10</w:t>
          </w:r>
          <w:r>
            <w:fldChar w:fldCharType="end"/>
          </w:r>
          <w:r>
            <w:fldChar w:fldCharType="end"/>
          </w:r>
        </w:p>
        <w:p w14:paraId="4C012689">
          <w:pPr>
            <w:pStyle w:val="12"/>
            <w:tabs>
              <w:tab w:val="right" w:leader="dot" w:pos="8306"/>
            </w:tabs>
          </w:pPr>
          <w:r>
            <w:fldChar w:fldCharType="begin"/>
          </w:r>
          <w:r>
            <w:instrText xml:space="preserve"> HYPERLINK \l _Toc7240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AI赋能立项审批提质增效</w:t>
          </w:r>
          <w:r>
            <w:tab/>
          </w:r>
          <w:r>
            <w:fldChar w:fldCharType="begin"/>
          </w:r>
          <w:r>
            <w:instrText xml:space="preserve"> PAGEREF _Toc7240 \h </w:instrText>
          </w:r>
          <w:r>
            <w:fldChar w:fldCharType="separate"/>
          </w:r>
          <w:r>
            <w:t>10</w:t>
          </w:r>
          <w:r>
            <w:fldChar w:fldCharType="end"/>
          </w:r>
          <w:r>
            <w:fldChar w:fldCharType="end"/>
          </w:r>
        </w:p>
        <w:p w14:paraId="5A742C83">
          <w:pPr>
            <w:pStyle w:val="12"/>
            <w:tabs>
              <w:tab w:val="right" w:leader="dot" w:pos="8306"/>
            </w:tabs>
          </w:pPr>
          <w:r>
            <w:fldChar w:fldCharType="begin"/>
          </w:r>
          <w:r>
            <w:instrText xml:space="preserve"> HYPERLINK \l _Toc10059 </w:instrText>
          </w:r>
          <w:r>
            <w:fldChar w:fldCharType="separate"/>
          </w:r>
          <w:r>
            <w:rPr>
              <w:rFonts w:hint="eastAsia" w:ascii="仿宋" w:hAnsi="仿宋" w:eastAsia="仿宋" w:cs="仿宋"/>
              <w:bCs/>
              <w:szCs w:val="32"/>
              <w:lang w:val="en-US" w:eastAsia="zh-CN"/>
            </w:rPr>
            <w:t xml:space="preserve">（四） </w:t>
          </w:r>
          <w:r>
            <w:rPr>
              <w:rFonts w:hint="eastAsia" w:ascii="仿宋" w:hAnsi="仿宋" w:eastAsia="仿宋" w:cs="仿宋"/>
              <w:bCs/>
              <w:szCs w:val="32"/>
              <w:highlight w:val="none"/>
              <w:lang w:val="en-US" w:eastAsia="zh-CN"/>
            </w:rPr>
            <w:t>搭建项目综合服务智能体</w:t>
          </w:r>
          <w:r>
            <w:tab/>
          </w:r>
          <w:r>
            <w:fldChar w:fldCharType="begin"/>
          </w:r>
          <w:r>
            <w:instrText xml:space="preserve"> PAGEREF _Toc10059 \h </w:instrText>
          </w:r>
          <w:r>
            <w:fldChar w:fldCharType="separate"/>
          </w:r>
          <w:r>
            <w:t>10</w:t>
          </w:r>
          <w:r>
            <w:fldChar w:fldCharType="end"/>
          </w:r>
          <w:r>
            <w:fldChar w:fldCharType="end"/>
          </w:r>
        </w:p>
        <w:p w14:paraId="0C7B7FB5">
          <w:pPr>
            <w:pStyle w:val="11"/>
            <w:tabs>
              <w:tab w:val="right" w:leader="dot" w:pos="8306"/>
            </w:tabs>
          </w:pPr>
          <w:r>
            <w:fldChar w:fldCharType="begin"/>
          </w:r>
          <w:r>
            <w:instrText xml:space="preserve"> HYPERLINK \l _Toc32189 </w:instrText>
          </w:r>
          <w:r>
            <w:fldChar w:fldCharType="separate"/>
          </w:r>
          <w:r>
            <w:rPr>
              <w:rFonts w:hint="eastAsia" w:ascii="黑体" w:hAnsi="黑体" w:eastAsia="黑体" w:cs="黑体"/>
              <w:szCs w:val="32"/>
            </w:rPr>
            <w:t xml:space="preserve">六、 </w:t>
          </w:r>
          <w:r>
            <w:rPr>
              <w:rFonts w:hint="eastAsia" w:ascii="黑体" w:hAnsi="黑体" w:eastAsia="黑体" w:cs="黑体"/>
              <w:szCs w:val="32"/>
              <w:highlight w:val="none"/>
            </w:rPr>
            <w:t>数据要素激活工程：释放数据资源核心价值</w:t>
          </w:r>
          <w:r>
            <w:tab/>
          </w:r>
          <w:r>
            <w:fldChar w:fldCharType="begin"/>
          </w:r>
          <w:r>
            <w:instrText xml:space="preserve"> PAGEREF _Toc32189 \h </w:instrText>
          </w:r>
          <w:r>
            <w:fldChar w:fldCharType="separate"/>
          </w:r>
          <w:r>
            <w:t>11</w:t>
          </w:r>
          <w:r>
            <w:fldChar w:fldCharType="end"/>
          </w:r>
          <w:r>
            <w:fldChar w:fldCharType="end"/>
          </w:r>
        </w:p>
        <w:p w14:paraId="63F8AB56">
          <w:pPr>
            <w:pStyle w:val="12"/>
            <w:tabs>
              <w:tab w:val="right" w:leader="dot" w:pos="8306"/>
            </w:tabs>
          </w:pPr>
          <w:r>
            <w:fldChar w:fldCharType="begin"/>
          </w:r>
          <w:r>
            <w:instrText xml:space="preserve"> HYPERLINK \l _Toc23075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建设数据资源支撑体系</w:t>
          </w:r>
          <w:r>
            <w:tab/>
          </w:r>
          <w:r>
            <w:fldChar w:fldCharType="begin"/>
          </w:r>
          <w:r>
            <w:instrText xml:space="preserve"> PAGEREF _Toc23075 \h </w:instrText>
          </w:r>
          <w:r>
            <w:fldChar w:fldCharType="separate"/>
          </w:r>
          <w:r>
            <w:t>11</w:t>
          </w:r>
          <w:r>
            <w:fldChar w:fldCharType="end"/>
          </w:r>
          <w:r>
            <w:fldChar w:fldCharType="end"/>
          </w:r>
        </w:p>
        <w:p w14:paraId="3705EBC7">
          <w:pPr>
            <w:pStyle w:val="12"/>
            <w:tabs>
              <w:tab w:val="right" w:leader="dot" w:pos="8306"/>
            </w:tabs>
          </w:pPr>
          <w:r>
            <w:fldChar w:fldCharType="begin"/>
          </w:r>
          <w:r>
            <w:instrText xml:space="preserve"> HYPERLINK \l _Toc4907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提升数据共享开放能力</w:t>
          </w:r>
          <w:r>
            <w:tab/>
          </w:r>
          <w:r>
            <w:fldChar w:fldCharType="begin"/>
          </w:r>
          <w:r>
            <w:instrText xml:space="preserve"> PAGEREF _Toc4907 \h </w:instrText>
          </w:r>
          <w:r>
            <w:fldChar w:fldCharType="separate"/>
          </w:r>
          <w:r>
            <w:t>11</w:t>
          </w:r>
          <w:r>
            <w:fldChar w:fldCharType="end"/>
          </w:r>
          <w:r>
            <w:fldChar w:fldCharType="end"/>
          </w:r>
        </w:p>
        <w:p w14:paraId="534CF02E">
          <w:pPr>
            <w:pStyle w:val="12"/>
            <w:tabs>
              <w:tab w:val="right" w:leader="dot" w:pos="8306"/>
            </w:tabs>
          </w:pPr>
          <w:r>
            <w:fldChar w:fldCharType="begin"/>
          </w:r>
          <w:r>
            <w:instrText xml:space="preserve"> HYPERLINK \l _Toc29973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数据要素价值化探索示范</w:t>
          </w:r>
          <w:r>
            <w:tab/>
          </w:r>
          <w:r>
            <w:fldChar w:fldCharType="begin"/>
          </w:r>
          <w:r>
            <w:instrText xml:space="preserve"> PAGEREF _Toc29973 \h </w:instrText>
          </w:r>
          <w:r>
            <w:fldChar w:fldCharType="separate"/>
          </w:r>
          <w:r>
            <w:t>12</w:t>
          </w:r>
          <w:r>
            <w:fldChar w:fldCharType="end"/>
          </w:r>
          <w:r>
            <w:fldChar w:fldCharType="end"/>
          </w:r>
        </w:p>
        <w:p w14:paraId="3E094E58">
          <w:pPr>
            <w:pStyle w:val="11"/>
            <w:tabs>
              <w:tab w:val="right" w:leader="dot" w:pos="8306"/>
            </w:tabs>
          </w:pPr>
          <w:r>
            <w:fldChar w:fldCharType="begin"/>
          </w:r>
          <w:r>
            <w:instrText xml:space="preserve"> HYPERLINK \l _Toc324 </w:instrText>
          </w:r>
          <w:r>
            <w:fldChar w:fldCharType="separate"/>
          </w:r>
          <w:r>
            <w:rPr>
              <w:rFonts w:hint="eastAsia" w:ascii="黑体" w:hAnsi="黑体" w:eastAsia="黑体" w:cs="黑体"/>
              <w:szCs w:val="32"/>
            </w:rPr>
            <w:t xml:space="preserve">七、 </w:t>
          </w:r>
          <w:r>
            <w:rPr>
              <w:rFonts w:hint="eastAsia" w:ascii="黑体" w:hAnsi="黑体" w:eastAsia="黑体" w:cs="黑体"/>
              <w:szCs w:val="32"/>
              <w:highlight w:val="none"/>
            </w:rPr>
            <w:t>“濉数×”创新工程：探索要素运营新路径</w:t>
          </w:r>
          <w:r>
            <w:tab/>
          </w:r>
          <w:r>
            <w:fldChar w:fldCharType="begin"/>
          </w:r>
          <w:r>
            <w:instrText xml:space="preserve"> PAGEREF _Toc324 \h </w:instrText>
          </w:r>
          <w:r>
            <w:fldChar w:fldCharType="separate"/>
          </w:r>
          <w:r>
            <w:t>12</w:t>
          </w:r>
          <w:r>
            <w:fldChar w:fldCharType="end"/>
          </w:r>
          <w:r>
            <w:fldChar w:fldCharType="end"/>
          </w:r>
        </w:p>
        <w:p w14:paraId="07866E7D">
          <w:pPr>
            <w:pStyle w:val="12"/>
            <w:tabs>
              <w:tab w:val="right" w:leader="dot" w:pos="8306"/>
            </w:tabs>
          </w:pPr>
          <w:r>
            <w:fldChar w:fldCharType="begin"/>
          </w:r>
          <w:r>
            <w:instrText xml:space="preserve"> HYPERLINK \l _Toc31780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统筹数据资源集约化管理</w:t>
          </w:r>
          <w:r>
            <w:tab/>
          </w:r>
          <w:r>
            <w:fldChar w:fldCharType="begin"/>
          </w:r>
          <w:r>
            <w:instrText xml:space="preserve"> PAGEREF _Toc31780 \h </w:instrText>
          </w:r>
          <w:r>
            <w:fldChar w:fldCharType="separate"/>
          </w:r>
          <w:r>
            <w:t>12</w:t>
          </w:r>
          <w:r>
            <w:fldChar w:fldCharType="end"/>
          </w:r>
          <w:r>
            <w:fldChar w:fldCharType="end"/>
          </w:r>
        </w:p>
        <w:p w14:paraId="2145B0DC">
          <w:pPr>
            <w:pStyle w:val="12"/>
            <w:tabs>
              <w:tab w:val="right" w:leader="dot" w:pos="8306"/>
            </w:tabs>
          </w:pPr>
          <w:r>
            <w:fldChar w:fldCharType="begin"/>
          </w:r>
          <w:r>
            <w:instrText xml:space="preserve"> HYPERLINK \l _Toc19882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推进公共</w:t>
          </w:r>
          <w:r>
            <w:rPr>
              <w:rFonts w:hint="default" w:ascii="仿宋" w:hAnsi="仿宋" w:eastAsia="仿宋" w:cs="仿宋"/>
              <w:bCs/>
              <w:szCs w:val="32"/>
              <w:highlight w:val="none"/>
              <w:lang w:val="en-US" w:eastAsia="zh-CN"/>
            </w:rPr>
            <w:t>数据授权运营</w:t>
          </w:r>
          <w:r>
            <w:rPr>
              <w:rFonts w:hint="eastAsia" w:ascii="仿宋" w:hAnsi="仿宋" w:eastAsia="仿宋" w:cs="仿宋"/>
              <w:bCs/>
              <w:szCs w:val="32"/>
              <w:highlight w:val="none"/>
              <w:lang w:val="en-US" w:eastAsia="zh-CN"/>
            </w:rPr>
            <w:t>工作开展</w:t>
          </w:r>
          <w:r>
            <w:tab/>
          </w:r>
          <w:r>
            <w:fldChar w:fldCharType="begin"/>
          </w:r>
          <w:r>
            <w:instrText xml:space="preserve"> PAGEREF _Toc19882 \h </w:instrText>
          </w:r>
          <w:r>
            <w:fldChar w:fldCharType="separate"/>
          </w:r>
          <w:r>
            <w:t>12</w:t>
          </w:r>
          <w:r>
            <w:fldChar w:fldCharType="end"/>
          </w:r>
          <w:r>
            <w:fldChar w:fldCharType="end"/>
          </w:r>
        </w:p>
        <w:p w14:paraId="0B071E0E">
          <w:pPr>
            <w:pStyle w:val="12"/>
            <w:tabs>
              <w:tab w:val="right" w:leader="dot" w:pos="8306"/>
            </w:tabs>
          </w:pPr>
          <w:r>
            <w:fldChar w:fldCharType="begin"/>
          </w:r>
          <w:r>
            <w:instrText xml:space="preserve"> HYPERLINK \l _Toc29009 </w:instrText>
          </w:r>
          <w:r>
            <w:fldChar w:fldCharType="separate"/>
          </w:r>
          <w:r>
            <w:rPr>
              <w:rFonts w:hint="eastAsia" w:ascii="仿宋" w:hAnsi="仿宋" w:eastAsia="仿宋" w:cs="仿宋"/>
              <w:bCs/>
              <w:szCs w:val="32"/>
              <w:lang w:val="en-US" w:eastAsia="zh-CN"/>
            </w:rPr>
            <w:t xml:space="preserve">（三） </w:t>
          </w:r>
          <w:r>
            <w:rPr>
              <w:rFonts w:hint="default" w:ascii="仿宋" w:hAnsi="仿宋" w:eastAsia="仿宋" w:cs="仿宋"/>
              <w:bCs/>
              <w:szCs w:val="32"/>
              <w:highlight w:val="none"/>
              <w:lang w:val="en-US" w:eastAsia="zh-CN"/>
            </w:rPr>
            <w:t>构建数据安全运营体系</w:t>
          </w:r>
          <w:r>
            <w:tab/>
          </w:r>
          <w:r>
            <w:fldChar w:fldCharType="begin"/>
          </w:r>
          <w:r>
            <w:instrText xml:space="preserve"> PAGEREF _Toc29009 \h </w:instrText>
          </w:r>
          <w:r>
            <w:fldChar w:fldCharType="separate"/>
          </w:r>
          <w:r>
            <w:t>14</w:t>
          </w:r>
          <w:r>
            <w:fldChar w:fldCharType="end"/>
          </w:r>
          <w:r>
            <w:fldChar w:fldCharType="end"/>
          </w:r>
        </w:p>
        <w:p w14:paraId="7870E8E9">
          <w:pPr>
            <w:pStyle w:val="11"/>
            <w:tabs>
              <w:tab w:val="right" w:leader="dot" w:pos="8306"/>
            </w:tabs>
          </w:pPr>
          <w:r>
            <w:fldChar w:fldCharType="begin"/>
          </w:r>
          <w:r>
            <w:instrText xml:space="preserve"> HYPERLINK \l _Toc24996 </w:instrText>
          </w:r>
          <w:r>
            <w:fldChar w:fldCharType="separate"/>
          </w:r>
          <w:r>
            <w:rPr>
              <w:rFonts w:hint="eastAsia" w:ascii="黑体" w:hAnsi="黑体" w:eastAsia="黑体" w:cs="黑体"/>
              <w:szCs w:val="32"/>
            </w:rPr>
            <w:t xml:space="preserve">八、 </w:t>
          </w:r>
          <w:r>
            <w:rPr>
              <w:rFonts w:hint="eastAsia" w:ascii="黑体" w:hAnsi="黑体" w:eastAsia="黑体" w:cs="黑体"/>
              <w:szCs w:val="32"/>
              <w:highlight w:val="none"/>
            </w:rPr>
            <w:t>数字治理赋能工程：提升社会治理现代化水平</w:t>
          </w:r>
          <w:r>
            <w:tab/>
          </w:r>
          <w:r>
            <w:fldChar w:fldCharType="begin"/>
          </w:r>
          <w:r>
            <w:instrText xml:space="preserve"> PAGEREF _Toc24996 \h </w:instrText>
          </w:r>
          <w:r>
            <w:fldChar w:fldCharType="separate"/>
          </w:r>
          <w:r>
            <w:t>14</w:t>
          </w:r>
          <w:r>
            <w:fldChar w:fldCharType="end"/>
          </w:r>
          <w:r>
            <w:fldChar w:fldCharType="end"/>
          </w:r>
        </w:p>
        <w:p w14:paraId="0FFDD292">
          <w:pPr>
            <w:pStyle w:val="12"/>
            <w:tabs>
              <w:tab w:val="right" w:leader="dot" w:pos="8306"/>
            </w:tabs>
          </w:pPr>
          <w:r>
            <w:fldChar w:fldCharType="begin"/>
          </w:r>
          <w:r>
            <w:instrText xml:space="preserve"> HYPERLINK \l _Toc21253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提升社会数字化治理能力</w:t>
          </w:r>
          <w:r>
            <w:tab/>
          </w:r>
          <w:r>
            <w:fldChar w:fldCharType="begin"/>
          </w:r>
          <w:r>
            <w:instrText xml:space="preserve"> PAGEREF _Toc21253 \h </w:instrText>
          </w:r>
          <w:r>
            <w:fldChar w:fldCharType="separate"/>
          </w:r>
          <w:r>
            <w:t>14</w:t>
          </w:r>
          <w:r>
            <w:fldChar w:fldCharType="end"/>
          </w:r>
          <w:r>
            <w:fldChar w:fldCharType="end"/>
          </w:r>
        </w:p>
        <w:p w14:paraId="50F1CAFA">
          <w:pPr>
            <w:pStyle w:val="12"/>
            <w:tabs>
              <w:tab w:val="right" w:leader="dot" w:pos="8306"/>
            </w:tabs>
          </w:pPr>
          <w:r>
            <w:fldChar w:fldCharType="begin"/>
          </w:r>
          <w:r>
            <w:instrText xml:space="preserve"> HYPERLINK \l _Toc31557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加快</w:t>
          </w:r>
          <w:r>
            <w:rPr>
              <w:rFonts w:hint="default" w:ascii="仿宋" w:hAnsi="仿宋" w:eastAsia="仿宋" w:cs="仿宋"/>
              <w:bCs/>
              <w:szCs w:val="32"/>
              <w:highlight w:val="none"/>
              <w:lang w:val="en-US" w:eastAsia="zh-CN"/>
            </w:rPr>
            <w:t>教育数字化转型</w:t>
          </w:r>
          <w:r>
            <w:rPr>
              <w:rFonts w:hint="eastAsia" w:ascii="仿宋" w:hAnsi="仿宋" w:eastAsia="仿宋" w:cs="仿宋"/>
              <w:bCs/>
              <w:szCs w:val="32"/>
              <w:highlight w:val="none"/>
              <w:lang w:val="en-US" w:eastAsia="zh-CN"/>
            </w:rPr>
            <w:t>速度</w:t>
          </w:r>
          <w:r>
            <w:tab/>
          </w:r>
          <w:r>
            <w:fldChar w:fldCharType="begin"/>
          </w:r>
          <w:r>
            <w:instrText xml:space="preserve"> PAGEREF _Toc31557 \h </w:instrText>
          </w:r>
          <w:r>
            <w:fldChar w:fldCharType="separate"/>
          </w:r>
          <w:r>
            <w:t>15</w:t>
          </w:r>
          <w:r>
            <w:fldChar w:fldCharType="end"/>
          </w:r>
          <w:r>
            <w:fldChar w:fldCharType="end"/>
          </w:r>
        </w:p>
        <w:p w14:paraId="0CB2A93A">
          <w:pPr>
            <w:pStyle w:val="12"/>
            <w:tabs>
              <w:tab w:val="right" w:leader="dot" w:pos="8306"/>
            </w:tabs>
          </w:pPr>
          <w:r>
            <w:fldChar w:fldCharType="begin"/>
          </w:r>
          <w:r>
            <w:instrText xml:space="preserve"> HYPERLINK \l _Toc783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构建智慧物流场景</w:t>
          </w:r>
          <w:r>
            <w:tab/>
          </w:r>
          <w:r>
            <w:fldChar w:fldCharType="begin"/>
          </w:r>
          <w:r>
            <w:instrText xml:space="preserve"> PAGEREF _Toc783 \h </w:instrText>
          </w:r>
          <w:r>
            <w:fldChar w:fldCharType="separate"/>
          </w:r>
          <w:r>
            <w:t>16</w:t>
          </w:r>
          <w:r>
            <w:fldChar w:fldCharType="end"/>
          </w:r>
          <w:r>
            <w:fldChar w:fldCharType="end"/>
          </w:r>
        </w:p>
        <w:p w14:paraId="116AFF80">
          <w:pPr>
            <w:pStyle w:val="11"/>
            <w:tabs>
              <w:tab w:val="right" w:leader="dot" w:pos="8306"/>
            </w:tabs>
          </w:pPr>
          <w:r>
            <w:fldChar w:fldCharType="begin"/>
          </w:r>
          <w:r>
            <w:instrText xml:space="preserve"> HYPERLINK \l _Toc18688 </w:instrText>
          </w:r>
          <w:r>
            <w:fldChar w:fldCharType="separate"/>
          </w:r>
          <w:r>
            <w:rPr>
              <w:rFonts w:hint="eastAsia" w:ascii="黑体" w:hAnsi="黑体" w:eastAsia="黑体" w:cs="黑体"/>
              <w:szCs w:val="32"/>
            </w:rPr>
            <w:t xml:space="preserve">九、 </w:t>
          </w:r>
          <w:r>
            <w:rPr>
              <w:rFonts w:hint="eastAsia" w:ascii="黑体" w:hAnsi="黑体" w:eastAsia="黑体" w:cs="黑体"/>
              <w:szCs w:val="32"/>
              <w:highlight w:val="none"/>
            </w:rPr>
            <w:t>数字素养强基工程：强化人才支撑保障</w:t>
          </w:r>
          <w:r>
            <w:tab/>
          </w:r>
          <w:r>
            <w:fldChar w:fldCharType="begin"/>
          </w:r>
          <w:r>
            <w:instrText xml:space="preserve"> PAGEREF _Toc18688 \h </w:instrText>
          </w:r>
          <w:r>
            <w:fldChar w:fldCharType="separate"/>
          </w:r>
          <w:r>
            <w:t>16</w:t>
          </w:r>
          <w:r>
            <w:fldChar w:fldCharType="end"/>
          </w:r>
          <w:r>
            <w:fldChar w:fldCharType="end"/>
          </w:r>
        </w:p>
        <w:p w14:paraId="528B63E4">
          <w:pPr>
            <w:pStyle w:val="12"/>
            <w:tabs>
              <w:tab w:val="right" w:leader="dot" w:pos="8306"/>
            </w:tabs>
          </w:pPr>
          <w:r>
            <w:fldChar w:fldCharType="begin"/>
          </w:r>
          <w:r>
            <w:instrText xml:space="preserve"> HYPERLINK \l _Toc624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建立公共实训基地</w:t>
          </w:r>
          <w:r>
            <w:tab/>
          </w:r>
          <w:r>
            <w:fldChar w:fldCharType="begin"/>
          </w:r>
          <w:r>
            <w:instrText xml:space="preserve"> PAGEREF _Toc624 \h </w:instrText>
          </w:r>
          <w:r>
            <w:fldChar w:fldCharType="separate"/>
          </w:r>
          <w:r>
            <w:t>16</w:t>
          </w:r>
          <w:r>
            <w:fldChar w:fldCharType="end"/>
          </w:r>
          <w:r>
            <w:fldChar w:fldCharType="end"/>
          </w:r>
        </w:p>
        <w:p w14:paraId="4A27A811">
          <w:pPr>
            <w:pStyle w:val="12"/>
            <w:tabs>
              <w:tab w:val="right" w:leader="dot" w:pos="8306"/>
            </w:tabs>
          </w:pPr>
          <w:r>
            <w:fldChar w:fldCharType="begin"/>
          </w:r>
          <w:r>
            <w:instrText xml:space="preserve"> HYPERLINK \l _Toc2759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构建人力资源服务产业园</w:t>
          </w:r>
          <w:r>
            <w:tab/>
          </w:r>
          <w:r>
            <w:fldChar w:fldCharType="begin"/>
          </w:r>
          <w:r>
            <w:instrText xml:space="preserve"> PAGEREF _Toc2759 \h </w:instrText>
          </w:r>
          <w:r>
            <w:fldChar w:fldCharType="separate"/>
          </w:r>
          <w:r>
            <w:t>17</w:t>
          </w:r>
          <w:r>
            <w:fldChar w:fldCharType="end"/>
          </w:r>
          <w:r>
            <w:fldChar w:fldCharType="end"/>
          </w:r>
        </w:p>
        <w:p w14:paraId="5EB8535E">
          <w:pPr>
            <w:pStyle w:val="12"/>
            <w:tabs>
              <w:tab w:val="right" w:leader="dot" w:pos="8306"/>
            </w:tabs>
          </w:pPr>
          <w:r>
            <w:fldChar w:fldCharType="begin"/>
          </w:r>
          <w:r>
            <w:instrText xml:space="preserve"> HYPERLINK \l _Toc4221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深化产教融合人才培育</w:t>
          </w:r>
          <w:r>
            <w:tab/>
          </w:r>
          <w:r>
            <w:fldChar w:fldCharType="begin"/>
          </w:r>
          <w:r>
            <w:instrText xml:space="preserve"> PAGEREF _Toc4221 \h </w:instrText>
          </w:r>
          <w:r>
            <w:fldChar w:fldCharType="separate"/>
          </w:r>
          <w:r>
            <w:t>17</w:t>
          </w:r>
          <w:r>
            <w:fldChar w:fldCharType="end"/>
          </w:r>
          <w:r>
            <w:fldChar w:fldCharType="end"/>
          </w:r>
        </w:p>
        <w:p w14:paraId="50FB22FC">
          <w:r>
            <w:fldChar w:fldCharType="end"/>
          </w:r>
        </w:p>
      </w:sdtContent>
    </w:sdt>
    <w:p w14:paraId="36DEE98B"/>
    <w:p w14:paraId="7D78E191">
      <w:pPr>
        <w:pStyle w:val="2"/>
        <w:bidi w:val="0"/>
        <w:jc w:val="center"/>
        <w:rPr>
          <w:rFonts w:hint="eastAsia"/>
          <w:highlight w:val="none"/>
        </w:rPr>
        <w:sectPr>
          <w:footerReference r:id="rId3" w:type="default"/>
          <w:pgSz w:w="11906" w:h="16838"/>
          <w:pgMar w:top="1440" w:right="1800" w:bottom="1440" w:left="1800" w:header="851" w:footer="992" w:gutter="0"/>
          <w:pgNumType w:start="1"/>
          <w:cols w:space="425" w:num="1"/>
          <w:docGrid w:type="lines" w:linePitch="312" w:charSpace="0"/>
        </w:sectPr>
      </w:pPr>
      <w:bookmarkStart w:id="29" w:name="_Toc5160"/>
      <w:bookmarkStart w:id="30" w:name="_Toc12878"/>
      <w:bookmarkStart w:id="31" w:name="_Toc24947"/>
    </w:p>
    <w:p w14:paraId="08230DE5">
      <w:pPr>
        <w:pStyle w:val="2"/>
        <w:bidi w:val="0"/>
        <w:jc w:val="center"/>
        <w:rPr>
          <w:rFonts w:hint="eastAsia"/>
          <w:highlight w:val="none"/>
        </w:rPr>
      </w:pPr>
      <w:bookmarkStart w:id="32" w:name="_Toc6554"/>
      <w:bookmarkStart w:id="33" w:name="_Toc30193"/>
      <w:bookmarkStart w:id="34" w:name="_Toc15711"/>
      <w:bookmarkStart w:id="35" w:name="_Toc7690"/>
      <w:bookmarkStart w:id="36" w:name="_Toc22975"/>
      <w:r>
        <w:rPr>
          <w:rFonts w:hint="eastAsia"/>
          <w:highlight w:val="none"/>
        </w:rPr>
        <w:t>序言</w:t>
      </w:r>
      <w:bookmarkEnd w:id="29"/>
      <w:bookmarkEnd w:id="30"/>
      <w:bookmarkEnd w:id="31"/>
      <w:bookmarkEnd w:id="32"/>
      <w:bookmarkEnd w:id="33"/>
      <w:bookmarkEnd w:id="34"/>
      <w:bookmarkEnd w:id="35"/>
      <w:bookmarkEnd w:id="36"/>
    </w:p>
    <w:p w14:paraId="047D12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建设“数字中国”是国家信息化发展核心战略，“数字江淮”纵深推进，为县域数字化发展提供重要指引。当前，濉溪县处于高质量发展转型关键阶段，数字化已成为助推产业升级、提升治理效能、增进民生福祉的核心动力。“十四五”时期，濉溪县全面落实国家及省市数字化战略部署，数字濉溪建设成效显著。为衔接省级“十五五”数字经济发展规划，编制本规划，明确2026-2030年数字濉溪建设总体方向、重点任务与实施路径，为县域数字化发展提供坚实支撑。</w:t>
      </w:r>
    </w:p>
    <w:p w14:paraId="170EC8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highlight w:val="none"/>
        </w:rPr>
      </w:pPr>
    </w:p>
    <w:p w14:paraId="5EC0BDE0">
      <w:pPr>
        <w:outlineLvl w:val="0"/>
        <w:rPr>
          <w:rFonts w:hint="eastAsia" w:ascii="黑体" w:hAnsi="黑体" w:eastAsia="黑体" w:cs="黑体"/>
          <w:b/>
          <w:bCs/>
          <w:sz w:val="32"/>
          <w:szCs w:val="32"/>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0E0549B0">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37" w:name="_Toc31285"/>
      <w:r>
        <w:rPr>
          <w:rFonts w:hint="eastAsia" w:ascii="黑体" w:hAnsi="黑体" w:eastAsia="黑体" w:cs="黑体"/>
          <w:sz w:val="32"/>
          <w:szCs w:val="32"/>
          <w:highlight w:val="none"/>
          <w:lang w:val="en-US" w:eastAsia="zh-CN"/>
        </w:rPr>
        <w:t>总体规划</w:t>
      </w:r>
      <w:bookmarkEnd w:id="37"/>
      <w:r>
        <w:rPr>
          <w:rFonts w:hint="eastAsia" w:ascii="黑体" w:hAnsi="黑体" w:eastAsia="黑体" w:cs="黑体"/>
          <w:sz w:val="32"/>
          <w:szCs w:val="32"/>
          <w:highlight w:val="none"/>
          <w:lang w:eastAsia="zh-CN"/>
        </w:rPr>
        <w:tab/>
      </w:r>
    </w:p>
    <w:p w14:paraId="016501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以习近平新时代中国特色社会主义思想为指引，贯彻党的二十大和二十届</w:t>
      </w:r>
      <w:bookmarkStart w:id="100" w:name="_GoBack"/>
      <w:bookmarkEnd w:id="100"/>
      <w:r>
        <w:rPr>
          <w:rFonts w:hint="eastAsia" w:ascii="仿宋" w:hAnsi="仿宋" w:eastAsia="仿宋" w:cs="仿宋"/>
          <w:sz w:val="32"/>
          <w:szCs w:val="32"/>
          <w:highlight w:val="none"/>
          <w:lang w:val="en-US" w:eastAsia="zh-CN"/>
        </w:rPr>
        <w:t>历次全会、习近平总书记关于数字安徽重要讲话精神，立足新阶段、践行新理念、融入新格局，以高质量发展为主题、数字化转型为核心引擎，聚焦数字基建、数字治理、数字经济、数据要素四大板块实施八大重点工程，全面提升县域数字化水平，为濉溪发展注入数字动能。到2030年，“数字濉溪”建设取得标志性成效，</w:t>
      </w:r>
      <w:r>
        <w:rPr>
          <w:rFonts w:hint="eastAsia" w:ascii="仿宋" w:hAnsi="仿宋" w:eastAsia="仿宋" w:cs="仿宋"/>
          <w:sz w:val="32"/>
          <w:szCs w:val="32"/>
          <w:highlight w:val="none"/>
        </w:rPr>
        <w:t>形成“基础设施智能集约、治理体系高效协同、数字经济能级跃升、数据要素活力迸发”的发展格局</w:t>
      </w:r>
      <w:r>
        <w:rPr>
          <w:rFonts w:hint="eastAsia" w:ascii="仿宋" w:hAnsi="仿宋" w:eastAsia="仿宋" w:cs="仿宋"/>
          <w:sz w:val="32"/>
          <w:szCs w:val="32"/>
          <w:highlight w:val="none"/>
          <w:lang w:val="en-US" w:eastAsia="zh-CN"/>
        </w:rPr>
        <w:t>，达成四大跨越：</w:t>
      </w:r>
      <w:r>
        <w:rPr>
          <w:rFonts w:hint="eastAsia" w:ascii="仿宋" w:hAnsi="仿宋" w:eastAsia="仿宋" w:cs="仿宋"/>
          <w:sz w:val="32"/>
          <w:szCs w:val="32"/>
          <w:highlight w:val="none"/>
        </w:rPr>
        <w:t>一是数字基础设施实现新跨越；二是数字治理能力实现新跨越；三是数字融合赋能实现新跨越；四是数据资源价值实现新跨越</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构建云网安一体化数字底座，实现5G深度覆盖、布局算力设施；打造政务一网通办、城市一网统管、政务一网协同体系，建成智慧韧性治理新模式；落地智能制造、智慧农业、数字文旅标杆场景，壮大数字经济；打通数据汇治用管全链条，推动数据要素规模化、产业化落地应用。</w:t>
      </w:r>
    </w:p>
    <w:p w14:paraId="3482579F">
      <w:pPr>
        <w:spacing w:line="520" w:lineRule="exact"/>
        <w:jc w:val="center"/>
        <w:outlineLvl w:val="9"/>
        <w:rPr>
          <w:rFonts w:ascii="黑体" w:hAnsi="仿宋_GB2312" w:eastAsia="黑体" w:cs="仿宋_GB2312"/>
          <w:sz w:val="28"/>
          <w:szCs w:val="21"/>
          <w:highlight w:val="none"/>
          <w:lang w:bidi="zh-CN"/>
        </w:rPr>
      </w:pPr>
      <w:bookmarkStart w:id="38" w:name="_Toc31370"/>
      <w:bookmarkStart w:id="39" w:name="_Toc24895"/>
      <w:r>
        <w:rPr>
          <w:rFonts w:hint="eastAsia" w:ascii="黑体" w:hAnsi="仿宋_GB2312" w:eastAsia="黑体" w:cs="仿宋_GB2312"/>
          <w:sz w:val="28"/>
          <w:szCs w:val="21"/>
          <w:highlight w:val="none"/>
          <w:lang w:bidi="zh-CN"/>
        </w:rPr>
        <w:t>“数字濉溪”建设主要</w:t>
      </w:r>
      <w:r>
        <w:rPr>
          <w:rFonts w:hint="eastAsia" w:ascii="黑体" w:hAnsi="仿宋_GB2312" w:eastAsia="黑体" w:cs="仿宋_GB2312"/>
          <w:sz w:val="28"/>
          <w:szCs w:val="21"/>
          <w:highlight w:val="none"/>
          <w:lang w:val="en-US" w:bidi="zh-CN"/>
        </w:rPr>
        <w:t>预期</w:t>
      </w:r>
      <w:r>
        <w:rPr>
          <w:rFonts w:hint="eastAsia" w:ascii="黑体" w:hAnsi="仿宋_GB2312" w:eastAsia="黑体" w:cs="仿宋_GB2312"/>
          <w:sz w:val="28"/>
          <w:szCs w:val="21"/>
          <w:highlight w:val="none"/>
          <w:lang w:bidi="zh-CN"/>
        </w:rPr>
        <w:t>指标</w:t>
      </w:r>
      <w:bookmarkEnd w:id="38"/>
      <w:bookmarkEnd w:id="39"/>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635"/>
        <w:gridCol w:w="1116"/>
        <w:gridCol w:w="2026"/>
        <w:gridCol w:w="1549"/>
      </w:tblGrid>
      <w:tr w14:paraId="515A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2CA51C33">
            <w:pPr>
              <w:keepNext w:val="0"/>
              <w:keepLines w:val="0"/>
              <w:widowControl/>
              <w:suppressLineNumbers w:val="0"/>
              <w:jc w:val="center"/>
              <w:textAlignment w:val="center"/>
              <w:rPr>
                <w:rFonts w:hint="eastAsia"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指标名称（单位）</w:t>
            </w:r>
          </w:p>
        </w:tc>
        <w:tc>
          <w:tcPr>
            <w:tcW w:w="1116"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656BF6F7">
            <w:pPr>
              <w:keepNext w:val="0"/>
              <w:keepLines w:val="0"/>
              <w:widowControl/>
              <w:suppressLineNumbers w:val="0"/>
              <w:jc w:val="center"/>
              <w:textAlignment w:val="center"/>
              <w:rPr>
                <w:rFonts w:hint="default"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2025</w:t>
            </w:r>
            <w:r>
              <w:rPr>
                <w:rFonts w:hint="eastAsia" w:ascii="黑体" w:hAnsi="仿宋_GB2312" w:eastAsia="黑体" w:cs="仿宋_GB2312"/>
                <w:kern w:val="2"/>
                <w:sz w:val="24"/>
                <w:szCs w:val="24"/>
                <w:highlight w:val="none"/>
                <w:lang w:val="en-US" w:eastAsia="zh-CN" w:bidi="zh-CN"/>
              </w:rPr>
              <w:t>年</w:t>
            </w:r>
          </w:p>
        </w:tc>
        <w:tc>
          <w:tcPr>
            <w:tcW w:w="2026"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057C53E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2030</w:t>
            </w:r>
            <w:r>
              <w:rPr>
                <w:rFonts w:hint="eastAsia" w:ascii="黑体" w:hAnsi="仿宋_GB2312" w:eastAsia="黑体" w:cs="仿宋_GB2312"/>
                <w:kern w:val="2"/>
                <w:sz w:val="24"/>
                <w:szCs w:val="24"/>
                <w:highlight w:val="none"/>
                <w:lang w:val="en-US" w:eastAsia="zh-CN" w:bidi="zh-CN"/>
              </w:rPr>
              <w:t>年</w:t>
            </w:r>
          </w:p>
        </w:tc>
        <w:tc>
          <w:tcPr>
            <w:tcW w:w="1549"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7BAD3469">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属性</w:t>
            </w:r>
          </w:p>
        </w:tc>
      </w:tr>
      <w:tr w14:paraId="087D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EEC06CD">
            <w:pPr>
              <w:jc w:val="center"/>
              <w:rPr>
                <w:rFonts w:hint="default" w:ascii="黑体" w:hAnsi="仿宋_GB2312" w:eastAsia="黑体" w:cs="仿宋_GB2312"/>
                <w:kern w:val="2"/>
                <w:sz w:val="24"/>
                <w:szCs w:val="24"/>
                <w:highlight w:val="none"/>
                <w:lang w:val="zh-CN" w:eastAsia="zh-CN" w:bidi="zh-CN"/>
              </w:rPr>
            </w:pPr>
            <w:r>
              <w:rPr>
                <w:rFonts w:hint="eastAsia" w:ascii="黑体" w:hAnsi="仿宋_GB2312" w:eastAsia="黑体" w:cs="仿宋_GB2312"/>
                <w:kern w:val="2"/>
                <w:sz w:val="24"/>
                <w:szCs w:val="24"/>
                <w:highlight w:val="none"/>
                <w:lang w:val="en-US" w:eastAsia="zh-CN" w:bidi="zh-CN"/>
              </w:rPr>
              <w:t>一、数字化支撑底座相关指标</w:t>
            </w:r>
          </w:p>
        </w:tc>
      </w:tr>
      <w:tr w14:paraId="5A2B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D95525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zh-CN" w:eastAsia="zh-CN" w:bidi="zh-CN"/>
              </w:rPr>
            </w:pPr>
            <w:r>
              <w:rPr>
                <w:rFonts w:hint="default" w:ascii="宋体" w:hAnsi="仿宋_GB2312" w:eastAsia="宋体" w:cs="仿宋_GB2312"/>
                <w:kern w:val="2"/>
                <w:sz w:val="24"/>
                <w:szCs w:val="24"/>
                <w:highlight w:val="none"/>
                <w:lang w:val="en-US" w:eastAsia="zh-CN" w:bidi="zh-CN"/>
              </w:rPr>
              <w:t>5G、5G-A基站数量（个）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554F68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zh-CN" w:eastAsia="zh-CN" w:bidi="zh-CN"/>
              </w:rPr>
            </w:pPr>
            <w:r>
              <w:rPr>
                <w:rFonts w:hint="default" w:ascii="宋体" w:hAnsi="仿宋_GB2312" w:eastAsia="宋体" w:cs="仿宋_GB2312"/>
                <w:kern w:val="2"/>
                <w:sz w:val="24"/>
                <w:szCs w:val="24"/>
                <w:highlight w:val="none"/>
                <w:lang w:val="en-US" w:eastAsia="zh-CN" w:bidi="zh-CN"/>
              </w:rPr>
              <w:t>1965</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FDD240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2865</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0808C0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zh-CN" w:eastAsia="zh-CN" w:bidi="zh-CN"/>
              </w:rPr>
            </w:pPr>
            <w:r>
              <w:rPr>
                <w:rFonts w:hint="eastAsia" w:ascii="宋体" w:hAnsi="仿宋_GB2312" w:eastAsia="宋体" w:cs="仿宋_GB2312"/>
                <w:kern w:val="2"/>
                <w:sz w:val="24"/>
                <w:szCs w:val="24"/>
                <w:highlight w:val="none"/>
                <w:lang w:val="en-US" w:eastAsia="zh-CN" w:bidi="zh-CN"/>
              </w:rPr>
              <w:t>预期性</w:t>
            </w:r>
          </w:p>
        </w:tc>
      </w:tr>
      <w:tr w14:paraId="606D9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1507CD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可信数据空间数量（个）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8C208F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BC3E7D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争取建成1个</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A98AD48">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254C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B852083">
            <w:pPr>
              <w:jc w:val="center"/>
              <w:rPr>
                <w:rFonts w:hint="eastAsia" w:ascii="宋体" w:hAnsi="仿宋_GB2312" w:eastAsia="宋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二、数据资源相关指标</w:t>
            </w:r>
          </w:p>
        </w:tc>
      </w:tr>
      <w:tr w14:paraId="4DAB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E16E96B">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重点行业高质量数据集数量（个）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535FD5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37D854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1</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57AC38F">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1B08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F9D2B0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数据产业规模（亿元）</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94BF1E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BDACB5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86385AB">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62425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6A6229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三、数字经济相关指标</w:t>
            </w:r>
          </w:p>
        </w:tc>
      </w:tr>
      <w:tr w14:paraId="7B848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A2BC59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数字经济核心产业企业营收占规上企业收入的比重(%)</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D0ECAD9">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F95F6CA">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65D09E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3373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12800F5">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新增基础级、先进级、卓越级和领航级智能工程数量（个）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713CF64">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4DBAC1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7170671">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仿宋_GB2312" w:hAnsi="仿宋_GB2312" w:eastAsia="仿宋_GB2312" w:cs="仿宋_GB2312"/>
                <w:b w:val="0"/>
                <w:bCs w:val="0"/>
                <w:color w:val="000000"/>
                <w:kern w:val="0"/>
                <w:sz w:val="24"/>
                <w:lang w:val="en-US" w:eastAsia="zh-CN" w:bidi="ar"/>
              </w:rPr>
              <w:t>预期性</w:t>
            </w:r>
          </w:p>
        </w:tc>
      </w:tr>
      <w:tr w14:paraId="5423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38AF6C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网上商品和服务零售额（亿元）</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867854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F8DAFBE">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39954B">
            <w:pPr>
              <w:widowControl/>
              <w:spacing w:line="240" w:lineRule="auto"/>
              <w:ind w:firstLine="0" w:firstLineChars="0"/>
              <w:jc w:val="center"/>
              <w:textAlignment w:val="center"/>
              <w:rPr>
                <w:rFonts w:hint="default"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lang w:val="en-US" w:eastAsia="zh-CN" w:bidi="ar"/>
              </w:rPr>
              <w:t>预期性</w:t>
            </w:r>
          </w:p>
        </w:tc>
      </w:tr>
      <w:tr w14:paraId="4462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A73BF66">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四、数字政府相关指标</w:t>
            </w:r>
          </w:p>
        </w:tc>
      </w:tr>
      <w:tr w14:paraId="3972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D9B403C">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“高效办成一件事”事项上线数（个）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053417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6A1A0A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100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E85C231">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约束性</w:t>
            </w:r>
          </w:p>
        </w:tc>
      </w:tr>
      <w:tr w14:paraId="2838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71172D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公共安全视频图像智能分析点位覆盖率（%）</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BAADFD9">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54BC9A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40EB463">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Times New Roman" w:hAnsi="Times New Roman" w:eastAsia="仿宋_GB2312" w:cs="Times New Roman"/>
                <w:b w:val="0"/>
                <w:bCs w:val="0"/>
                <w:color w:val="000000"/>
                <w:kern w:val="0"/>
                <w:sz w:val="24"/>
                <w:lang w:val="en-US" w:eastAsia="zh-CN" w:bidi="ar"/>
              </w:rPr>
              <w:t>约束性</w:t>
            </w:r>
          </w:p>
        </w:tc>
      </w:tr>
      <w:tr w14:paraId="69B7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80F2C0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五、数字社会相关指标</w:t>
            </w:r>
          </w:p>
        </w:tc>
      </w:tr>
      <w:tr w14:paraId="23A6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53915F9">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电子健康档案覆盖率</w:t>
            </w:r>
            <w:r>
              <w:rPr>
                <w:rFonts w:hint="default" w:ascii="宋体" w:hAnsi="仿宋_GB2312" w:eastAsia="宋体" w:cs="仿宋_GB2312"/>
                <w:kern w:val="2"/>
                <w:sz w:val="24"/>
                <w:szCs w:val="24"/>
                <w:highlight w:val="none"/>
                <w:lang w:val="en-US" w:eastAsia="zh-CN" w:bidi="zh-CN"/>
              </w:rPr>
              <w:t>（%）</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98534FE">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65</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751E162">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3C2B8BD">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17E62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21C8D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申领电子社会保障卡人口覆盖率(%)</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20393B6">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904F846">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EA0AB9A">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1579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4"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B168A99">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文化新业态企业营收占规上文化及相关产业企业营收的比重（%）</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D8B8477">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A9DBE45">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B88B3A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58FB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6"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1C47ED1">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六、数字人才与生态相关指标</w:t>
            </w:r>
          </w:p>
        </w:tc>
      </w:tr>
      <w:tr w14:paraId="2937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E828122">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数字技能培训人次（人次）</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DD8EFF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870+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380AE07">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&gt;10000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371309D">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386CC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3"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34E1131">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数字建设培训场次（场）</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7C4FB8D">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C0FC1B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&gt;</w:t>
            </w:r>
            <w:r>
              <w:rPr>
                <w:rFonts w:hint="eastAsia" w:ascii="宋体" w:hAnsi="仿宋_GB2312" w:eastAsia="宋体" w:cs="仿宋_GB2312"/>
                <w:kern w:val="2"/>
                <w:sz w:val="24"/>
                <w:szCs w:val="24"/>
                <w:highlight w:val="none"/>
                <w:lang w:val="en-US" w:eastAsia="zh-CN" w:bidi="zh-CN"/>
              </w:rPr>
              <w:t>27</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8FF212F">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3769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3"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3E2BC70">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Times New Roman" w:hAnsi="Times New Roman" w:eastAsia="仿宋_GB2312" w:cs="Times New Roman"/>
                <w:b/>
                <w:bCs/>
                <w:color w:val="000000"/>
                <w:kern w:val="0"/>
                <w:sz w:val="24"/>
                <w:lang w:val="en-US" w:eastAsia="zh-CN" w:bidi="ar"/>
              </w:rPr>
              <w:t>说明：相关指标设置参照数字</w:t>
            </w:r>
            <w:r>
              <w:rPr>
                <w:rFonts w:hint="eastAsia" w:ascii="Times New Roman" w:hAnsi="Times New Roman" w:eastAsia="仿宋_GB2312" w:cs="Times New Roman"/>
                <w:b/>
                <w:bCs/>
                <w:color w:val="000000"/>
                <w:kern w:val="0"/>
                <w:sz w:val="24"/>
                <w:lang w:val="en-US" w:eastAsia="zh-CN" w:bidi="ar"/>
              </w:rPr>
              <w:t>淮北</w:t>
            </w:r>
            <w:r>
              <w:rPr>
                <w:rFonts w:hint="default" w:ascii="Times New Roman" w:hAnsi="Times New Roman" w:eastAsia="仿宋_GB2312" w:cs="Times New Roman"/>
                <w:b/>
                <w:bCs/>
                <w:color w:val="000000"/>
                <w:kern w:val="0"/>
                <w:sz w:val="24"/>
                <w:lang w:val="en-US" w:eastAsia="zh-CN" w:bidi="ar"/>
              </w:rPr>
              <w:t>建设“十五五”规划指标进行设置。</w:t>
            </w:r>
          </w:p>
        </w:tc>
      </w:tr>
    </w:tbl>
    <w:p w14:paraId="562345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p>
    <w:p w14:paraId="1D8DF1BD">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40" w:name="_Toc19527"/>
      <w:bookmarkStart w:id="41" w:name="_Toc10279"/>
      <w:r>
        <w:rPr>
          <w:rFonts w:hint="eastAsia" w:ascii="黑体" w:hAnsi="黑体" w:eastAsia="黑体" w:cs="黑体"/>
          <w:sz w:val="32"/>
          <w:szCs w:val="32"/>
          <w:highlight w:val="none"/>
        </w:rPr>
        <w:t>数字基座夯实工程</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筑牢智能化发展根基</w:t>
      </w:r>
      <w:bookmarkEnd w:id="40"/>
      <w:bookmarkEnd w:id="41"/>
    </w:p>
    <w:p w14:paraId="7E65F7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以信息技术应用创新改造为核心支撑，以政务系统集约化上云为重要路径，全面强化云网融合与安全保障的协同联动，着力提升数字基础设施的集约化建设水平、标准化管理效能、一体化服务能力和智能化应用程度，精心构建安全可控、弹性高效、稳定可靠的县域数字基座，为“数字濉溪”各项建设任务提供坚实稳固的底层支撑。</w:t>
      </w:r>
    </w:p>
    <w:p w14:paraId="7F6B1C24">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2" w:name="_Toc6888"/>
      <w:bookmarkStart w:id="43" w:name="_Toc25157"/>
      <w:r>
        <w:rPr>
          <w:rFonts w:hint="eastAsia" w:ascii="仿宋" w:hAnsi="仿宋" w:eastAsia="仿宋" w:cs="仿宋"/>
          <w:b/>
          <w:bCs/>
          <w:sz w:val="32"/>
          <w:szCs w:val="32"/>
          <w:highlight w:val="none"/>
        </w:rPr>
        <w:t>政务系统信创化改造</w:t>
      </w:r>
      <w:bookmarkEnd w:id="42"/>
      <w:bookmarkEnd w:id="43"/>
    </w:p>
    <w:p w14:paraId="60DC00F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highlight w:val="none"/>
          <w:lang w:val="en-US" w:eastAsia="zh-CN"/>
        </w:rPr>
      </w:pPr>
      <w:bookmarkStart w:id="44" w:name="_Toc18762"/>
      <w:r>
        <w:rPr>
          <w:rFonts w:hint="eastAsia" w:ascii="仿宋" w:hAnsi="仿宋" w:eastAsia="仿宋" w:cs="仿宋"/>
          <w:sz w:val="32"/>
          <w:szCs w:val="32"/>
          <w:highlight w:val="none"/>
          <w:lang w:val="en-US" w:eastAsia="zh-CN"/>
        </w:rPr>
        <w:t>推进政务信创改造一体化建设发展，积极组织开展全县政务信息系统信创适配全面摸排工作，鼓励各职能部门细化改造标准、实施路径、权责划分与节点时限同步落地开展，积极引进标准化政务云管理制度体系，推动存量业务系统有序上云，提升政务云统筹管控、资源集约调度能力，推动建立等级保护常态化落实机制，深化等保2.0规范落地应用，筑牢三级及以上安全防护体系。</w:t>
      </w:r>
    </w:p>
    <w:p w14:paraId="54FCDF7E">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5" w:name="_Toc21051"/>
      <w:r>
        <w:rPr>
          <w:rFonts w:hint="eastAsia" w:ascii="仿宋" w:hAnsi="仿宋" w:eastAsia="仿宋" w:cs="仿宋"/>
          <w:b/>
          <w:bCs/>
          <w:sz w:val="32"/>
          <w:szCs w:val="32"/>
          <w:highlight w:val="none"/>
        </w:rPr>
        <w:t>推进“双千兆”网络全域覆盖</w:t>
      </w:r>
      <w:bookmarkEnd w:id="44"/>
      <w:bookmarkEnd w:id="45"/>
    </w:p>
    <w:p w14:paraId="0EA8C55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紧扣国家“双千兆”、安徽千兆城市建设部署，统筹推进5G、5G-A全域组网，聚焦城区、县域核心区、交通枢纽、工业园区实现重点区域5G-A全覆盖，迭代升级网络高速承载能力；前瞻谋划布局6G基础设施建设，联动技术研产攻关与实景场景落地，深度赋能工业互联网、智慧园区数字化建设，打造并落地多项双千兆特色示范应用。</w:t>
      </w:r>
    </w:p>
    <w:p w14:paraId="39F8DBCA">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rPr>
      </w:pPr>
      <w:bookmarkStart w:id="46" w:name="_Toc10454"/>
      <w:r>
        <w:rPr>
          <w:rFonts w:hint="eastAsia" w:ascii="仿宋" w:hAnsi="仿宋" w:eastAsia="仿宋" w:cs="仿宋"/>
          <w:b/>
          <w:bCs/>
          <w:sz w:val="32"/>
          <w:szCs w:val="32"/>
          <w:highlight w:val="none"/>
          <w:lang w:val="en-US" w:eastAsia="zh-CN"/>
        </w:rPr>
        <w:t>推进算力网</w:t>
      </w:r>
      <w:r>
        <w:rPr>
          <w:rFonts w:hint="eastAsia" w:ascii="仿宋" w:hAnsi="仿宋" w:eastAsia="仿宋" w:cs="仿宋"/>
          <w:b/>
          <w:bCs/>
          <w:sz w:val="32"/>
          <w:szCs w:val="32"/>
          <w:highlight w:val="none"/>
        </w:rPr>
        <w:t>边缘计算节点</w:t>
      </w:r>
      <w:r>
        <w:rPr>
          <w:rFonts w:hint="eastAsia" w:ascii="仿宋" w:hAnsi="仿宋" w:eastAsia="仿宋" w:cs="仿宋"/>
          <w:b/>
          <w:bCs/>
          <w:sz w:val="32"/>
          <w:szCs w:val="32"/>
          <w:highlight w:val="none"/>
          <w:lang w:val="en-US" w:eastAsia="zh-CN"/>
        </w:rPr>
        <w:t>建设</w:t>
      </w:r>
      <w:bookmarkEnd w:id="46"/>
    </w:p>
    <w:p w14:paraId="4CF68A88">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谋划濉溪边缘算力节点布局，夯实县域数字化转型与智慧城市算力基础设施底座。鼓励运营商联合头部科技企业探索市场化投融资路径，规划出台扶持保障政策。引导各方结合算力使用需求、市场行情波动、产业发展形势综合研判，动态优化项目建设体量与实施节奏，力争项目规划科学稳妥、推进有序务实。</w:t>
      </w:r>
    </w:p>
    <w:p w14:paraId="10B29717">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47" w:name="_Toc27970"/>
      <w:bookmarkStart w:id="48" w:name="_Toc5716"/>
      <w:r>
        <w:rPr>
          <w:rFonts w:hint="eastAsia" w:ascii="黑体" w:hAnsi="黑体" w:eastAsia="黑体" w:cs="黑体"/>
          <w:sz w:val="32"/>
          <w:szCs w:val="32"/>
          <w:highlight w:val="none"/>
        </w:rPr>
        <w:t>数字园区发展工程：打造数字经济集聚载体</w:t>
      </w:r>
      <w:bookmarkEnd w:id="47"/>
      <w:bookmarkEnd w:id="48"/>
    </w:p>
    <w:p w14:paraId="7A0B35BE">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鼓励数字经济产业园建设公共服务平台，坚持以数字化、智能化、集约化建设为导向，持续优化平台综合承载功能，促进数字产业集聚发展、实体经济数字化赋能增效。鼓励主动对接承接长三角优质数字产业外溢资源，扶持培育本土数字产业业态，逐步完善县域数字经济发展生态，聚力打造皖北特色鲜明、动能强劲的数字经济集聚标杆载体。</w:t>
      </w:r>
    </w:p>
    <w:p w14:paraId="47344570">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9" w:name="_Toc13372"/>
      <w:bookmarkStart w:id="50" w:name="_Toc21556"/>
      <w:bookmarkStart w:id="51" w:name="_Toc29555"/>
      <w:r>
        <w:rPr>
          <w:rFonts w:hint="eastAsia" w:ascii="仿宋" w:hAnsi="仿宋" w:eastAsia="仿宋" w:cs="仿宋"/>
          <w:b/>
          <w:bCs/>
          <w:sz w:val="32"/>
          <w:szCs w:val="32"/>
          <w:highlight w:val="none"/>
          <w:lang w:val="en-US" w:eastAsia="zh-CN"/>
        </w:rPr>
        <w:t>推进</w:t>
      </w:r>
      <w:r>
        <w:rPr>
          <w:rFonts w:hint="eastAsia" w:ascii="仿宋" w:hAnsi="仿宋" w:eastAsia="仿宋" w:cs="仿宋"/>
          <w:b/>
          <w:bCs/>
          <w:sz w:val="32"/>
          <w:szCs w:val="32"/>
          <w:highlight w:val="none"/>
        </w:rPr>
        <w:t>公共服务平台</w:t>
      </w:r>
      <w:bookmarkEnd w:id="49"/>
      <w:r>
        <w:rPr>
          <w:rFonts w:hint="eastAsia" w:ascii="仿宋" w:hAnsi="仿宋" w:eastAsia="仿宋" w:cs="仿宋"/>
          <w:b/>
          <w:bCs/>
          <w:sz w:val="32"/>
          <w:szCs w:val="32"/>
          <w:highlight w:val="none"/>
        </w:rPr>
        <w:t>建设</w:t>
      </w:r>
      <w:bookmarkEnd w:id="50"/>
    </w:p>
    <w:p w14:paraId="0B4853DB">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围绕金属新材料、</w:t>
      </w:r>
      <w:r>
        <w:rPr>
          <w:rFonts w:hint="eastAsia" w:ascii="仿宋" w:hAnsi="仿宋" w:eastAsia="仿宋" w:cs="仿宋"/>
          <w:sz w:val="32"/>
          <w:szCs w:val="32"/>
          <w:highlight w:val="none"/>
          <w:lang w:val="en-US" w:eastAsia="zh-CN"/>
        </w:rPr>
        <w:t>装备制造</w:t>
      </w:r>
      <w:r>
        <w:rPr>
          <w:rFonts w:hint="eastAsia" w:ascii="仿宋" w:hAnsi="仿宋" w:eastAsia="仿宋" w:cs="仿宋"/>
          <w:sz w:val="32"/>
          <w:szCs w:val="32"/>
          <w:highlight w:val="none"/>
        </w:rPr>
        <w:t>主导产业发展堵点难点，统筹谋划技术、人才、金融、知识产权协同联动的一体化公共服务平台</w:t>
      </w:r>
      <w:r>
        <w:rPr>
          <w:rFonts w:hint="eastAsia" w:ascii="仿宋" w:hAnsi="仿宋" w:eastAsia="仿宋" w:cs="仿宋"/>
          <w:sz w:val="32"/>
          <w:szCs w:val="32"/>
          <w:highlight w:val="none"/>
          <w:lang w:val="en-US" w:eastAsia="zh-CN"/>
        </w:rPr>
        <w:t>建设</w:t>
      </w:r>
      <w:r>
        <w:rPr>
          <w:rFonts w:hint="eastAsia" w:ascii="仿宋" w:hAnsi="仿宋" w:eastAsia="仿宋" w:cs="仿宋"/>
          <w:sz w:val="32"/>
          <w:szCs w:val="32"/>
          <w:highlight w:val="none"/>
        </w:rPr>
        <w:t>工作，为企业全生命周期发展提供支撑保障。鼓励依托云服务、大数据、工业软件技术搭建模块化数字化服务平台，助力精准开展产业招商；引导深挖各细分领域数字化应用场景，按需定制落地实施解决方案，培育孵化数字新兴业态，持续构建深度融合的产业发展生态。稳步布局园区知识产权服务站点，主动为企业提供知识产权全流程代办服务及专项业务培训，夯实企业自主创新发展根基。</w:t>
      </w:r>
    </w:p>
    <w:p w14:paraId="3B4E3F1E">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2" w:name="_Toc7152"/>
      <w:r>
        <w:rPr>
          <w:rFonts w:hint="eastAsia" w:ascii="仿宋" w:hAnsi="仿宋" w:eastAsia="仿宋" w:cs="仿宋"/>
          <w:b/>
          <w:bCs/>
          <w:sz w:val="32"/>
          <w:szCs w:val="32"/>
          <w:highlight w:val="none"/>
          <w:lang w:val="en-US" w:eastAsia="zh-CN"/>
        </w:rPr>
        <w:t>开展精准化招商与生态培育</w:t>
      </w:r>
      <w:bookmarkEnd w:id="51"/>
      <w:bookmarkEnd w:id="52"/>
    </w:p>
    <w:p w14:paraId="65C13AD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紧扣“数字赋能铝基、服务煤电转型、培育新兴业态”核心发展方向，探索推行“靶向招商+本土培育+场景驱动”产业生态培育路径。立足濉溪现有产业根基，引导编制数据服务、工业软件、智能硬件、数字文创等重点产业招商指引清单；重点对接适配铝基新材料、煤电智能化升级的数字化服务商，逐步梳理建立意向目标企业资源库，完善专业化招商工作机制，灵活开展点对点精准对接洽谈。充分释放园区产业配套、本地市场容量、配套扶持政策等叠加优势，持续提升招商引资工作质量与实际成效。</w:t>
      </w:r>
    </w:p>
    <w:p w14:paraId="628C0349">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3" w:name="_Toc4039"/>
      <w:bookmarkStart w:id="54" w:name="_Toc17267"/>
      <w:r>
        <w:rPr>
          <w:rFonts w:hint="eastAsia" w:ascii="仿宋" w:hAnsi="仿宋" w:eastAsia="仿宋" w:cs="仿宋"/>
          <w:b/>
          <w:bCs/>
          <w:sz w:val="32"/>
          <w:szCs w:val="32"/>
          <w:highlight w:val="none"/>
          <w:lang w:val="en-US" w:eastAsia="zh-CN"/>
        </w:rPr>
        <w:t>培育数字产业创新生态</w:t>
      </w:r>
      <w:bookmarkEnd w:id="53"/>
      <w:bookmarkEnd w:id="54"/>
    </w:p>
    <w:p w14:paraId="6564E51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牵头联合省铝检中心、高校及产业链企业</w:t>
      </w:r>
      <w:r>
        <w:rPr>
          <w:rFonts w:hint="eastAsia" w:ascii="仿宋" w:hAnsi="仿宋" w:eastAsia="仿宋" w:cs="仿宋"/>
          <w:sz w:val="32"/>
          <w:szCs w:val="32"/>
          <w:highlight w:val="none"/>
          <w:lang w:val="en-US" w:eastAsia="zh-CN"/>
        </w:rPr>
        <w:t>谋划</w:t>
      </w:r>
      <w:r>
        <w:rPr>
          <w:rFonts w:hint="eastAsia" w:ascii="仿宋" w:hAnsi="仿宋" w:eastAsia="仿宋" w:cs="仿宋"/>
          <w:sz w:val="32"/>
          <w:szCs w:val="32"/>
          <w:highlight w:val="none"/>
        </w:rPr>
        <w:t>共建省级铝基新材料特色创新研究院，依托省铝检中心打造公共检测平台，统筹设备共享、产学研合作与高端人才引进，配套产业咨询服务；聚焦新材料、精深加工装备、产业链提质三大领域攻关研发，落地“一院一园”，建成中德（濉溪）铝基产业园，布局“4中心6平台”，攻坚产业链关键技术，孵化新工艺新产品；搭建成果交流载体，常态化开展展会与技术交流，厚植创新生态，培育优质本土龙头企业。</w:t>
      </w:r>
    </w:p>
    <w:p w14:paraId="0EA67862">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55" w:name="_Toc13168"/>
      <w:bookmarkStart w:id="56" w:name="_Toc8326"/>
      <w:r>
        <w:rPr>
          <w:rFonts w:hint="eastAsia" w:ascii="黑体" w:hAnsi="黑体" w:eastAsia="黑体" w:cs="黑体"/>
          <w:sz w:val="32"/>
          <w:szCs w:val="32"/>
          <w:highlight w:val="none"/>
        </w:rPr>
        <w:t>数字经济提效工程：激活产业转型新动能</w:t>
      </w:r>
      <w:bookmarkEnd w:id="55"/>
      <w:bookmarkEnd w:id="56"/>
    </w:p>
    <w:p w14:paraId="6BCAD1F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数据要素与实体经济融合赋能为主线，结合县域产业现状引导资源向重点行业集聚。聚焦工业制造、现代农业、数字电商优势领域，深挖数字化转型潜力，培育本土数字企业，壮大优质市场主体梯队。引导各行业结合经营配套需求，创新数字化应用场景与新业态新模式。依托本地产业平台盘活数字资源、释放数据价值，持续做大数字经济总量，激活产业发展全新动能，为县域产业转型和经济高质量发展夯实数字化根基。</w:t>
      </w:r>
    </w:p>
    <w:p w14:paraId="0EFAB79F">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7" w:name="_Toc18395"/>
      <w:bookmarkStart w:id="58" w:name="_Toc25078"/>
      <w:r>
        <w:rPr>
          <w:rFonts w:hint="eastAsia" w:ascii="仿宋" w:hAnsi="仿宋" w:eastAsia="仿宋" w:cs="仿宋"/>
          <w:b/>
          <w:bCs/>
          <w:sz w:val="32"/>
          <w:szCs w:val="32"/>
          <w:highlight w:val="none"/>
          <w:lang w:val="en-US" w:eastAsia="zh-CN"/>
        </w:rPr>
        <w:t>培育壮大数字经济市场主体</w:t>
      </w:r>
      <w:bookmarkEnd w:id="57"/>
      <w:bookmarkEnd w:id="58"/>
    </w:p>
    <w:p w14:paraId="6043DE0F">
      <w:pPr>
        <w:pStyle w:val="14"/>
        <w:widowControl/>
        <w:spacing w:line="580" w:lineRule="exact"/>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探索构建初创、成长、领军三级梯度企业培育体系，实行分层分类精准赋能，完善数字经济企业梯次发展布局。对初创主体，整合园区、数字、政务资源，提供免费场地、网络、开办代办服务，降低创业成本。积极争取税收减免、研发加计扣除、专项补贴等惠企政策，惠及成长型企业，助推企业扩容增效。对领军企业，优先支持申报省级以上示范试点、参与行业标准编制，全面增强企业品牌影响力、行业话语权与核心竞争力。</w:t>
      </w:r>
    </w:p>
    <w:p w14:paraId="344E54BA">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9" w:name="_Toc7309"/>
      <w:bookmarkStart w:id="60" w:name="_Toc21927"/>
      <w:r>
        <w:rPr>
          <w:rFonts w:hint="eastAsia" w:ascii="仿宋" w:hAnsi="仿宋" w:eastAsia="仿宋" w:cs="仿宋"/>
          <w:b/>
          <w:bCs/>
          <w:sz w:val="32"/>
          <w:szCs w:val="32"/>
          <w:highlight w:val="none"/>
          <w:lang w:val="en-US" w:eastAsia="zh-CN"/>
        </w:rPr>
        <w:t>推进工业领域数字化转型</w:t>
      </w:r>
      <w:bookmarkEnd w:id="59"/>
      <w:bookmarkEnd w:id="60"/>
    </w:p>
    <w:p w14:paraId="378E71D7">
      <w:pPr>
        <w:pStyle w:val="14"/>
        <w:widowControl/>
        <w:spacing w:line="580" w:lineRule="exact"/>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谋划省市级人工智能深度应用示范园区，引导企业在智能制造、节能降碳场景落地AI技术，培育智能制造标杆，带动区域制造业智能升级。立足本地铝基产业优势打造共享智造样板，围绕熔铸、挤压等核心工序，探索多元共建运营机制，统筹搭建产业赋能平台，发展共享车间、协同制造模式，促进铝基产业集约提质。以濉溪经开区为载体推进工业数据要素市场化试点，有序开展数据确权、资产入表工作，搭建产业链可信数据空间，严守数据安全规范，打通产业全链条数据通道，盘活工业数据资产，推动数据要素赋能实体经济融合发展。</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27378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63EE8E66">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1</w:t>
            </w:r>
            <w:r>
              <w:rPr>
                <w:rFonts w:hint="eastAsia" w:ascii="黑体" w:eastAsia="黑体"/>
                <w:sz w:val="28"/>
                <w:highlight w:val="none"/>
              </w:rPr>
              <w:t>：</w:t>
            </w:r>
            <w:r>
              <w:rPr>
                <w:rFonts w:hint="eastAsia" w:ascii="黑体" w:eastAsia="黑体"/>
                <w:sz w:val="28"/>
                <w:highlight w:val="none"/>
                <w:lang w:val="en-US"/>
              </w:rPr>
              <w:t>工业数字化转型攻坚行动</w:t>
            </w:r>
          </w:p>
        </w:tc>
      </w:tr>
      <w:tr w14:paraId="7E5B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4CF80306">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“人工智能深度应用”示范园区：</w:t>
            </w:r>
            <w:r>
              <w:rPr>
                <w:rFonts w:hint="eastAsia" w:ascii="仿宋_GB2312" w:hAnsi="仿宋" w:eastAsia="仿宋_GB2312" w:cs="Calibri"/>
                <w:kern w:val="0"/>
                <w:sz w:val="28"/>
                <w:szCs w:val="28"/>
                <w:highlight w:val="none"/>
                <w:lang w:val="en-US" w:eastAsia="zh-CN"/>
              </w:rPr>
              <w:t>鼓励</w:t>
            </w:r>
            <w:r>
              <w:rPr>
                <w:rFonts w:hint="eastAsia" w:ascii="仿宋_GB2312" w:hAnsi="仿宋" w:eastAsia="仿宋_GB2312" w:cs="Calibri"/>
                <w:kern w:val="0"/>
                <w:sz w:val="28"/>
                <w:szCs w:val="28"/>
                <w:highlight w:val="none"/>
              </w:rPr>
              <w:t>濉溪县经济开发区创建“人工智能深度应用示范园区”。聚焦我县</w:t>
            </w:r>
            <w:r>
              <w:rPr>
                <w:rFonts w:hint="default" w:ascii="仿宋_GB2312" w:hAnsi="仿宋" w:eastAsia="仿宋_GB2312" w:cs="Calibri"/>
                <w:kern w:val="0"/>
                <w:sz w:val="28"/>
                <w:szCs w:val="28"/>
                <w:highlight w:val="none"/>
                <w:lang w:val="en-US" w:eastAsia="zh-CN"/>
              </w:rPr>
              <w:t>金属新材料</w:t>
            </w:r>
            <w:r>
              <w:rPr>
                <w:rFonts w:hint="eastAsia" w:ascii="仿宋_GB2312" w:hAnsi="仿宋" w:eastAsia="仿宋_GB2312" w:cs="Calibri"/>
                <w:kern w:val="0"/>
                <w:sz w:val="28"/>
                <w:szCs w:val="28"/>
                <w:highlight w:val="none"/>
              </w:rPr>
              <w:t>主导产业，通过创建活动到2027年底，带动园区超50%的规上工业企业实施一轮新型技术改造。</w:t>
            </w:r>
          </w:p>
          <w:p w14:paraId="5CD50AB5">
            <w:pPr>
              <w:spacing w:line="460" w:lineRule="exact"/>
              <w:ind w:firstLine="560" w:firstLineChars="200"/>
              <w:rPr>
                <w:rFonts w:hint="default"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工业互联网平台：</w:t>
            </w:r>
            <w:r>
              <w:rPr>
                <w:rFonts w:hint="eastAsia" w:ascii="仿宋_GB2312" w:hAnsi="仿宋" w:eastAsia="仿宋_GB2312" w:cs="Calibri"/>
                <w:kern w:val="0"/>
                <w:sz w:val="28"/>
                <w:szCs w:val="28"/>
                <w:highlight w:val="none"/>
              </w:rPr>
              <w:t>鼓励</w:t>
            </w:r>
            <w:r>
              <w:rPr>
                <w:rFonts w:hint="eastAsia" w:ascii="仿宋_GB2312" w:hAnsi="仿宋" w:eastAsia="仿宋_GB2312" w:cs="Calibri"/>
                <w:kern w:val="0"/>
                <w:sz w:val="28"/>
                <w:szCs w:val="28"/>
                <w:highlight w:val="none"/>
                <w:lang w:val="en-US" w:eastAsia="zh-CN"/>
              </w:rPr>
              <w:t>县域</w:t>
            </w:r>
            <w:r>
              <w:rPr>
                <w:rFonts w:hint="eastAsia" w:ascii="仿宋_GB2312" w:hAnsi="仿宋" w:eastAsia="仿宋_GB2312" w:cs="Calibri"/>
                <w:kern w:val="0"/>
                <w:sz w:val="28"/>
                <w:szCs w:val="28"/>
                <w:highlight w:val="none"/>
              </w:rPr>
              <w:t>行业龙头企业主动开放技术、算力、设备管理及产业链协同等核心能力。支持龙头企业发挥资源整合与行业引领优势，牵头打造专业化、定制化的行业级工业互联网平台。</w:t>
            </w:r>
          </w:p>
          <w:p w14:paraId="03DE076F">
            <w:pPr>
              <w:spacing w:line="460" w:lineRule="exact"/>
              <w:ind w:firstLine="560" w:firstLineChars="200"/>
              <w:rPr>
                <w:rFonts w:ascii="黑体" w:eastAsia="黑体"/>
                <w:sz w:val="28"/>
                <w:highlight w:val="none"/>
              </w:rPr>
            </w:pPr>
            <w:r>
              <w:rPr>
                <w:rFonts w:hint="eastAsia" w:ascii="仿宋_GB2312" w:hAnsi="仿宋" w:eastAsia="仿宋_GB2312" w:cs="Calibri"/>
                <w:kern w:val="0"/>
                <w:sz w:val="28"/>
                <w:szCs w:val="28"/>
                <w:highlight w:val="none"/>
                <w:lang w:val="en-US" w:eastAsia="zh-CN"/>
              </w:rPr>
              <w:t>数据要素价值化示范：推进工业数据资产规范化试点，落地确权、登记、估值、入表全链条管控，完善核算与管理制度，明晰权属、量化价值；立足重点产业链搭建安全可信数据空间，破除数据壁垒，实现合规流通共享，释放工业数据市场化价值。</w:t>
            </w:r>
          </w:p>
        </w:tc>
      </w:tr>
    </w:tbl>
    <w:p w14:paraId="676DB73C">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1" w:name="_Toc8839"/>
      <w:bookmarkStart w:id="62" w:name="_Toc6682"/>
      <w:r>
        <w:rPr>
          <w:rFonts w:hint="eastAsia" w:ascii="仿宋" w:hAnsi="仿宋" w:eastAsia="仿宋" w:cs="仿宋"/>
          <w:b/>
          <w:bCs/>
          <w:sz w:val="32"/>
          <w:szCs w:val="32"/>
          <w:highlight w:val="none"/>
          <w:lang w:val="en-US" w:eastAsia="zh-CN"/>
        </w:rPr>
        <w:t>推动数字文旅融合发展</w:t>
      </w:r>
      <w:bookmarkEnd w:id="61"/>
      <w:bookmarkEnd w:id="62"/>
    </w:p>
    <w:p w14:paraId="21AC4D1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对标国家、省市智慧文旅建设工作部署，依托皖北旅游大环线资源优势，按照“一核一环两翼”整体布局，有序推进“决胜淮海”红色文旅融合项目建设。鼓励以双堆集战场遗址公园为核心载体，运用VR、AR等数字化技术，打造沉浸式红色研学体验园区。持续优化提升淮海66号公路景观风貌与智慧导览服务体系，不断完善全域休闲旅游配套设施。引导差异化升级改造两处总前委旧址展馆场馆，通过数字化手段打造红色情景党课、特色沉浸体验等新业态，着力塑造本土特色红色文旅品牌IP。积极谋划开展数字文旅创新创业赛事，培育孵化濉溪特色数字文创产品，持续深化数字经济与文旅产业深度融合，挖掘文旅产业发展潜力，培育壮大县域文旅经济新动能。</w:t>
      </w:r>
    </w:p>
    <w:p w14:paraId="542AF3F5">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63" w:name="_Toc4814"/>
      <w:bookmarkStart w:id="64" w:name="_Toc24050"/>
      <w:r>
        <w:rPr>
          <w:rFonts w:hint="eastAsia" w:ascii="黑体" w:hAnsi="黑体" w:eastAsia="黑体" w:cs="黑体"/>
          <w:sz w:val="32"/>
          <w:szCs w:val="32"/>
          <w:highlight w:val="none"/>
        </w:rPr>
        <w:t>数字政务迭代工程：构建高效便民服务体系</w:t>
      </w:r>
      <w:bookmarkEnd w:id="63"/>
      <w:bookmarkEnd w:id="64"/>
    </w:p>
    <w:p w14:paraId="03C9D2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以“高效办成一件事”改革为核心牵引，充分依托“皖事通办”一体化政务服务平台，持续探索数字技术在政务服务领域的创新融合应用，常态化拓展推行上门办、预约办、延时办等便民服务举措。鼓励建强政务“快办”服务专班队伍，持续锤炼一线服务能力、优化服务流程，稳步提升企业群众办事便捷度与获得感、满意度。依托人工智能技术赋能，探索以政务服务机器人为支撑载体，搭建集成智能咨询、主动导引、自助办理于一体的智慧政务交互服务体系，全方位推动政务服务向智能化、便民化、高效化迭代升级。</w:t>
      </w:r>
    </w:p>
    <w:p w14:paraId="54F72F3E">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5" w:name="_Toc20529"/>
      <w:bookmarkStart w:id="66" w:name="_Toc17737"/>
      <w:r>
        <w:rPr>
          <w:rFonts w:hint="eastAsia" w:ascii="仿宋" w:hAnsi="仿宋" w:eastAsia="仿宋" w:cs="仿宋"/>
          <w:b/>
          <w:bCs/>
          <w:sz w:val="32"/>
          <w:szCs w:val="32"/>
          <w:highlight w:val="none"/>
          <w:lang w:val="en-US" w:eastAsia="zh-CN"/>
        </w:rPr>
        <w:t>深化“高效办成一件事”改革</w:t>
      </w:r>
      <w:bookmarkEnd w:id="65"/>
      <w:bookmarkEnd w:id="66"/>
    </w:p>
    <w:p w14:paraId="58CDF9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高效办成一件事”改革为重要抓手，对标落实国家、省、市各项工作部署要求，有序认领细化改革任务。坚持立足需求、聚焦问题的工作导向，紧密结合县域产业发展实际和群众民生服务诉求，鼓励探索打造本土化、特色化、个性化政务服务应用场景，不断擦亮濉溪优质政务服务品牌形象。积极拓展智慧政务应用场景，探索构建集智能咨询、主动引导、自助办理于一体的综合性政务智能交互体系，实现办事指引统一规范、透明可依，有效缓解群众办事看不懂、跑多次、办不明等痛点难点，持续提升政务服务智能化、精细化、便民化水平。</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15D3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20D03D1A">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2</w:t>
            </w:r>
            <w:r>
              <w:rPr>
                <w:rFonts w:hint="eastAsia" w:ascii="黑体" w:eastAsia="黑体"/>
                <w:sz w:val="28"/>
                <w:highlight w:val="none"/>
              </w:rPr>
              <w:t>：</w:t>
            </w:r>
            <w:r>
              <w:rPr>
                <w:rFonts w:hint="eastAsia" w:ascii="黑体" w:eastAsia="黑体"/>
                <w:sz w:val="28"/>
                <w:highlight w:val="none"/>
                <w:lang w:val="en-US"/>
              </w:rPr>
              <w:t>“</w:t>
            </w:r>
            <w:r>
              <w:rPr>
                <w:rFonts w:hint="eastAsia" w:ascii="黑体" w:eastAsia="黑体"/>
                <w:sz w:val="28"/>
                <w:highlight w:val="none"/>
                <w:lang w:val="en-US" w:eastAsia="zh-CN"/>
              </w:rPr>
              <w:t>高效办成一件事</w:t>
            </w:r>
            <w:r>
              <w:rPr>
                <w:rFonts w:hint="eastAsia" w:ascii="黑体" w:eastAsia="黑体"/>
                <w:sz w:val="28"/>
                <w:highlight w:val="none"/>
                <w:lang w:val="en-US"/>
              </w:rPr>
              <w:t>”攻坚行动</w:t>
            </w:r>
          </w:p>
        </w:tc>
      </w:tr>
      <w:tr w14:paraId="2AC39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0C52253C">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高频事项流程再造：围绕企业开办、项目审批、不动产登记、社保医保联办等高频一件事，精简办事环节、剔除重复材料证明、多表合一，企业开办实现证照、刻章、税务、社保一站式速办。</w:t>
            </w:r>
          </w:p>
          <w:p w14:paraId="56CF127A">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特色场景创新：立足淮北烫面特色产业，统筹多部门审批事项，开设专窗集成受理，压缩审批成本时限，助推经营主体落地，同步完善产业标准、品牌与文旅融合，培育本土特色政务服务场景。</w:t>
            </w:r>
          </w:p>
          <w:p w14:paraId="2B2518E8">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rPr>
              <w:t>数字赋能效能监管：依托</w:t>
            </w:r>
            <w:r>
              <w:rPr>
                <w:rFonts w:hint="eastAsia" w:ascii="仿宋_GB2312" w:hAnsi="仿宋" w:eastAsia="仿宋_GB2312" w:cs="Calibri"/>
                <w:kern w:val="0"/>
                <w:sz w:val="28"/>
                <w:szCs w:val="28"/>
                <w:highlight w:val="none"/>
                <w:lang w:val="en-US" w:eastAsia="zh-CN"/>
              </w:rPr>
              <w:t>省一体化基础平台业务中枢能力</w:t>
            </w:r>
            <w:r>
              <w:rPr>
                <w:rFonts w:hint="eastAsia" w:ascii="仿宋_GB2312" w:hAnsi="仿宋" w:eastAsia="仿宋_GB2312" w:cs="Calibri"/>
                <w:kern w:val="0"/>
                <w:sz w:val="28"/>
                <w:szCs w:val="28"/>
                <w:highlight w:val="none"/>
              </w:rPr>
              <w:t>，全流程溯源跟踪办事节点，自动预警堵点问题；按月</w:t>
            </w:r>
            <w:r>
              <w:rPr>
                <w:rFonts w:hint="eastAsia" w:ascii="仿宋_GB2312" w:hAnsi="仿宋" w:eastAsia="仿宋_GB2312" w:cs="Calibri"/>
                <w:kern w:val="0"/>
                <w:sz w:val="28"/>
                <w:szCs w:val="28"/>
                <w:highlight w:val="none"/>
                <w:lang w:val="en-US" w:eastAsia="zh-CN"/>
              </w:rPr>
              <w:t>调度、督办</w:t>
            </w:r>
            <w:r>
              <w:rPr>
                <w:rFonts w:hint="eastAsia" w:ascii="仿宋_GB2312" w:hAnsi="仿宋" w:eastAsia="仿宋_GB2312" w:cs="Calibri"/>
                <w:kern w:val="0"/>
                <w:sz w:val="28"/>
                <w:szCs w:val="28"/>
                <w:highlight w:val="none"/>
              </w:rPr>
              <w:t>，</w:t>
            </w:r>
            <w:r>
              <w:rPr>
                <w:rFonts w:hint="eastAsia" w:ascii="仿宋_GB2312" w:hAnsi="仿宋" w:eastAsia="仿宋_GB2312" w:cs="Calibri"/>
                <w:kern w:val="0"/>
                <w:sz w:val="28"/>
                <w:szCs w:val="28"/>
                <w:highlight w:val="none"/>
                <w:lang w:val="en-US" w:eastAsia="zh-CN"/>
              </w:rPr>
              <w:t>保障事项及时办结</w:t>
            </w:r>
            <w:r>
              <w:rPr>
                <w:rFonts w:hint="eastAsia" w:ascii="仿宋_GB2312" w:hAnsi="仿宋" w:eastAsia="仿宋_GB2312" w:cs="Calibri"/>
                <w:kern w:val="0"/>
                <w:sz w:val="28"/>
                <w:szCs w:val="28"/>
                <w:highlight w:val="none"/>
              </w:rPr>
              <w:t>。</w:t>
            </w:r>
          </w:p>
        </w:tc>
      </w:tr>
    </w:tbl>
    <w:p w14:paraId="564AD611">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7" w:name="_Toc7265"/>
      <w:bookmarkStart w:id="68" w:name="_Toc29841"/>
      <w:r>
        <w:rPr>
          <w:rFonts w:hint="eastAsia" w:ascii="仿宋" w:hAnsi="仿宋" w:eastAsia="仿宋" w:cs="仿宋"/>
          <w:b/>
          <w:bCs/>
          <w:sz w:val="32"/>
          <w:szCs w:val="32"/>
          <w:highlight w:val="none"/>
          <w:lang w:val="en-US" w:eastAsia="zh-CN"/>
        </w:rPr>
        <w:t>持续打造政务服务“快办”品牌</w:t>
      </w:r>
      <w:bookmarkEnd w:id="67"/>
      <w:bookmarkEnd w:id="68"/>
    </w:p>
    <w:p w14:paraId="4175D0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依托“快办”志愿服务站、“快办”驿站、“快办”工作站以及为企服务专区“三站一区”实体载体，统筹整合政务服务资源，着力打造有温度、有标识、有特色的基层政务服务阵地体系。持续探索创新“快办”服务运行机制，聚焦企业群众办事堵点、痛点、难点，主动适配各类办事服务需求，不断精简办事流程提升服务质效，稳步提高群众办事满意度与社会认可度。以优质高效的政务服务持续优化县域营商环境，深耕打磨辨识度高、实效性强、可复制可推广的濉溪“快办”政务服务特色品牌，全面提升县域政务服务影响力与标杆示范力。</w:t>
      </w:r>
    </w:p>
    <w:p w14:paraId="3B8E244F">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69" w:name="_Toc7240"/>
      <w:r>
        <w:rPr>
          <w:rFonts w:hint="eastAsia" w:ascii="仿宋" w:hAnsi="仿宋" w:eastAsia="仿宋" w:cs="仿宋"/>
          <w:b/>
          <w:bCs/>
          <w:sz w:val="32"/>
          <w:szCs w:val="32"/>
          <w:highlight w:val="none"/>
          <w:lang w:val="en-US" w:eastAsia="zh-CN"/>
        </w:rPr>
        <w:t>AI赋能立项审批提质增效</w:t>
      </w:r>
      <w:bookmarkEnd w:id="69"/>
    </w:p>
    <w:p w14:paraId="4C19FBD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打造项目AI预审系统，破解传统项目立项审批前期研判效率偏低、精准度不足、风险把控不全面等痛点问题，充分发挥人工智能技术在数据整合、智能分析、风险预警、流程优化等方面优势，实现“人工研判、经验驱动”向“智能研判、数据驱动”转型升级，提升审批规范化、高效化、精准化水平。</w:t>
      </w:r>
    </w:p>
    <w:p w14:paraId="0EEBF8EE">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70" w:name="_Toc10059"/>
      <w:r>
        <w:rPr>
          <w:rFonts w:hint="eastAsia" w:ascii="仿宋" w:hAnsi="仿宋" w:eastAsia="仿宋" w:cs="仿宋"/>
          <w:b/>
          <w:bCs/>
          <w:sz w:val="32"/>
          <w:szCs w:val="32"/>
          <w:highlight w:val="none"/>
          <w:lang w:val="en-US" w:eastAsia="zh-CN"/>
        </w:rPr>
        <w:t>搭建项目综合服务智能体</w:t>
      </w:r>
      <w:bookmarkEnd w:id="70"/>
    </w:p>
    <w:p w14:paraId="7EBD7F8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重点项目管理数字化系统重塑项目谋划生成、前期工作、建设实施、多元投入、运营管理、综合评价等全过程各环节，加快构建全景式重大项目库，搭建项目综合服务智能体，创新要素协同保障机制，优化全链条支撑体系，推动重大项目建设提速提质提效，着力增强投资后劲、提升投资效益。</w:t>
      </w:r>
    </w:p>
    <w:p w14:paraId="0F1E977D">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71" w:name="_Toc32189"/>
      <w:bookmarkStart w:id="72" w:name="_Toc3423"/>
      <w:r>
        <w:rPr>
          <w:rFonts w:hint="eastAsia" w:ascii="黑体" w:hAnsi="黑体" w:eastAsia="黑体" w:cs="黑体"/>
          <w:sz w:val="32"/>
          <w:szCs w:val="32"/>
          <w:highlight w:val="none"/>
        </w:rPr>
        <w:t>数据要素激活工程：释放数据资源核心价值</w:t>
      </w:r>
      <w:bookmarkEnd w:id="71"/>
      <w:bookmarkEnd w:id="72"/>
    </w:p>
    <w:p w14:paraId="4B23BE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highlight w:val="none"/>
        </w:rPr>
      </w:pPr>
      <w:r>
        <w:rPr>
          <w:rFonts w:hint="eastAsia" w:ascii="仿宋" w:hAnsi="仿宋" w:eastAsia="仿宋" w:cs="仿宋"/>
          <w:sz w:val="32"/>
          <w:szCs w:val="32"/>
          <w:highlight w:val="none"/>
          <w:lang w:val="en-US" w:eastAsia="zh-CN"/>
        </w:rPr>
        <w:t>加快县域数据资源的汇聚整合、清洗治理与共享复用，积极推动数据要素在政务管理、民生服务、产业发展等领域的创新应用，充分释放数据资源的核心价值。</w:t>
      </w:r>
    </w:p>
    <w:p w14:paraId="0D7B78FC">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3" w:name="_Toc23075"/>
      <w:bookmarkStart w:id="74" w:name="_Toc20187"/>
      <w:r>
        <w:rPr>
          <w:rFonts w:hint="eastAsia" w:ascii="仿宋" w:hAnsi="仿宋" w:eastAsia="仿宋" w:cs="仿宋"/>
          <w:b/>
          <w:bCs/>
          <w:sz w:val="32"/>
          <w:szCs w:val="32"/>
          <w:highlight w:val="none"/>
          <w:lang w:val="en-US" w:eastAsia="zh-CN"/>
        </w:rPr>
        <w:t>建设数据资源支撑体系</w:t>
      </w:r>
      <w:bookmarkEnd w:id="73"/>
      <w:bookmarkEnd w:id="74"/>
    </w:p>
    <w:p w14:paraId="02B949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搭建集约化县级数据资源池，统筹汇聚政务核心数据、铝基特色产业数据、现代农业、文旅资源数据及医疗、教育、社保等重点民生数据资源。探索组建本地化运维团队与第三方专业力量协同联动的轻量化治理队伍，保障数据平台规范高效平稳运行。逐步建立健全县域数据汇聚管理制度体系，持续提升数据资源质量，筑牢精准高效、安全可靠的数据应用支撑根基。</w:t>
      </w:r>
    </w:p>
    <w:p w14:paraId="7F4730F4">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5" w:name="_Toc4907"/>
      <w:bookmarkStart w:id="76" w:name="_Toc889"/>
      <w:r>
        <w:rPr>
          <w:rFonts w:hint="eastAsia" w:ascii="仿宋" w:hAnsi="仿宋" w:eastAsia="仿宋" w:cs="仿宋"/>
          <w:b/>
          <w:bCs/>
          <w:sz w:val="32"/>
          <w:szCs w:val="32"/>
          <w:highlight w:val="none"/>
          <w:lang w:val="en-US" w:eastAsia="zh-CN"/>
        </w:rPr>
        <w:t>提升数据共享开放能力</w:t>
      </w:r>
      <w:bookmarkEnd w:id="75"/>
      <w:bookmarkEnd w:id="76"/>
    </w:p>
    <w:p w14:paraId="5FF2C4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积极提升县域数据共享交换支撑能力，持续优化完善数据交互接口标准与规范体系，逐步破除各部门、各行业间的数据孤岛与信息壁垒，推动实现跨层级、跨部门、跨领域数据资源高效互通、有序共享和业务协同联动。</w:t>
      </w:r>
    </w:p>
    <w:p w14:paraId="5CC721B2">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7" w:name="_Toc952"/>
      <w:bookmarkStart w:id="78" w:name="_Toc29973"/>
      <w:r>
        <w:rPr>
          <w:rFonts w:hint="eastAsia" w:ascii="仿宋" w:hAnsi="仿宋" w:eastAsia="仿宋" w:cs="仿宋"/>
          <w:b/>
          <w:bCs/>
          <w:sz w:val="32"/>
          <w:szCs w:val="32"/>
          <w:highlight w:val="none"/>
          <w:lang w:val="en-US" w:eastAsia="zh-CN"/>
        </w:rPr>
        <w:t>数据要素价值化探索示范</w:t>
      </w:r>
      <w:bookmarkEnd w:id="77"/>
      <w:bookmarkEnd w:id="78"/>
    </w:p>
    <w:p w14:paraId="5786F3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对接安徽省数据交易所管理规范，明确数据交易主体资格、交易流程、安全责任和收益分配规则，规范数据交易行为。</w:t>
      </w:r>
      <w:r>
        <w:rPr>
          <w:rFonts w:hint="eastAsia" w:ascii="仿宋" w:hAnsi="仿宋" w:eastAsia="仿宋" w:cs="仿宋"/>
          <w:sz w:val="32"/>
          <w:szCs w:val="32"/>
          <w:highlight w:val="none"/>
          <w:lang w:val="en-US" w:eastAsia="zh-CN"/>
        </w:rPr>
        <w:t>谋划</w:t>
      </w:r>
      <w:r>
        <w:rPr>
          <w:rFonts w:hint="eastAsia" w:ascii="仿宋" w:hAnsi="仿宋" w:eastAsia="仿宋" w:cs="仿宋"/>
          <w:sz w:val="32"/>
          <w:szCs w:val="32"/>
          <w:highlight w:val="none"/>
        </w:rPr>
        <w:t>数据要素交易专家评审</w:t>
      </w:r>
      <w:r>
        <w:rPr>
          <w:rFonts w:hint="eastAsia" w:ascii="仿宋" w:hAnsi="仿宋" w:eastAsia="仿宋" w:cs="仿宋"/>
          <w:sz w:val="32"/>
          <w:szCs w:val="32"/>
          <w:highlight w:val="none"/>
          <w:lang w:val="en-US" w:eastAsia="zh-CN"/>
        </w:rPr>
        <w:t>机制</w:t>
      </w:r>
      <w:r>
        <w:rPr>
          <w:rFonts w:hint="eastAsia" w:ascii="仿宋" w:hAnsi="仿宋" w:eastAsia="仿宋" w:cs="仿宋"/>
          <w:sz w:val="32"/>
          <w:szCs w:val="32"/>
          <w:highlight w:val="none"/>
        </w:rPr>
        <w:t>，对数据交易项目进行合规性审核，确保数据交易安全有序、合规可控。</w:t>
      </w:r>
    </w:p>
    <w:p w14:paraId="27435E1B">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79" w:name="_Toc324"/>
      <w:bookmarkStart w:id="80" w:name="_Toc11891"/>
      <w:r>
        <w:rPr>
          <w:rFonts w:hint="eastAsia" w:ascii="黑体" w:hAnsi="黑体" w:eastAsia="黑体" w:cs="黑体"/>
          <w:sz w:val="32"/>
          <w:szCs w:val="32"/>
          <w:highlight w:val="none"/>
        </w:rPr>
        <w:t>“濉数×”创新工程：探索要素运营新路径</w:t>
      </w:r>
      <w:bookmarkEnd w:id="79"/>
      <w:bookmarkEnd w:id="80"/>
    </w:p>
    <w:p w14:paraId="78D01B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数据运营公司为核心运营主体，聚焦公共数据要素市场化配置改革，积极探索公共数据资源摸底登记、合规脱敏与授权运营的全流程长效机制，健全数据治理体系与价值转化路径，全力推动零散数据资源向规范化、可流通、可增值的数据资产跃迁，充分释放数据要素赋能产业升级、政务提效、民生服务的核心价值。</w:t>
      </w:r>
    </w:p>
    <w:p w14:paraId="4CE76857">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81" w:name="_Toc5240"/>
      <w:bookmarkStart w:id="82" w:name="_Toc31780"/>
      <w:r>
        <w:rPr>
          <w:rFonts w:hint="eastAsia" w:ascii="仿宋" w:hAnsi="仿宋" w:eastAsia="仿宋" w:cs="仿宋"/>
          <w:b/>
          <w:bCs/>
          <w:sz w:val="32"/>
          <w:szCs w:val="32"/>
          <w:highlight w:val="none"/>
          <w:lang w:val="en-US" w:eastAsia="zh-CN"/>
        </w:rPr>
        <w:t>统筹数据资源集约化管理</w:t>
      </w:r>
      <w:bookmarkEnd w:id="81"/>
      <w:bookmarkEnd w:id="82"/>
    </w:p>
    <w:p w14:paraId="2850AF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组织开展全县全域数据资源普查梳理工作，系统摸清各部门数据资源权属归属、类别业态、存量规模及实际应用现状，逐步建立全县统一规范的数据资源台账体系，明晰各单位数据管理主体职责。探索研究公共数据资源登记管理制度办法，持续规范数据登记流程与统一标准。持续提升县域数据资源管理的规范化、精细化、高效化水平，夯实数据要素统筹管理运营基础。</w:t>
      </w:r>
    </w:p>
    <w:p w14:paraId="7E4F018D">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83" w:name="_Toc30687"/>
      <w:bookmarkStart w:id="84" w:name="_Toc19882"/>
      <w:r>
        <w:rPr>
          <w:rFonts w:hint="eastAsia" w:ascii="仿宋" w:hAnsi="仿宋" w:eastAsia="仿宋" w:cs="仿宋"/>
          <w:b/>
          <w:bCs/>
          <w:sz w:val="32"/>
          <w:szCs w:val="32"/>
          <w:highlight w:val="none"/>
          <w:lang w:val="en-US" w:eastAsia="zh-CN"/>
        </w:rPr>
        <w:t>推进公共</w:t>
      </w:r>
      <w:r>
        <w:rPr>
          <w:rFonts w:hint="default" w:ascii="仿宋" w:hAnsi="仿宋" w:eastAsia="仿宋" w:cs="仿宋"/>
          <w:b/>
          <w:bCs/>
          <w:sz w:val="32"/>
          <w:szCs w:val="32"/>
          <w:highlight w:val="none"/>
          <w:lang w:val="en-US" w:eastAsia="zh-CN"/>
        </w:rPr>
        <w:t>数据授权运营</w:t>
      </w:r>
      <w:bookmarkEnd w:id="83"/>
      <w:r>
        <w:rPr>
          <w:rFonts w:hint="eastAsia" w:ascii="仿宋" w:hAnsi="仿宋" w:eastAsia="仿宋" w:cs="仿宋"/>
          <w:b/>
          <w:bCs/>
          <w:sz w:val="32"/>
          <w:szCs w:val="32"/>
          <w:highlight w:val="none"/>
          <w:lang w:val="en-US" w:eastAsia="zh-CN"/>
        </w:rPr>
        <w:t>工作开展</w:t>
      </w:r>
      <w:bookmarkEnd w:id="84"/>
    </w:p>
    <w:p w14:paraId="3BE87D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依照省、市级数字化顶层架构及制度规范，依托市级公共数据授权运营平台底座能力，</w:t>
      </w:r>
      <w:r>
        <w:rPr>
          <w:rFonts w:hint="eastAsia" w:ascii="仿宋" w:hAnsi="仿宋" w:eastAsia="仿宋" w:cs="仿宋"/>
          <w:sz w:val="32"/>
          <w:szCs w:val="32"/>
          <w:highlight w:val="none"/>
          <w:lang w:val="en-US" w:eastAsia="zh-CN"/>
        </w:rPr>
        <w:t>积极</w:t>
      </w:r>
      <w:r>
        <w:rPr>
          <w:rFonts w:hint="default" w:ascii="仿宋" w:hAnsi="仿宋" w:eastAsia="仿宋" w:cs="仿宋"/>
          <w:sz w:val="32"/>
          <w:szCs w:val="32"/>
          <w:highlight w:val="none"/>
          <w:lang w:val="en-US" w:eastAsia="zh-CN"/>
        </w:rPr>
        <w:t>推进县域公共数据授权运营各项工作。</w:t>
      </w:r>
      <w:r>
        <w:rPr>
          <w:rFonts w:hint="eastAsia" w:ascii="仿宋" w:hAnsi="仿宋" w:eastAsia="仿宋" w:cs="仿宋"/>
          <w:sz w:val="32"/>
          <w:szCs w:val="32"/>
          <w:highlight w:val="none"/>
          <w:lang w:val="en-US" w:eastAsia="zh-CN"/>
        </w:rPr>
        <w:t>推进</w:t>
      </w:r>
      <w:r>
        <w:rPr>
          <w:rFonts w:hint="default" w:ascii="仿宋" w:hAnsi="仿宋" w:eastAsia="仿宋" w:cs="仿宋"/>
          <w:sz w:val="32"/>
          <w:szCs w:val="32"/>
          <w:highlight w:val="none"/>
          <w:lang w:val="en-US" w:eastAsia="zh-CN"/>
        </w:rPr>
        <w:t>县域公共数据资源摸底登记、梳理归集、分类分级、目录编制上报等基础性前置工作</w:t>
      </w:r>
      <w:r>
        <w:rPr>
          <w:rFonts w:hint="eastAsia" w:ascii="仿宋" w:hAnsi="仿宋" w:eastAsia="仿宋" w:cs="仿宋"/>
          <w:sz w:val="32"/>
          <w:szCs w:val="32"/>
          <w:highlight w:val="none"/>
          <w:lang w:val="en-US" w:eastAsia="zh-CN"/>
        </w:rPr>
        <w:t>开展</w:t>
      </w:r>
      <w:r>
        <w:rPr>
          <w:rFonts w:hint="default" w:ascii="仿宋" w:hAnsi="仿宋" w:eastAsia="仿宋" w:cs="仿宋"/>
          <w:sz w:val="32"/>
          <w:szCs w:val="32"/>
          <w:highlight w:val="none"/>
          <w:lang w:val="en-US" w:eastAsia="zh-CN"/>
        </w:rPr>
        <w:t>，常态化完成数据质量治理与资源动态更新。衔接市级“政府监管+国企运营+市场参与”协同运行模式，落实属地管理职责，严守数据安全底线，实现公共数据归集、授权、应用、回流全流程闭环安全管控，有序推动县域公共数据合规高效开发利用。</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2A84E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44AD81FC">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3</w:t>
            </w:r>
            <w:r>
              <w:rPr>
                <w:rFonts w:hint="eastAsia" w:ascii="黑体" w:eastAsia="黑体"/>
                <w:sz w:val="28"/>
                <w:highlight w:val="none"/>
              </w:rPr>
              <w:t>：</w:t>
            </w:r>
            <w:r>
              <w:rPr>
                <w:rFonts w:hint="eastAsia" w:ascii="黑体" w:eastAsia="黑体"/>
                <w:sz w:val="28"/>
                <w:highlight w:val="none"/>
                <w:lang w:val="en-US"/>
              </w:rPr>
              <w:t>数据授权运营试点工程</w:t>
            </w:r>
          </w:p>
        </w:tc>
      </w:tr>
      <w:tr w14:paraId="2125F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39A1A1F4">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全域数据资源摸排治理</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lang w:val="en-US" w:eastAsia="zh-CN"/>
              </w:rPr>
              <w:t>积极开展全县政务及公共领域数据全面清查、梳理登记工作，依规有序推进数据标准化分类分级管理。统筹编制县域统一规范的公共数据资源目录，探索建立常态化动态更新、长效运维管理机制，持续夯实公共数据规范管理、共享流通、授权运营的工作基础。</w:t>
            </w:r>
          </w:p>
          <w:p w14:paraId="2F6E36D1">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完善运营管理机制</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明确职能分工架构。</w:t>
            </w:r>
            <w:r>
              <w:rPr>
                <w:rFonts w:hint="eastAsia" w:ascii="仿宋_GB2312" w:hAnsi="仿宋" w:eastAsia="仿宋_GB2312" w:cs="Calibri"/>
                <w:kern w:val="0"/>
                <w:sz w:val="28"/>
                <w:szCs w:val="28"/>
                <w:highlight w:val="none"/>
                <w:lang w:val="en-US" w:eastAsia="zh-CN"/>
              </w:rPr>
              <w:t>探索数据授权运营路径，</w:t>
            </w:r>
            <w:r>
              <w:rPr>
                <w:rFonts w:hint="eastAsia" w:ascii="仿宋_GB2312" w:hAnsi="仿宋" w:eastAsia="仿宋_GB2312" w:cs="Calibri"/>
                <w:kern w:val="0"/>
                <w:sz w:val="28"/>
                <w:szCs w:val="28"/>
                <w:highlight w:val="none"/>
              </w:rPr>
              <w:t>由县数据局牵头统筹全县数据安全监管、授权审批与制度落地工作；</w:t>
            </w:r>
            <w:r>
              <w:rPr>
                <w:rFonts w:hint="eastAsia" w:ascii="仿宋_GB2312" w:hAnsi="仿宋" w:eastAsia="仿宋_GB2312" w:cs="Calibri"/>
                <w:kern w:val="0"/>
                <w:sz w:val="28"/>
                <w:szCs w:val="28"/>
                <w:highlight w:val="none"/>
                <w:lang w:val="en-US" w:eastAsia="zh-CN"/>
              </w:rPr>
              <w:t>按照《淮北市公共数据资源授权运营实施方案》要求，</w:t>
            </w:r>
            <w:r>
              <w:rPr>
                <w:rFonts w:hint="eastAsia" w:ascii="仿宋_GB2312" w:hAnsi="仿宋" w:eastAsia="仿宋_GB2312" w:cs="Calibri"/>
                <w:kern w:val="0"/>
                <w:sz w:val="28"/>
                <w:szCs w:val="28"/>
                <w:highlight w:val="none"/>
              </w:rPr>
              <w:t>开展</w:t>
            </w:r>
            <w:r>
              <w:rPr>
                <w:rFonts w:hint="eastAsia" w:ascii="仿宋_GB2312" w:hAnsi="仿宋" w:eastAsia="仿宋_GB2312" w:cs="Calibri"/>
                <w:kern w:val="0"/>
                <w:sz w:val="28"/>
                <w:szCs w:val="28"/>
                <w:highlight w:val="none"/>
                <w:lang w:val="en-US" w:eastAsia="zh-CN"/>
              </w:rPr>
              <w:t>县区</w:t>
            </w:r>
            <w:r>
              <w:rPr>
                <w:rFonts w:hint="eastAsia" w:ascii="仿宋_GB2312" w:hAnsi="仿宋" w:eastAsia="仿宋_GB2312" w:cs="Calibri"/>
                <w:kern w:val="0"/>
                <w:sz w:val="28"/>
                <w:szCs w:val="28"/>
                <w:highlight w:val="none"/>
              </w:rPr>
              <w:t>数据加工、产品研发与市场化服务。</w:t>
            </w:r>
          </w:p>
          <w:p w14:paraId="51BE9EDC">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lang w:val="en-US" w:eastAsia="zh-CN"/>
              </w:rPr>
              <w:t>探索</w:t>
            </w:r>
            <w:r>
              <w:rPr>
                <w:rFonts w:hint="eastAsia" w:ascii="仿宋_GB2312" w:hAnsi="仿宋" w:eastAsia="仿宋_GB2312" w:cs="Calibri"/>
                <w:kern w:val="0"/>
                <w:sz w:val="28"/>
                <w:szCs w:val="28"/>
                <w:highlight w:val="none"/>
              </w:rPr>
              <w:t>多元协同运营模式</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固化“政府监管+国企运营+市场参与”工作机制，厘清监管边界、运营权责与市场合作范围，形成权责清晰、分工协同的运行体系。</w:t>
            </w:r>
          </w:p>
          <w:p w14:paraId="7556D0B9">
            <w:pPr>
              <w:spacing w:line="460" w:lineRule="exact"/>
              <w:ind w:firstLine="560" w:firstLineChars="200"/>
              <w:rPr>
                <w:rFonts w:ascii="黑体" w:eastAsia="黑体"/>
                <w:sz w:val="28"/>
                <w:highlight w:val="none"/>
              </w:rPr>
            </w:pPr>
            <w:r>
              <w:rPr>
                <w:rFonts w:hint="eastAsia" w:ascii="仿宋_GB2312" w:hAnsi="仿宋" w:eastAsia="仿宋_GB2312" w:cs="Calibri"/>
                <w:kern w:val="0"/>
                <w:sz w:val="28"/>
                <w:szCs w:val="28"/>
                <w:highlight w:val="none"/>
              </w:rPr>
              <w:t>筑牢全流程安全防护防线</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严格执行“原始数据不出域、数据可用不可见”管理要求，搭建数据脱敏、加密、溯源管控体系，对数据采集、治理、使用、共享全环节实施安全监测与审计管控。</w:t>
            </w:r>
          </w:p>
        </w:tc>
      </w:tr>
    </w:tbl>
    <w:p w14:paraId="58B7A813">
      <w:pPr>
        <w:pStyle w:val="15"/>
        <w:rPr>
          <w:rFonts w:hint="default"/>
          <w:highlight w:val="none"/>
          <w:lang w:val="en-US" w:eastAsia="zh-CN"/>
        </w:rPr>
      </w:pPr>
    </w:p>
    <w:p w14:paraId="7F24B476">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85" w:name="_Toc24340"/>
      <w:bookmarkStart w:id="86" w:name="_Toc29009"/>
      <w:r>
        <w:rPr>
          <w:rFonts w:hint="default" w:ascii="仿宋" w:hAnsi="仿宋" w:eastAsia="仿宋" w:cs="仿宋"/>
          <w:b/>
          <w:bCs/>
          <w:sz w:val="32"/>
          <w:szCs w:val="32"/>
          <w:highlight w:val="none"/>
          <w:lang w:val="en-US" w:eastAsia="zh-CN"/>
        </w:rPr>
        <w:t>构建数据安全运营体系</w:t>
      </w:r>
      <w:bookmarkEnd w:id="85"/>
      <w:bookmarkEnd w:id="86"/>
    </w:p>
    <w:p w14:paraId="6D34BAA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秉持“安全护航运营、规范赋能发展”的工作原则，探索搭建覆盖数据采集、存储、传输、使用、销毁全生命周期的安全运营防护体系。进一步明晰权责分工，明确数据安全运营主体责任，压实各数据归集部门源头安全管理职责，构建各司其职、协同联动的安全责任格局。探索建立安全评估机制保障数据运营全流程规范合规、安全可控，切实筑牢个人隐私、商业秘密与公共数据安全屏障。</w:t>
      </w:r>
    </w:p>
    <w:p w14:paraId="19F10A28">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87" w:name="_Toc24996"/>
      <w:bookmarkStart w:id="88" w:name="_Toc4389"/>
      <w:r>
        <w:rPr>
          <w:rFonts w:hint="eastAsia" w:ascii="黑体" w:hAnsi="黑体" w:eastAsia="黑体" w:cs="黑体"/>
          <w:sz w:val="32"/>
          <w:szCs w:val="32"/>
          <w:highlight w:val="none"/>
        </w:rPr>
        <w:t>数字治理赋能工程：提升社会治理现代化水平</w:t>
      </w:r>
      <w:bookmarkEnd w:id="87"/>
      <w:bookmarkEnd w:id="88"/>
    </w:p>
    <w:p w14:paraId="1AFA62E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依托大数据、云计算、区块链、人工智能等前沿数字技术赋能，持续推动新型社会治理模式迭代创新，助力治理手段、管理模式、治理理念全方位转型升级。统筹推进数字城管、基层网格化治理、应急处置管理等重点领域数字化、智能化改造升级，打通各领域治理数据链路、整合治理资源、重塑业务流程，全面构建信息化支撑、数字化运行、智慧化赋能的现代社会治理体系。</w:t>
      </w:r>
    </w:p>
    <w:p w14:paraId="3D6E5E30">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89" w:name="_Toc15255"/>
      <w:bookmarkStart w:id="90" w:name="_Toc21253"/>
      <w:r>
        <w:rPr>
          <w:rFonts w:hint="eastAsia" w:ascii="仿宋" w:hAnsi="仿宋" w:eastAsia="仿宋" w:cs="仿宋"/>
          <w:b/>
          <w:bCs/>
          <w:sz w:val="32"/>
          <w:szCs w:val="32"/>
          <w:highlight w:val="none"/>
          <w:lang w:val="en-US" w:eastAsia="zh-CN"/>
        </w:rPr>
        <w:t>提升社会数字化治理能力</w:t>
      </w:r>
      <w:bookmarkEnd w:id="89"/>
      <w:bookmarkEnd w:id="90"/>
    </w:p>
    <w:p w14:paraId="7DFD8AEF">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依托数字化城管平台，迭代完善硬件、数据、技术支撑体系，搭建云边端一体化数字底座，夯实智慧城管软硬件保障。升级城管指挥大厅、机房、视频监控等设施，增设高清探头与智能感知终端，实现城区重点区域全域智能监测。强化平台技术运维，迭代系统功能，优化指挥调度、空地联动、融合通信模块，提升问题预判、快速处置闭环能力。全面推广国产化技术应用，筑牢平台安全运行防线，持续推动城市管理精细化、智慧化提质增效。</w:t>
      </w:r>
    </w:p>
    <w:p w14:paraId="02845F96">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91" w:name="_Toc22105"/>
      <w:bookmarkStart w:id="92" w:name="_Toc31557"/>
      <w:r>
        <w:rPr>
          <w:rFonts w:hint="eastAsia" w:ascii="仿宋" w:hAnsi="仿宋" w:eastAsia="仿宋" w:cs="仿宋"/>
          <w:b/>
          <w:bCs/>
          <w:sz w:val="32"/>
          <w:szCs w:val="32"/>
          <w:highlight w:val="none"/>
          <w:lang w:val="en-US" w:eastAsia="zh-CN"/>
        </w:rPr>
        <w:t>加快</w:t>
      </w:r>
      <w:r>
        <w:rPr>
          <w:rFonts w:hint="default" w:ascii="仿宋" w:hAnsi="仿宋" w:eastAsia="仿宋" w:cs="仿宋"/>
          <w:b/>
          <w:bCs/>
          <w:sz w:val="32"/>
          <w:szCs w:val="32"/>
          <w:highlight w:val="none"/>
          <w:lang w:val="en-US" w:eastAsia="zh-CN"/>
        </w:rPr>
        <w:t>教育数字化转型</w:t>
      </w:r>
      <w:r>
        <w:rPr>
          <w:rFonts w:hint="eastAsia" w:ascii="仿宋" w:hAnsi="仿宋" w:eastAsia="仿宋" w:cs="仿宋"/>
          <w:b/>
          <w:bCs/>
          <w:sz w:val="32"/>
          <w:szCs w:val="32"/>
          <w:highlight w:val="none"/>
          <w:lang w:val="en-US" w:eastAsia="zh-CN"/>
        </w:rPr>
        <w:t>速度</w:t>
      </w:r>
      <w:bookmarkEnd w:id="91"/>
      <w:bookmarkEnd w:id="92"/>
    </w:p>
    <w:p w14:paraId="35BD480B">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推进人工智能创新实验室建设，更新升级中学科创实验设备，夯实科创教育硬件底座。加快教育数字基建与特色场景打造，以信息技术赋能教育治理、课堂教学、校园管理全流程，革新教学理念与授课模式。</w:t>
      </w:r>
    </w:p>
    <w:p w14:paraId="1E6E8BD6">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升级中小学校园网络，扩容带宽、优化运行环境，保障数字化教学、线上教研平稳开展。统筹建设智慧教室、AI实验室、虚拟仿真实训室，探索数字孪生学校建设路径，丰富智慧教育示范场景，推进构建数字化、智能化现代教育体系，助推县域教育高质量发展。</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124F5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6EFD0C30">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4</w:t>
            </w:r>
            <w:r>
              <w:rPr>
                <w:rFonts w:hint="eastAsia" w:ascii="黑体" w:eastAsia="黑体"/>
                <w:sz w:val="28"/>
                <w:highlight w:val="none"/>
              </w:rPr>
              <w:t>：</w:t>
            </w:r>
            <w:r>
              <w:rPr>
                <w:rFonts w:hint="eastAsia" w:ascii="黑体" w:eastAsia="黑体"/>
                <w:sz w:val="28"/>
                <w:highlight w:val="none"/>
                <w:lang w:val="en-US" w:eastAsia="zh-CN"/>
              </w:rPr>
              <w:t>教育数字化转型</w:t>
            </w:r>
            <w:r>
              <w:rPr>
                <w:rFonts w:hint="eastAsia" w:ascii="黑体" w:eastAsia="黑体"/>
                <w:sz w:val="28"/>
                <w:highlight w:val="none"/>
                <w:lang w:val="en-US"/>
              </w:rPr>
              <w:t>计划</w:t>
            </w:r>
          </w:p>
        </w:tc>
      </w:tr>
      <w:tr w14:paraId="6D991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3BABF6AB">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推进校园数字化基础设施提档升级，夯实智慧教育发展根基。稳步实施中小学校园网络基础设施改造工程，优化校园网络整体布局，扩容升级宽带网络带宽，实现校园网络全域覆盖、无缝衔接、稳定畅通，全面保障常态化数字教学、线上教研、智慧办公等各类教育教学活动有序开展。</w:t>
            </w:r>
          </w:p>
          <w:p w14:paraId="741D5394">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大力推进智慧教学场景建设，为中小学配齐智能教学终端、互动智慧黑板、一体化多媒体教学设备，搭建线上线下深度融合的现代化教学场景，持续创新课堂教学模式，丰富多元化教学载体。</w:t>
            </w:r>
          </w:p>
          <w:p w14:paraId="05B4A993">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布局人工智能创新实验室建设，配齐人工智能教学设备、编程实训器材等配套设施，常态化开展人工智能科普、编程实操教学等特色育人活动，着力培育中小学生创新思维、实践能力与综合数字素养，全方位助力县域教育数字化转型与育人质量提质升级。</w:t>
            </w:r>
          </w:p>
        </w:tc>
      </w:tr>
    </w:tbl>
    <w:p w14:paraId="4E566119">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3" w:name="_Toc783"/>
      <w:r>
        <w:rPr>
          <w:rFonts w:hint="eastAsia" w:ascii="仿宋" w:hAnsi="仿宋" w:eastAsia="仿宋" w:cs="仿宋"/>
          <w:b/>
          <w:bCs/>
          <w:sz w:val="32"/>
          <w:szCs w:val="32"/>
          <w:highlight w:val="none"/>
          <w:lang w:val="en-US" w:eastAsia="zh-CN"/>
        </w:rPr>
        <w:t>构建智慧物流场景</w:t>
      </w:r>
      <w:bookmarkEnd w:id="93"/>
    </w:p>
    <w:p w14:paraId="6AC407A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立足我县物流产业发展现状与实际需求，统筹推进县域统一智慧物流信息平台建设，整合仓储运输、货运车辆、供需货源等各类物流数据资源，打通行业、企业间的信息孤岛与数据壁垒。依托数字化平台实现物流运力智能调度、货物全程溯源、供需精准匹配的数字化闭环管控，持续优化物流运输流程、提升资源配置效率。充分发挥数字技术赋能作用，有效降低企业物流运营成本、提升行业整体服务效能，不断完善县域智慧物流服务体系，夯实区域现代物流产业高质量发展的数字化根基，助力县域商贸流通与实体经济协同提质发展。</w:t>
      </w:r>
    </w:p>
    <w:p w14:paraId="0F27DC01">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94" w:name="_Toc12290"/>
      <w:bookmarkStart w:id="95" w:name="_Toc18688"/>
      <w:r>
        <w:rPr>
          <w:rFonts w:hint="eastAsia" w:ascii="黑体" w:hAnsi="黑体" w:eastAsia="黑体" w:cs="黑体"/>
          <w:sz w:val="32"/>
          <w:szCs w:val="32"/>
          <w:highlight w:val="none"/>
        </w:rPr>
        <w:t>数字素养强基工程：强化人才支撑保障</w:t>
      </w:r>
      <w:bookmarkEnd w:id="94"/>
      <w:bookmarkEnd w:id="95"/>
    </w:p>
    <w:p w14:paraId="5AC2CABC">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依托数字濉溪研究院智库支撑，围绕政务服务、数字经济、智慧治理领域常态化开展数字素养提升系列活动。搭建数字领域交流协作平台，打通干部、专家、企业负责人沟通渠道，深化多方交流合作。持续培育干部群众数字思维、认知与实操技能，提升干部数字化履职水平和全民数字综合素养，建强数字濉溪人才梯队，为全县数字化转型高质量发展提供充足人才储备与智力支撑。</w:t>
      </w:r>
    </w:p>
    <w:p w14:paraId="48F96CD3">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6" w:name="_Toc624"/>
      <w:r>
        <w:rPr>
          <w:rFonts w:hint="eastAsia" w:ascii="仿宋" w:hAnsi="仿宋" w:eastAsia="仿宋" w:cs="仿宋"/>
          <w:b/>
          <w:bCs/>
          <w:sz w:val="32"/>
          <w:szCs w:val="32"/>
          <w:highlight w:val="none"/>
          <w:lang w:val="en-US" w:eastAsia="zh-CN"/>
        </w:rPr>
        <w:t>建立公共实训基地</w:t>
      </w:r>
      <w:bookmarkEnd w:id="96"/>
    </w:p>
    <w:p w14:paraId="17D9494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加快</w:t>
      </w:r>
      <w:r>
        <w:rPr>
          <w:rFonts w:hint="eastAsia" w:ascii="仿宋" w:hAnsi="仿宋" w:eastAsia="仿宋" w:cs="仿宋"/>
          <w:sz w:val="32"/>
          <w:szCs w:val="32"/>
          <w:highlight w:val="none"/>
          <w:lang w:val="en-US" w:eastAsia="zh-CN"/>
        </w:rPr>
        <w:t>推进</w:t>
      </w:r>
      <w:r>
        <w:rPr>
          <w:rFonts w:hint="eastAsia" w:ascii="仿宋" w:hAnsi="仿宋" w:eastAsia="仿宋" w:cs="仿宋"/>
          <w:sz w:val="32"/>
          <w:szCs w:val="32"/>
          <w:highlight w:val="none"/>
        </w:rPr>
        <w:t>濉溪县公共实训基地新建及提质升级，统筹建设场地用房、后勤配套、安防消防等附属设施，同步精准购置适配产业需求的专业实训设备、实操仪器，构建设施完善、设备先进、配套齐全的公共实训体系，为县域技能人才培养、职业技能培训提供坚实硬件支撑。</w:t>
      </w:r>
    </w:p>
    <w:p w14:paraId="4D6FC775">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7" w:name="_Toc2759"/>
      <w:r>
        <w:rPr>
          <w:rFonts w:hint="eastAsia" w:ascii="仿宋" w:hAnsi="仿宋" w:eastAsia="仿宋" w:cs="仿宋"/>
          <w:b/>
          <w:bCs/>
          <w:sz w:val="32"/>
          <w:szCs w:val="32"/>
          <w:highlight w:val="none"/>
          <w:lang w:val="en-US" w:eastAsia="zh-CN"/>
        </w:rPr>
        <w:t>构建人力资源服务产业园</w:t>
      </w:r>
      <w:bookmarkEnd w:id="97"/>
    </w:p>
    <w:p w14:paraId="2338B1F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运用大数据、人工智能等技术进行产品创新，支持发展“互联网+”人力资源服务、人力资源信息共享平台等。重点围绕促进我县人才开发与就业，鼓励园区内机构开展职业技能培训，特别是“人工智能+”等前沿领域的培训，在园区内设置人力资源公共服务窗口，提供就业、社保、人才等“一站式”服务，推动园区与高校、科研机构、重点企业合作，搭建产教融合平台，促进人力资源服务与实体经济深度融合</w:t>
      </w:r>
      <w:r>
        <w:rPr>
          <w:rFonts w:hint="eastAsia" w:ascii="仿宋" w:hAnsi="仿宋" w:eastAsia="仿宋" w:cs="仿宋"/>
          <w:sz w:val="32"/>
          <w:szCs w:val="32"/>
          <w:highlight w:val="none"/>
          <w:lang w:eastAsia="zh-CN"/>
        </w:rPr>
        <w:t>。</w:t>
      </w:r>
    </w:p>
    <w:p w14:paraId="28ABF3F8">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8" w:name="_Toc32261"/>
      <w:bookmarkStart w:id="99" w:name="_Toc4221"/>
      <w:r>
        <w:rPr>
          <w:rFonts w:hint="eastAsia" w:ascii="仿宋" w:hAnsi="仿宋" w:eastAsia="仿宋" w:cs="仿宋"/>
          <w:b/>
          <w:bCs/>
          <w:sz w:val="32"/>
          <w:szCs w:val="32"/>
          <w:highlight w:val="none"/>
          <w:lang w:val="en-US" w:eastAsia="zh-CN"/>
        </w:rPr>
        <w:t>深化产教融合人才培育</w:t>
      </w:r>
      <w:bookmarkEnd w:id="98"/>
      <w:bookmarkEnd w:id="99"/>
    </w:p>
    <w:p w14:paraId="411568B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举办数字经济专题专家讲座、数字濉溪建设公益沙龙等多元化交流赋能活动，邀约国内数字经济领域知名专家学者、行业领军企业家莅临我县授课分享、交流研讨。聚焦数字产业发展前沿动态，系统解读行业发展新理念、新模式、新趋势，推广先进地区数字化建设的成熟思路与成功实践经验，以高端智力赋能县域数字化转型，持续营造共建共享的数字濉溪建设浓厚氛围。</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0076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6B4F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86B4F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D3685">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5B9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55B9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AA8D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8E6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C68E6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E8164"/>
    <w:multiLevelType w:val="singleLevel"/>
    <w:tmpl w:val="931E8164"/>
    <w:lvl w:ilvl="0" w:tentative="0">
      <w:start w:val="1"/>
      <w:numFmt w:val="chineseCounting"/>
      <w:suff w:val="nothing"/>
      <w:lvlText w:val="（%1）"/>
      <w:lvlJc w:val="left"/>
      <w:pPr>
        <w:ind w:left="0" w:firstLine="420"/>
      </w:pPr>
      <w:rPr>
        <w:rFonts w:hint="eastAsia"/>
      </w:rPr>
    </w:lvl>
  </w:abstractNum>
  <w:abstractNum w:abstractNumId="1">
    <w:nsid w:val="C5DD5FBE"/>
    <w:multiLevelType w:val="singleLevel"/>
    <w:tmpl w:val="C5DD5FBE"/>
    <w:lvl w:ilvl="0" w:tentative="0">
      <w:start w:val="1"/>
      <w:numFmt w:val="chineseCounting"/>
      <w:suff w:val="nothing"/>
      <w:lvlText w:val="（%1）"/>
      <w:lvlJc w:val="left"/>
      <w:pPr>
        <w:ind w:left="0" w:firstLine="420"/>
      </w:pPr>
      <w:rPr>
        <w:rFonts w:hint="eastAsia"/>
      </w:rPr>
    </w:lvl>
  </w:abstractNum>
  <w:abstractNum w:abstractNumId="2">
    <w:nsid w:val="CE49B2DC"/>
    <w:multiLevelType w:val="singleLevel"/>
    <w:tmpl w:val="CE49B2DC"/>
    <w:lvl w:ilvl="0" w:tentative="0">
      <w:start w:val="1"/>
      <w:numFmt w:val="chineseCounting"/>
      <w:suff w:val="nothing"/>
      <w:lvlText w:val="（%1）"/>
      <w:lvlJc w:val="left"/>
      <w:pPr>
        <w:ind w:left="0" w:firstLine="420"/>
      </w:pPr>
      <w:rPr>
        <w:rFonts w:hint="eastAsia"/>
      </w:rPr>
    </w:lvl>
  </w:abstractNum>
  <w:abstractNum w:abstractNumId="3">
    <w:nsid w:val="D38A8258"/>
    <w:multiLevelType w:val="singleLevel"/>
    <w:tmpl w:val="D38A8258"/>
    <w:lvl w:ilvl="0" w:tentative="0">
      <w:start w:val="1"/>
      <w:numFmt w:val="chineseCounting"/>
      <w:suff w:val="nothing"/>
      <w:lvlText w:val="（%1）"/>
      <w:lvlJc w:val="left"/>
      <w:pPr>
        <w:ind w:left="0" w:firstLine="420"/>
      </w:pPr>
      <w:rPr>
        <w:rFonts w:hint="eastAsia"/>
      </w:rPr>
    </w:lvl>
  </w:abstractNum>
  <w:abstractNum w:abstractNumId="4">
    <w:nsid w:val="E3FC1ED3"/>
    <w:multiLevelType w:val="singleLevel"/>
    <w:tmpl w:val="E3FC1ED3"/>
    <w:lvl w:ilvl="0" w:tentative="0">
      <w:start w:val="1"/>
      <w:numFmt w:val="chineseCounting"/>
      <w:suff w:val="nothing"/>
      <w:lvlText w:val="（%1）"/>
      <w:lvlJc w:val="left"/>
      <w:pPr>
        <w:ind w:left="0" w:firstLine="420"/>
      </w:pPr>
      <w:rPr>
        <w:rFonts w:hint="eastAsia"/>
      </w:rPr>
    </w:lvl>
  </w:abstractNum>
  <w:abstractNum w:abstractNumId="5">
    <w:nsid w:val="16977F2B"/>
    <w:multiLevelType w:val="singleLevel"/>
    <w:tmpl w:val="16977F2B"/>
    <w:lvl w:ilvl="0" w:tentative="0">
      <w:start w:val="1"/>
      <w:numFmt w:val="chineseCounting"/>
      <w:suff w:val="nothing"/>
      <w:lvlText w:val="%1、"/>
      <w:lvlJc w:val="left"/>
      <w:pPr>
        <w:tabs>
          <w:tab w:val="left" w:pos="0"/>
        </w:tabs>
        <w:ind w:left="0"/>
      </w:pPr>
      <w:rPr>
        <w:rFonts w:hint="eastAsia"/>
      </w:rPr>
    </w:lvl>
  </w:abstractNum>
  <w:abstractNum w:abstractNumId="6">
    <w:nsid w:val="55466FBF"/>
    <w:multiLevelType w:val="singleLevel"/>
    <w:tmpl w:val="55466FBF"/>
    <w:lvl w:ilvl="0" w:tentative="0">
      <w:start w:val="1"/>
      <w:numFmt w:val="chineseCounting"/>
      <w:suff w:val="nothing"/>
      <w:lvlText w:val="（%1）"/>
      <w:lvlJc w:val="left"/>
      <w:pPr>
        <w:ind w:left="0" w:firstLine="420"/>
      </w:pPr>
      <w:rPr>
        <w:rFonts w:hint="eastAsia"/>
      </w:rPr>
    </w:lvl>
  </w:abstractNum>
  <w:abstractNum w:abstractNumId="7">
    <w:nsid w:val="6BE9C213"/>
    <w:multiLevelType w:val="singleLevel"/>
    <w:tmpl w:val="6BE9C213"/>
    <w:lvl w:ilvl="0" w:tentative="0">
      <w:start w:val="1"/>
      <w:numFmt w:val="chineseCounting"/>
      <w:suff w:val="nothing"/>
      <w:lvlText w:val="（%1）"/>
      <w:lvlJc w:val="left"/>
      <w:pPr>
        <w:ind w:left="0" w:firstLine="420"/>
      </w:pPr>
      <w:rPr>
        <w:rFonts w:hint="eastAsia"/>
      </w:rPr>
    </w:lvl>
  </w:abstractNum>
  <w:abstractNum w:abstractNumId="8">
    <w:nsid w:val="6F795717"/>
    <w:multiLevelType w:val="singleLevel"/>
    <w:tmpl w:val="6F795717"/>
    <w:lvl w:ilvl="0" w:tentative="0">
      <w:start w:val="1"/>
      <w:numFmt w:val="chineseCounting"/>
      <w:suff w:val="nothing"/>
      <w:lvlText w:val="（%1）"/>
      <w:lvlJc w:val="left"/>
      <w:pPr>
        <w:ind w:left="0" w:firstLine="420"/>
      </w:pPr>
      <w:rPr>
        <w:rFonts w:hint="eastAsia"/>
      </w:rPr>
    </w:lvl>
  </w:abstractNum>
  <w:num w:numId="1">
    <w:abstractNumId w:val="5"/>
  </w:num>
  <w:num w:numId="2">
    <w:abstractNumId w:val="2"/>
  </w:num>
  <w:num w:numId="3">
    <w:abstractNumId w:val="4"/>
  </w:num>
  <w:num w:numId="4">
    <w:abstractNumId w:val="7"/>
  </w:num>
  <w:num w:numId="5">
    <w:abstractNumId w:val="1"/>
  </w:num>
  <w:num w:numId="6">
    <w:abstractNumId w:val="6"/>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2MmJkYTM1YTRlM2RiMDBiYTBjOWZjYjI0MzVhMWEifQ=="/>
  </w:docVars>
  <w:rsids>
    <w:rsidRoot w:val="00000000"/>
    <w:rsid w:val="0007018B"/>
    <w:rsid w:val="001C048E"/>
    <w:rsid w:val="00246B79"/>
    <w:rsid w:val="00A34580"/>
    <w:rsid w:val="00D00A9B"/>
    <w:rsid w:val="00E61C34"/>
    <w:rsid w:val="00EB2DED"/>
    <w:rsid w:val="01466945"/>
    <w:rsid w:val="01A208A3"/>
    <w:rsid w:val="02173555"/>
    <w:rsid w:val="0263311F"/>
    <w:rsid w:val="027B5B41"/>
    <w:rsid w:val="028A00B9"/>
    <w:rsid w:val="02A00876"/>
    <w:rsid w:val="033E3739"/>
    <w:rsid w:val="03412EFF"/>
    <w:rsid w:val="03936CB9"/>
    <w:rsid w:val="03AF33C7"/>
    <w:rsid w:val="03D11DDE"/>
    <w:rsid w:val="03F52913"/>
    <w:rsid w:val="03FC0956"/>
    <w:rsid w:val="04014008"/>
    <w:rsid w:val="044516F7"/>
    <w:rsid w:val="0449381C"/>
    <w:rsid w:val="049B2F10"/>
    <w:rsid w:val="04FD0162"/>
    <w:rsid w:val="0507270C"/>
    <w:rsid w:val="054C55C2"/>
    <w:rsid w:val="05A54A82"/>
    <w:rsid w:val="06450013"/>
    <w:rsid w:val="06504448"/>
    <w:rsid w:val="06E51DAE"/>
    <w:rsid w:val="072639A0"/>
    <w:rsid w:val="07A145C6"/>
    <w:rsid w:val="084A126E"/>
    <w:rsid w:val="08651D66"/>
    <w:rsid w:val="08BE0A89"/>
    <w:rsid w:val="08EB6C4F"/>
    <w:rsid w:val="09063F33"/>
    <w:rsid w:val="09CF4E08"/>
    <w:rsid w:val="09EB0ED1"/>
    <w:rsid w:val="09F23C97"/>
    <w:rsid w:val="0A3463D4"/>
    <w:rsid w:val="0A602CFE"/>
    <w:rsid w:val="0AA37299"/>
    <w:rsid w:val="0AB47515"/>
    <w:rsid w:val="0AE212ED"/>
    <w:rsid w:val="0AFF2F19"/>
    <w:rsid w:val="0B3926E3"/>
    <w:rsid w:val="0B461EAC"/>
    <w:rsid w:val="0B594944"/>
    <w:rsid w:val="0B736F09"/>
    <w:rsid w:val="0B8E7D66"/>
    <w:rsid w:val="0BA42B59"/>
    <w:rsid w:val="0C0C6516"/>
    <w:rsid w:val="0C2F0489"/>
    <w:rsid w:val="0C322DE7"/>
    <w:rsid w:val="0C364685"/>
    <w:rsid w:val="0C492F04"/>
    <w:rsid w:val="0C78067D"/>
    <w:rsid w:val="0C874EE1"/>
    <w:rsid w:val="0C9D2956"/>
    <w:rsid w:val="0CD6408A"/>
    <w:rsid w:val="0D323698"/>
    <w:rsid w:val="0D38497D"/>
    <w:rsid w:val="0D6B6E48"/>
    <w:rsid w:val="0D7D3027"/>
    <w:rsid w:val="0D8378A7"/>
    <w:rsid w:val="0D9F4D92"/>
    <w:rsid w:val="0DEA4012"/>
    <w:rsid w:val="0DEB76F2"/>
    <w:rsid w:val="0DFC545B"/>
    <w:rsid w:val="0E171500"/>
    <w:rsid w:val="0E195741"/>
    <w:rsid w:val="0E1B0E31"/>
    <w:rsid w:val="0E503B1E"/>
    <w:rsid w:val="0ED570D1"/>
    <w:rsid w:val="0FBC741A"/>
    <w:rsid w:val="100225CF"/>
    <w:rsid w:val="1008220F"/>
    <w:rsid w:val="107C4FE0"/>
    <w:rsid w:val="10857BC5"/>
    <w:rsid w:val="10AF2C58"/>
    <w:rsid w:val="113539D8"/>
    <w:rsid w:val="11367DC2"/>
    <w:rsid w:val="114A0BD3"/>
    <w:rsid w:val="11F42E43"/>
    <w:rsid w:val="12144D73"/>
    <w:rsid w:val="122A7E43"/>
    <w:rsid w:val="129475EE"/>
    <w:rsid w:val="12E93266"/>
    <w:rsid w:val="13447E3C"/>
    <w:rsid w:val="13C71915"/>
    <w:rsid w:val="14582500"/>
    <w:rsid w:val="14832432"/>
    <w:rsid w:val="14847F58"/>
    <w:rsid w:val="14D96405"/>
    <w:rsid w:val="14DB1A76"/>
    <w:rsid w:val="14ED1D03"/>
    <w:rsid w:val="153D1771"/>
    <w:rsid w:val="15455C66"/>
    <w:rsid w:val="156127D3"/>
    <w:rsid w:val="15712E05"/>
    <w:rsid w:val="15E464B6"/>
    <w:rsid w:val="15F43E4C"/>
    <w:rsid w:val="1651030E"/>
    <w:rsid w:val="166444E5"/>
    <w:rsid w:val="16695603"/>
    <w:rsid w:val="1673337D"/>
    <w:rsid w:val="16767C8B"/>
    <w:rsid w:val="16A56C2E"/>
    <w:rsid w:val="16AE1A4E"/>
    <w:rsid w:val="16F36AE8"/>
    <w:rsid w:val="173672BA"/>
    <w:rsid w:val="17AA4179"/>
    <w:rsid w:val="17D80F1A"/>
    <w:rsid w:val="17E264C5"/>
    <w:rsid w:val="180C5D0A"/>
    <w:rsid w:val="18914EC5"/>
    <w:rsid w:val="18D23988"/>
    <w:rsid w:val="18FA2DD9"/>
    <w:rsid w:val="19221960"/>
    <w:rsid w:val="19401195"/>
    <w:rsid w:val="19442173"/>
    <w:rsid w:val="196C18FF"/>
    <w:rsid w:val="19DA1208"/>
    <w:rsid w:val="1A013196"/>
    <w:rsid w:val="1A2419F2"/>
    <w:rsid w:val="1A2C70C8"/>
    <w:rsid w:val="1A2F3940"/>
    <w:rsid w:val="1A3413A4"/>
    <w:rsid w:val="1A46021B"/>
    <w:rsid w:val="1A580283"/>
    <w:rsid w:val="1A7A6085"/>
    <w:rsid w:val="1A870AAC"/>
    <w:rsid w:val="1AEB5268"/>
    <w:rsid w:val="1AEB6F83"/>
    <w:rsid w:val="1B09676D"/>
    <w:rsid w:val="1B210453"/>
    <w:rsid w:val="1B252495"/>
    <w:rsid w:val="1B4B3D8A"/>
    <w:rsid w:val="1B625693"/>
    <w:rsid w:val="1B66485B"/>
    <w:rsid w:val="1BD57755"/>
    <w:rsid w:val="1BD87507"/>
    <w:rsid w:val="1C04340F"/>
    <w:rsid w:val="1C103880"/>
    <w:rsid w:val="1C256A3B"/>
    <w:rsid w:val="1CA002DA"/>
    <w:rsid w:val="1CD83537"/>
    <w:rsid w:val="1CEA61D3"/>
    <w:rsid w:val="1CF243B3"/>
    <w:rsid w:val="1CFB3E96"/>
    <w:rsid w:val="1D9531D6"/>
    <w:rsid w:val="1DD04742"/>
    <w:rsid w:val="1DEB0DFF"/>
    <w:rsid w:val="1E5227C6"/>
    <w:rsid w:val="1E6E0C29"/>
    <w:rsid w:val="1E8703FF"/>
    <w:rsid w:val="1E875215"/>
    <w:rsid w:val="1E8D74DD"/>
    <w:rsid w:val="1E94052B"/>
    <w:rsid w:val="1ED11D4E"/>
    <w:rsid w:val="1F017C36"/>
    <w:rsid w:val="1F18352F"/>
    <w:rsid w:val="1F473B39"/>
    <w:rsid w:val="1F565353"/>
    <w:rsid w:val="1F9572BF"/>
    <w:rsid w:val="1FDC306C"/>
    <w:rsid w:val="200343ED"/>
    <w:rsid w:val="201D6D46"/>
    <w:rsid w:val="2059673D"/>
    <w:rsid w:val="209E640C"/>
    <w:rsid w:val="20C12F61"/>
    <w:rsid w:val="20C90FC3"/>
    <w:rsid w:val="20EA0BE3"/>
    <w:rsid w:val="210268BC"/>
    <w:rsid w:val="212C271F"/>
    <w:rsid w:val="212C6238"/>
    <w:rsid w:val="21717AB6"/>
    <w:rsid w:val="21CA0945"/>
    <w:rsid w:val="22401962"/>
    <w:rsid w:val="22555FDC"/>
    <w:rsid w:val="228A20F9"/>
    <w:rsid w:val="22966490"/>
    <w:rsid w:val="22DC7B54"/>
    <w:rsid w:val="22FC7C7A"/>
    <w:rsid w:val="23203542"/>
    <w:rsid w:val="232F507E"/>
    <w:rsid w:val="235F1F1C"/>
    <w:rsid w:val="23B32608"/>
    <w:rsid w:val="247C76EB"/>
    <w:rsid w:val="248566AC"/>
    <w:rsid w:val="249924AD"/>
    <w:rsid w:val="24A02B8C"/>
    <w:rsid w:val="24A5383E"/>
    <w:rsid w:val="24C70EF2"/>
    <w:rsid w:val="24C963F0"/>
    <w:rsid w:val="24F904EE"/>
    <w:rsid w:val="251E14E7"/>
    <w:rsid w:val="251F4259"/>
    <w:rsid w:val="253B210F"/>
    <w:rsid w:val="25462020"/>
    <w:rsid w:val="25506360"/>
    <w:rsid w:val="255B6AB3"/>
    <w:rsid w:val="25A11071"/>
    <w:rsid w:val="25B84E01"/>
    <w:rsid w:val="25DF1492"/>
    <w:rsid w:val="25E16444"/>
    <w:rsid w:val="25E4399F"/>
    <w:rsid w:val="26176C26"/>
    <w:rsid w:val="261E020C"/>
    <w:rsid w:val="2641212B"/>
    <w:rsid w:val="264C2102"/>
    <w:rsid w:val="26597496"/>
    <w:rsid w:val="265D1FA0"/>
    <w:rsid w:val="266F2803"/>
    <w:rsid w:val="27A86596"/>
    <w:rsid w:val="27AB10F6"/>
    <w:rsid w:val="27D97AE7"/>
    <w:rsid w:val="27E5718E"/>
    <w:rsid w:val="283628BD"/>
    <w:rsid w:val="292731AC"/>
    <w:rsid w:val="293B2E83"/>
    <w:rsid w:val="294725ED"/>
    <w:rsid w:val="29714AF7"/>
    <w:rsid w:val="297E0FC2"/>
    <w:rsid w:val="29C1138B"/>
    <w:rsid w:val="29C72026"/>
    <w:rsid w:val="29D01473"/>
    <w:rsid w:val="29EF0399"/>
    <w:rsid w:val="2A054EE9"/>
    <w:rsid w:val="2A7251A3"/>
    <w:rsid w:val="2A805644"/>
    <w:rsid w:val="2A924FCC"/>
    <w:rsid w:val="2AEF3F25"/>
    <w:rsid w:val="2B124668"/>
    <w:rsid w:val="2B561713"/>
    <w:rsid w:val="2B7C5F5E"/>
    <w:rsid w:val="2BFC1B33"/>
    <w:rsid w:val="2C2D728D"/>
    <w:rsid w:val="2CAD4098"/>
    <w:rsid w:val="2CAE7E10"/>
    <w:rsid w:val="2CE44DAF"/>
    <w:rsid w:val="2CEF3F09"/>
    <w:rsid w:val="2CEF46B1"/>
    <w:rsid w:val="2D4B38B1"/>
    <w:rsid w:val="2D503031"/>
    <w:rsid w:val="2D542247"/>
    <w:rsid w:val="2D5B6A13"/>
    <w:rsid w:val="2D8F19F0"/>
    <w:rsid w:val="2E505849"/>
    <w:rsid w:val="2E790075"/>
    <w:rsid w:val="2E8569DB"/>
    <w:rsid w:val="2E8B3F91"/>
    <w:rsid w:val="2EB8136E"/>
    <w:rsid w:val="2ED44965"/>
    <w:rsid w:val="2F4075E1"/>
    <w:rsid w:val="2F597EC0"/>
    <w:rsid w:val="2F950E14"/>
    <w:rsid w:val="2FE2362D"/>
    <w:rsid w:val="2FE70D88"/>
    <w:rsid w:val="2FF22A68"/>
    <w:rsid w:val="300A1801"/>
    <w:rsid w:val="300A3F3D"/>
    <w:rsid w:val="30197C97"/>
    <w:rsid w:val="301D32E3"/>
    <w:rsid w:val="306D4751"/>
    <w:rsid w:val="3098505F"/>
    <w:rsid w:val="30D52D2F"/>
    <w:rsid w:val="30F77FD8"/>
    <w:rsid w:val="31381554"/>
    <w:rsid w:val="31943AF9"/>
    <w:rsid w:val="31A10DF4"/>
    <w:rsid w:val="31D916BB"/>
    <w:rsid w:val="31E3413D"/>
    <w:rsid w:val="320D56E5"/>
    <w:rsid w:val="32186458"/>
    <w:rsid w:val="32204DF4"/>
    <w:rsid w:val="323963CE"/>
    <w:rsid w:val="32676A97"/>
    <w:rsid w:val="32917411"/>
    <w:rsid w:val="32C23636"/>
    <w:rsid w:val="32E309E0"/>
    <w:rsid w:val="32F649B2"/>
    <w:rsid w:val="33225343"/>
    <w:rsid w:val="3367703D"/>
    <w:rsid w:val="338E7741"/>
    <w:rsid w:val="33951371"/>
    <w:rsid w:val="339D1443"/>
    <w:rsid w:val="33B977C6"/>
    <w:rsid w:val="33C47C04"/>
    <w:rsid w:val="33DF0572"/>
    <w:rsid w:val="3408271B"/>
    <w:rsid w:val="340D5F11"/>
    <w:rsid w:val="345D63A4"/>
    <w:rsid w:val="34697D41"/>
    <w:rsid w:val="34A00008"/>
    <w:rsid w:val="34AF4725"/>
    <w:rsid w:val="34DD5737"/>
    <w:rsid w:val="34E80F41"/>
    <w:rsid w:val="35352E7D"/>
    <w:rsid w:val="355967DF"/>
    <w:rsid w:val="357F2F0B"/>
    <w:rsid w:val="35F46912"/>
    <w:rsid w:val="36204F82"/>
    <w:rsid w:val="363475D8"/>
    <w:rsid w:val="369A277A"/>
    <w:rsid w:val="36D53D88"/>
    <w:rsid w:val="37146781"/>
    <w:rsid w:val="3744261E"/>
    <w:rsid w:val="378F1271"/>
    <w:rsid w:val="37B1321C"/>
    <w:rsid w:val="37FE4E83"/>
    <w:rsid w:val="38A152FF"/>
    <w:rsid w:val="38EB7C96"/>
    <w:rsid w:val="394B6413"/>
    <w:rsid w:val="39810D38"/>
    <w:rsid w:val="39B06767"/>
    <w:rsid w:val="39DB6DE1"/>
    <w:rsid w:val="3A6D130B"/>
    <w:rsid w:val="3ABE094A"/>
    <w:rsid w:val="3ABE29D7"/>
    <w:rsid w:val="3B1E4A8F"/>
    <w:rsid w:val="3B234D71"/>
    <w:rsid w:val="3B3E1F3A"/>
    <w:rsid w:val="3B453795"/>
    <w:rsid w:val="3B880EEE"/>
    <w:rsid w:val="3B8F28D0"/>
    <w:rsid w:val="3C381B22"/>
    <w:rsid w:val="3C6F136A"/>
    <w:rsid w:val="3C7C7836"/>
    <w:rsid w:val="3C8F411E"/>
    <w:rsid w:val="3CF74EBC"/>
    <w:rsid w:val="3D180163"/>
    <w:rsid w:val="3D686AC6"/>
    <w:rsid w:val="3D6A38DF"/>
    <w:rsid w:val="3D8F6B91"/>
    <w:rsid w:val="3E073FCC"/>
    <w:rsid w:val="3E554590"/>
    <w:rsid w:val="3EEC0339"/>
    <w:rsid w:val="3F110BB4"/>
    <w:rsid w:val="3F1B7587"/>
    <w:rsid w:val="3F2B709E"/>
    <w:rsid w:val="3F532CF9"/>
    <w:rsid w:val="3F5A6445"/>
    <w:rsid w:val="3F7F7B16"/>
    <w:rsid w:val="3FC75019"/>
    <w:rsid w:val="3FD51B12"/>
    <w:rsid w:val="3FFD5744"/>
    <w:rsid w:val="404843AC"/>
    <w:rsid w:val="406B147F"/>
    <w:rsid w:val="40A435AC"/>
    <w:rsid w:val="40DC4251"/>
    <w:rsid w:val="410351F8"/>
    <w:rsid w:val="4126180D"/>
    <w:rsid w:val="4141694F"/>
    <w:rsid w:val="414B17AD"/>
    <w:rsid w:val="4163290A"/>
    <w:rsid w:val="416F6027"/>
    <w:rsid w:val="419D5B0C"/>
    <w:rsid w:val="41FA4DA0"/>
    <w:rsid w:val="4247267B"/>
    <w:rsid w:val="42660B19"/>
    <w:rsid w:val="42D55C9F"/>
    <w:rsid w:val="42F33EB2"/>
    <w:rsid w:val="43144DDB"/>
    <w:rsid w:val="431B094A"/>
    <w:rsid w:val="432B079D"/>
    <w:rsid w:val="437159C8"/>
    <w:rsid w:val="439E60B3"/>
    <w:rsid w:val="43B1499E"/>
    <w:rsid w:val="43E73EDC"/>
    <w:rsid w:val="43FC6B23"/>
    <w:rsid w:val="44352E99"/>
    <w:rsid w:val="4488544B"/>
    <w:rsid w:val="454B2248"/>
    <w:rsid w:val="456843F7"/>
    <w:rsid w:val="459A67D2"/>
    <w:rsid w:val="45BC6CA2"/>
    <w:rsid w:val="45E21A94"/>
    <w:rsid w:val="464759D9"/>
    <w:rsid w:val="4657188C"/>
    <w:rsid w:val="46A165C4"/>
    <w:rsid w:val="46D30747"/>
    <w:rsid w:val="46D6660E"/>
    <w:rsid w:val="47294EB8"/>
    <w:rsid w:val="475A49C5"/>
    <w:rsid w:val="477A662A"/>
    <w:rsid w:val="48013C69"/>
    <w:rsid w:val="481903DC"/>
    <w:rsid w:val="48747A3E"/>
    <w:rsid w:val="49296D45"/>
    <w:rsid w:val="499A55C6"/>
    <w:rsid w:val="49A11793"/>
    <w:rsid w:val="49B20FCD"/>
    <w:rsid w:val="49BC1309"/>
    <w:rsid w:val="4A037D15"/>
    <w:rsid w:val="4A050C18"/>
    <w:rsid w:val="4A641C83"/>
    <w:rsid w:val="4A675365"/>
    <w:rsid w:val="4AB11529"/>
    <w:rsid w:val="4AE814EE"/>
    <w:rsid w:val="4AF220F4"/>
    <w:rsid w:val="4B4E65EF"/>
    <w:rsid w:val="4BA80CA3"/>
    <w:rsid w:val="4BB15033"/>
    <w:rsid w:val="4C3B1CFA"/>
    <w:rsid w:val="4C7330D4"/>
    <w:rsid w:val="4C8229F4"/>
    <w:rsid w:val="4CE95268"/>
    <w:rsid w:val="4D297313"/>
    <w:rsid w:val="4D5F2D35"/>
    <w:rsid w:val="4D710BC6"/>
    <w:rsid w:val="4D805E91"/>
    <w:rsid w:val="4DF571F5"/>
    <w:rsid w:val="4E1A6C5C"/>
    <w:rsid w:val="4E282E67"/>
    <w:rsid w:val="4E467A51"/>
    <w:rsid w:val="4E893178"/>
    <w:rsid w:val="4EC2172B"/>
    <w:rsid w:val="4F0F14A5"/>
    <w:rsid w:val="4F387EFA"/>
    <w:rsid w:val="4F3A6B88"/>
    <w:rsid w:val="4FBF1881"/>
    <w:rsid w:val="4FC450D1"/>
    <w:rsid w:val="501375C6"/>
    <w:rsid w:val="50837049"/>
    <w:rsid w:val="50B67110"/>
    <w:rsid w:val="50C90D11"/>
    <w:rsid w:val="50DD0354"/>
    <w:rsid w:val="51037CFF"/>
    <w:rsid w:val="511107EA"/>
    <w:rsid w:val="516B7B26"/>
    <w:rsid w:val="51B63DF8"/>
    <w:rsid w:val="521566FF"/>
    <w:rsid w:val="523D4F67"/>
    <w:rsid w:val="526F5E14"/>
    <w:rsid w:val="529D4C8D"/>
    <w:rsid w:val="52DE3CB6"/>
    <w:rsid w:val="52F022CF"/>
    <w:rsid w:val="53497CB1"/>
    <w:rsid w:val="53A771E4"/>
    <w:rsid w:val="53B45D93"/>
    <w:rsid w:val="53E915AA"/>
    <w:rsid w:val="53F743E5"/>
    <w:rsid w:val="54744DC1"/>
    <w:rsid w:val="54780098"/>
    <w:rsid w:val="54EB3100"/>
    <w:rsid w:val="54F12925"/>
    <w:rsid w:val="54F14BBA"/>
    <w:rsid w:val="55097A97"/>
    <w:rsid w:val="559E0172"/>
    <w:rsid w:val="55AF2CD7"/>
    <w:rsid w:val="560E1DD1"/>
    <w:rsid w:val="56182852"/>
    <w:rsid w:val="562E6152"/>
    <w:rsid w:val="56324BE7"/>
    <w:rsid w:val="567A302E"/>
    <w:rsid w:val="567B4EBA"/>
    <w:rsid w:val="56A96DCF"/>
    <w:rsid w:val="56BB0304"/>
    <w:rsid w:val="57530F23"/>
    <w:rsid w:val="579D7961"/>
    <w:rsid w:val="58707A31"/>
    <w:rsid w:val="588E2720"/>
    <w:rsid w:val="589A236E"/>
    <w:rsid w:val="58B14E39"/>
    <w:rsid w:val="58C61EBA"/>
    <w:rsid w:val="58ED488E"/>
    <w:rsid w:val="590757A0"/>
    <w:rsid w:val="593F4706"/>
    <w:rsid w:val="59407EBE"/>
    <w:rsid w:val="596D3E8A"/>
    <w:rsid w:val="59875AED"/>
    <w:rsid w:val="59875FA3"/>
    <w:rsid w:val="59A6339F"/>
    <w:rsid w:val="5A2E5F69"/>
    <w:rsid w:val="5A7D47FA"/>
    <w:rsid w:val="5A917584"/>
    <w:rsid w:val="5A9A53AC"/>
    <w:rsid w:val="5AA23EA0"/>
    <w:rsid w:val="5AAF09AB"/>
    <w:rsid w:val="5AB741B0"/>
    <w:rsid w:val="5ADE798F"/>
    <w:rsid w:val="5B597D1C"/>
    <w:rsid w:val="5B5C579C"/>
    <w:rsid w:val="5B66268B"/>
    <w:rsid w:val="5BC47FF9"/>
    <w:rsid w:val="5BED1681"/>
    <w:rsid w:val="5CC6692D"/>
    <w:rsid w:val="5CDF354A"/>
    <w:rsid w:val="5CF54B1C"/>
    <w:rsid w:val="5D1A4FAD"/>
    <w:rsid w:val="5D771892"/>
    <w:rsid w:val="5D9E51B4"/>
    <w:rsid w:val="5DE057CC"/>
    <w:rsid w:val="5E321B7B"/>
    <w:rsid w:val="5E47584B"/>
    <w:rsid w:val="5E652EAC"/>
    <w:rsid w:val="5EA23EC3"/>
    <w:rsid w:val="5ECB53C6"/>
    <w:rsid w:val="5F006794"/>
    <w:rsid w:val="5F150F8B"/>
    <w:rsid w:val="5F271188"/>
    <w:rsid w:val="5F4E781C"/>
    <w:rsid w:val="5F981A01"/>
    <w:rsid w:val="5FC62303"/>
    <w:rsid w:val="5FC91843"/>
    <w:rsid w:val="5FFC4176"/>
    <w:rsid w:val="605B55DE"/>
    <w:rsid w:val="6078165F"/>
    <w:rsid w:val="60791F08"/>
    <w:rsid w:val="60E05193"/>
    <w:rsid w:val="60EE1FAE"/>
    <w:rsid w:val="61706E67"/>
    <w:rsid w:val="617A043C"/>
    <w:rsid w:val="61CC7FA8"/>
    <w:rsid w:val="61ED1109"/>
    <w:rsid w:val="62081A66"/>
    <w:rsid w:val="62397BA1"/>
    <w:rsid w:val="623A7A19"/>
    <w:rsid w:val="626367CF"/>
    <w:rsid w:val="627453FE"/>
    <w:rsid w:val="627F7628"/>
    <w:rsid w:val="62860A76"/>
    <w:rsid w:val="62D578C9"/>
    <w:rsid w:val="62D92FED"/>
    <w:rsid w:val="63097573"/>
    <w:rsid w:val="631F5C26"/>
    <w:rsid w:val="63BD2A1A"/>
    <w:rsid w:val="63ED0C43"/>
    <w:rsid w:val="63F456C5"/>
    <w:rsid w:val="641B6997"/>
    <w:rsid w:val="644545DB"/>
    <w:rsid w:val="64724A06"/>
    <w:rsid w:val="64994E13"/>
    <w:rsid w:val="64A87C36"/>
    <w:rsid w:val="653D7F10"/>
    <w:rsid w:val="657544B5"/>
    <w:rsid w:val="657D479F"/>
    <w:rsid w:val="659B4D9A"/>
    <w:rsid w:val="65A33BC3"/>
    <w:rsid w:val="6621369A"/>
    <w:rsid w:val="6646463A"/>
    <w:rsid w:val="667035A3"/>
    <w:rsid w:val="66925AD1"/>
    <w:rsid w:val="669E4EAC"/>
    <w:rsid w:val="66BB5A5F"/>
    <w:rsid w:val="66BB7F15"/>
    <w:rsid w:val="670A1A2C"/>
    <w:rsid w:val="67586DAE"/>
    <w:rsid w:val="67727014"/>
    <w:rsid w:val="67AC35CC"/>
    <w:rsid w:val="68024591"/>
    <w:rsid w:val="680F6E75"/>
    <w:rsid w:val="68356714"/>
    <w:rsid w:val="685C2DFB"/>
    <w:rsid w:val="689037B2"/>
    <w:rsid w:val="68AB4C28"/>
    <w:rsid w:val="69A753F0"/>
    <w:rsid w:val="69AA4EE0"/>
    <w:rsid w:val="69DC668D"/>
    <w:rsid w:val="6A1849EF"/>
    <w:rsid w:val="6A520C98"/>
    <w:rsid w:val="6A7774B8"/>
    <w:rsid w:val="6A7D01D4"/>
    <w:rsid w:val="6AF92D51"/>
    <w:rsid w:val="6B5D4FFB"/>
    <w:rsid w:val="6B6016B4"/>
    <w:rsid w:val="6BFF7765"/>
    <w:rsid w:val="6CC664D5"/>
    <w:rsid w:val="6CE04B84"/>
    <w:rsid w:val="6CEC65EB"/>
    <w:rsid w:val="6D2767E6"/>
    <w:rsid w:val="6D393F68"/>
    <w:rsid w:val="6D4E4DF4"/>
    <w:rsid w:val="6D535DD6"/>
    <w:rsid w:val="6D575E10"/>
    <w:rsid w:val="6D7824A5"/>
    <w:rsid w:val="6D7D5270"/>
    <w:rsid w:val="6E335B71"/>
    <w:rsid w:val="6E443B55"/>
    <w:rsid w:val="6E566519"/>
    <w:rsid w:val="6EEB1F42"/>
    <w:rsid w:val="6EF45BA4"/>
    <w:rsid w:val="6F17785D"/>
    <w:rsid w:val="6FB6638D"/>
    <w:rsid w:val="6FEF77CB"/>
    <w:rsid w:val="70293D7A"/>
    <w:rsid w:val="705D771F"/>
    <w:rsid w:val="70C20D61"/>
    <w:rsid w:val="70C8281B"/>
    <w:rsid w:val="70F30CC5"/>
    <w:rsid w:val="717007BD"/>
    <w:rsid w:val="71E76CD1"/>
    <w:rsid w:val="72652019"/>
    <w:rsid w:val="728E35F1"/>
    <w:rsid w:val="729C4021"/>
    <w:rsid w:val="72BB3C4E"/>
    <w:rsid w:val="73052375"/>
    <w:rsid w:val="730B4C41"/>
    <w:rsid w:val="732170E5"/>
    <w:rsid w:val="732F248C"/>
    <w:rsid w:val="73642DCB"/>
    <w:rsid w:val="737B3F32"/>
    <w:rsid w:val="739015EB"/>
    <w:rsid w:val="739D441F"/>
    <w:rsid w:val="73A31A68"/>
    <w:rsid w:val="73A6293C"/>
    <w:rsid w:val="73AC19C0"/>
    <w:rsid w:val="73B614A4"/>
    <w:rsid w:val="73CB7578"/>
    <w:rsid w:val="73CF4B50"/>
    <w:rsid w:val="73E66FC6"/>
    <w:rsid w:val="73F87BDB"/>
    <w:rsid w:val="74253AE1"/>
    <w:rsid w:val="74597CAA"/>
    <w:rsid w:val="748C5406"/>
    <w:rsid w:val="749271A5"/>
    <w:rsid w:val="74E042F3"/>
    <w:rsid w:val="7515360E"/>
    <w:rsid w:val="7563093F"/>
    <w:rsid w:val="75911E19"/>
    <w:rsid w:val="75954C96"/>
    <w:rsid w:val="75DB4D9F"/>
    <w:rsid w:val="760104D4"/>
    <w:rsid w:val="761F03AA"/>
    <w:rsid w:val="7634481F"/>
    <w:rsid w:val="77020109"/>
    <w:rsid w:val="7790064A"/>
    <w:rsid w:val="77970A1B"/>
    <w:rsid w:val="77E80E14"/>
    <w:rsid w:val="77F25CF4"/>
    <w:rsid w:val="78155405"/>
    <w:rsid w:val="782C26F1"/>
    <w:rsid w:val="784E0F6B"/>
    <w:rsid w:val="78537A13"/>
    <w:rsid w:val="788A4EBB"/>
    <w:rsid w:val="789E29D8"/>
    <w:rsid w:val="78EE66F4"/>
    <w:rsid w:val="78F30FF9"/>
    <w:rsid w:val="790B045A"/>
    <w:rsid w:val="794B3FEA"/>
    <w:rsid w:val="7967694A"/>
    <w:rsid w:val="798F1021"/>
    <w:rsid w:val="79A96F62"/>
    <w:rsid w:val="79DC2008"/>
    <w:rsid w:val="79FF4DD4"/>
    <w:rsid w:val="7A0C45DB"/>
    <w:rsid w:val="7A1545F8"/>
    <w:rsid w:val="7A2E2B42"/>
    <w:rsid w:val="7A8E0B4B"/>
    <w:rsid w:val="7AE03F4F"/>
    <w:rsid w:val="7AE0439D"/>
    <w:rsid w:val="7B5D1873"/>
    <w:rsid w:val="7BA23C69"/>
    <w:rsid w:val="7BAD7D7C"/>
    <w:rsid w:val="7BB46E86"/>
    <w:rsid w:val="7BBC26CE"/>
    <w:rsid w:val="7BC934AC"/>
    <w:rsid w:val="7BF63857"/>
    <w:rsid w:val="7D5F29B9"/>
    <w:rsid w:val="7D7B0368"/>
    <w:rsid w:val="7D7C63E7"/>
    <w:rsid w:val="7D9808C0"/>
    <w:rsid w:val="7DFF0A8D"/>
    <w:rsid w:val="7E3944F5"/>
    <w:rsid w:val="7E5155D8"/>
    <w:rsid w:val="7F005636"/>
    <w:rsid w:val="7F0569E9"/>
    <w:rsid w:val="7F09424C"/>
    <w:rsid w:val="7F510B57"/>
    <w:rsid w:val="7F713DE7"/>
    <w:rsid w:val="7F860466"/>
    <w:rsid w:val="7F9027E7"/>
    <w:rsid w:val="7FFD64EC"/>
    <w:rsid w:val="B9FE6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annotation text"/>
    <w:basedOn w:val="1"/>
    <w:qFormat/>
    <w:uiPriority w:val="0"/>
    <w:pPr>
      <w:jc w:val="left"/>
    </w:pPr>
  </w:style>
  <w:style w:type="paragraph" w:styleId="7">
    <w:name w:val="Body Text Indent"/>
    <w:basedOn w:val="1"/>
    <w:semiHidden/>
    <w:unhideWhenUsed/>
    <w:qFormat/>
    <w:uiPriority w:val="99"/>
    <w:pPr>
      <w:spacing w:after="120"/>
      <w:ind w:left="420" w:leftChars="200"/>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rPr>
      <w:sz w:val="24"/>
    </w:rPr>
  </w:style>
  <w:style w:type="paragraph" w:styleId="15">
    <w:name w:val="Body Text First Indent 2"/>
    <w:basedOn w:val="7"/>
    <w:semiHidden/>
    <w:unhideWhenUsed/>
    <w:qFormat/>
    <w:uiPriority w:val="99"/>
    <w:pPr>
      <w:ind w:firstLine="420" w:firstLineChars="200"/>
    </w:pPr>
  </w:style>
  <w:style w:type="character" w:styleId="18">
    <w:name w:val="Strong"/>
    <w:basedOn w:val="17"/>
    <w:qFormat/>
    <w:uiPriority w:val="0"/>
    <w:rPr>
      <w:b/>
    </w:rPr>
  </w:style>
  <w:style w:type="character" w:styleId="19">
    <w:name w:val="HTML Code"/>
    <w:basedOn w:val="17"/>
    <w:qFormat/>
    <w:uiPriority w:val="0"/>
    <w:rPr>
      <w:rFonts w:ascii="Courier New" w:hAnsi="Courier New"/>
      <w:sz w:val="20"/>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 w:type="character" w:customStyle="1" w:styleId="23">
    <w:name w:val="font01"/>
    <w:basedOn w:val="17"/>
    <w:qFormat/>
    <w:uiPriority w:val="0"/>
    <w:rPr>
      <w:rFonts w:hint="eastAsia" w:ascii="宋体" w:hAnsi="宋体" w:eastAsia="宋体" w:cs="宋体"/>
      <w:color w:val="000000"/>
      <w:sz w:val="24"/>
      <w:szCs w:val="24"/>
      <w:u w:val="none"/>
    </w:rPr>
  </w:style>
  <w:style w:type="paragraph" w:customStyle="1" w:styleId="24">
    <w:name w:val="Table Paragraph"/>
    <w:basedOn w:val="1"/>
    <w:qFormat/>
    <w:uiPriority w:val="1"/>
    <w:pPr>
      <w:jc w:val="center"/>
    </w:pPr>
    <w:rPr>
      <w:rFonts w:ascii="仿宋_GB2312" w:hAnsi="仿宋_GB2312" w:eastAsia="仿宋_GB2312" w:cs="仿宋_GB2312"/>
      <w:lang w:val="zh-CN" w:bidi="zh-CN"/>
    </w:rPr>
  </w:style>
  <w:style w:type="paragraph" w:customStyle="1" w:styleId="25">
    <w:name w:val="正文文本 21"/>
    <w:basedOn w:val="1"/>
    <w:next w:val="26"/>
    <w:qFormat/>
    <w:uiPriority w:val="0"/>
    <w:pPr>
      <w:ind w:firstLine="1840"/>
    </w:pPr>
    <w:rPr>
      <w:rFonts w:ascii="仿宋_GB2312" w:hAnsi="华文中宋" w:eastAsia="仿宋_GB2312" w:cs="Times New Roman"/>
      <w:sz w:val="32"/>
      <w:szCs w:val="32"/>
    </w:rPr>
  </w:style>
  <w:style w:type="paragraph" w:customStyle="1" w:styleId="26">
    <w:name w:val="正文首行缩进 21"/>
    <w:basedOn w:val="27"/>
    <w:qFormat/>
    <w:uiPriority w:val="0"/>
    <w:pPr>
      <w:ind w:firstLine="420" w:firstLineChars="200"/>
    </w:pPr>
  </w:style>
  <w:style w:type="paragraph" w:customStyle="1" w:styleId="27">
    <w:name w:val="正文文本缩进1"/>
    <w:basedOn w:val="1"/>
    <w:qFormat/>
    <w:uiPriority w:val="0"/>
    <w:pPr>
      <w:ind w:left="420" w:left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7123</Words>
  <Characters>7232</Characters>
  <Lines>0</Lines>
  <Paragraphs>0</Paragraphs>
  <TotalTime>3861</TotalTime>
  <ScaleCrop>false</ScaleCrop>
  <LinksUpToDate>false</LinksUpToDate>
  <CharactersWithSpaces>7304</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2025-10-13T09:59:00Z</dcterms:created>
  <dc:creator>dt</dc:creator>
  <cp:lastModifiedBy>浪子高</cp:lastModifiedBy>
  <cp:lastPrinted>2026-07-27T09:25:00Z</cp:lastPrinted>
  <dcterms:modified xsi:type="dcterms:W3CDTF">2026-07-27T10:55:45Z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KSOTemplateDocerSaveRecord">
    <vt:lpwstr>eyJoZGlkIjoiNjdlODhlODkxYTg0OGU3ZDA4NzZmYWI2ZmYxYjZmMGMiLCJ1c2VySWQiOiIyNzAyNjU3MDEifQ==</vt:lpwstr>
  </property>
  <property fmtid="{D5CDD505-2E9C-101B-9397-08002B2CF9AE}" pid="4" name="ICV">
    <vt:lpwstr>A6671C6C92674594B834F5179EAACE47_13</vt:lpwstr>
  </property>
</Properties>
</file>