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spacing w:before="25" w:line="240" w:lineRule="auto"/>
        <w:ind w:left="1229" w:right="0" w:firstLine="0"/>
        <w:jc w:val="left"/>
      </w:pPr>
      <w:bookmarkStart w:id="0" w:name="_GoBack"/>
      <w:r>
        <w:t>濉溪县质量提升奖励扶持若干规定</w:t>
      </w:r>
    </w:p>
    <w:bookmarkEnd w:id="0"/>
    <w:p>
      <w:pPr>
        <w:spacing w:before="14" w:line="240" w:lineRule="auto"/>
        <w:rPr>
          <w:rFonts w:ascii="仿宋_GB2312" w:hAnsi="仿宋_GB2312" w:eastAsia="仿宋_GB2312" w:cs="Times New Roman"/>
          <w:spacing w:val="-4"/>
          <w:kern w:val="0"/>
          <w:sz w:val="32"/>
          <w:szCs w:val="32"/>
          <w:lang w:val="en-US" w:eastAsia="en-US" w:bidi="ar-SA"/>
        </w:rPr>
      </w:pPr>
    </w:p>
    <w:p>
      <w:pPr>
        <w:pStyle w:val="4"/>
        <w:spacing w:before="0" w:line="316" w:lineRule="auto"/>
        <w:ind w:right="0" w:firstLine="638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 xml:space="preserve">为贯彻落实中共中央国务院《关于开展质量提升行动的指导 意见》（中发﹝2017﹞24 号）、省委省政府《关于开展质量提 </w:t>
      </w:r>
      <w:r>
        <w:rPr>
          <w:rFonts w:hint="eastAsia" w:cs="Times New Roman"/>
          <w:spacing w:val="0"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 xml:space="preserve">升行动推进质量强省建设的实施意见》（皖发﹝2018﹞30 号） </w:t>
      </w:r>
    </w:p>
    <w:p>
      <w:pPr>
        <w:pStyle w:val="4"/>
        <w:spacing w:before="0" w:line="316" w:lineRule="auto"/>
        <w:ind w:right="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 xml:space="preserve">和市委市政府《关于开展质量提升行动加快建设质量强市的实施 意见》（淮发﹝2018﹞27 号）精神，按照县委县政府《关于开展质量提升行动推进质量强县建设的实施方案》（濉办发〔2019〕 17 号）文件要求，激励企业开展质量提升行动，推动全县经济 </w:t>
      </w:r>
    </w:p>
    <w:p>
      <w:pPr>
        <w:pStyle w:val="4"/>
        <w:spacing w:before="0" w:line="316" w:lineRule="auto"/>
        <w:ind w:right="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社会高质量发展，结合实际，特制定本规定。</w:t>
      </w:r>
    </w:p>
    <w:p>
      <w:pPr>
        <w:pStyle w:val="4"/>
        <w:spacing w:before="55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一、质量提升</w:t>
      </w:r>
    </w:p>
    <w:p>
      <w:pPr>
        <w:pStyle w:val="4"/>
        <w:spacing w:before="0" w:line="316" w:lineRule="auto"/>
        <w:ind w:right="0" w:firstLine="640" w:firstLineChars="20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为保障濉溪县质量提升行动有效开展，支持研究推广先进质 量管理方法、建设质量人才队伍、推行企业首席质量官制度、质 量问诊、开展质量基础设施“一站式”服务、缺陷产品召回、“四 个一”质量提升、提高制造技术及工艺水平、提升产品质量、建 设质量监管创新模式和质量提升行为，设立1000 万元的质量提 升发展基金，并按照每年不低于10%的额度递增。</w:t>
      </w:r>
    </w:p>
    <w:p>
      <w:pPr>
        <w:pStyle w:val="4"/>
        <w:spacing w:before="16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二、品牌建设</w:t>
      </w:r>
    </w:p>
    <w:p>
      <w:pPr>
        <w:pStyle w:val="4"/>
        <w:spacing w:before="157" w:line="240" w:lineRule="auto"/>
        <w:ind w:left="747" w:right="0"/>
        <w:jc w:val="left"/>
      </w:pPr>
      <w:r>
        <w:rPr>
          <w:spacing w:val="2"/>
        </w:rPr>
        <w:t>（一）对新获得濉溪县政府质量奖的组织给予</w:t>
      </w:r>
      <w:r>
        <w:rPr>
          <w:spacing w:val="-87"/>
        </w:rPr>
        <w:t xml:space="preserve"> </w:t>
      </w:r>
      <w:r>
        <w:rPr>
          <w:rFonts w:ascii="Times New Roman" w:hAnsi="Times New Roman" w:eastAsia="Times New Roman" w:cs="Times New Roman"/>
        </w:rPr>
        <w:t>30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万元、提</w:t>
      </w:r>
    </w:p>
    <w:p>
      <w:pPr>
        <w:pStyle w:val="4"/>
        <w:spacing w:line="312" w:lineRule="auto"/>
        <w:ind w:right="0"/>
        <w:jc w:val="left"/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名奖给予 5 万元奖励，对当年度同时获得国家、省、市级政府质</w:t>
      </w:r>
      <w:r>
        <w:rPr>
          <w:w w:val="99"/>
        </w:rPr>
        <w:t xml:space="preserve"> </w:t>
      </w:r>
      <w:r>
        <w:t>量奖的，县政府不再重复予以奖励。</w:t>
      </w:r>
    </w:p>
    <w:p>
      <w:pPr>
        <w:pStyle w:val="4"/>
        <w:spacing w:before="61" w:line="240" w:lineRule="auto"/>
        <w:ind w:left="747" w:right="0"/>
        <w:jc w:val="left"/>
      </w:pPr>
      <w:r>
        <w:rPr>
          <w:spacing w:val="-4"/>
        </w:rPr>
        <w:t>（二）对新获得安徽省产品质量提升示范区的单位依据《安</w:t>
      </w:r>
    </w:p>
    <w:p>
      <w:pPr>
        <w:spacing w:after="0" w:line="240" w:lineRule="auto"/>
        <w:jc w:val="left"/>
        <w:sectPr>
          <w:pgSz w:w="11910" w:h="16840"/>
          <w:pgMar w:top="1580" w:right="1463" w:bottom="980" w:left="1463" w:header="0" w:footer="798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3" w:line="240" w:lineRule="auto"/>
        <w:rPr>
          <w:rFonts w:ascii="仿宋_GB2312" w:hAnsi="仿宋_GB2312" w:eastAsia="仿宋_GB2312" w:cs="仿宋_GB2312"/>
          <w:sz w:val="16"/>
          <w:szCs w:val="16"/>
        </w:rPr>
      </w:pPr>
    </w:p>
    <w:p>
      <w:pPr>
        <w:pStyle w:val="4"/>
        <w:spacing w:before="0" w:line="316" w:lineRule="auto"/>
        <w:ind w:right="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 xml:space="preserve">徽省产品质量提升示范区管理办法》（皖质办发〔2018〕21 号） </w:t>
      </w:r>
    </w:p>
    <w:p>
      <w:pPr>
        <w:pStyle w:val="4"/>
        <w:spacing w:before="0" w:line="316" w:lineRule="auto"/>
        <w:ind w:right="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规定给予 15 万元补助资金。</w:t>
      </w:r>
    </w:p>
    <w:p>
      <w:pPr>
        <w:pStyle w:val="4"/>
        <w:spacing w:before="0" w:line="316" w:lineRule="auto"/>
        <w:ind w:right="0" w:firstLine="640" w:firstLineChars="20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（三）对新获得安徽省质量认证示范区（点）的单位给予 10</w:t>
      </w:r>
    </w:p>
    <w:p>
      <w:pPr>
        <w:pStyle w:val="4"/>
        <w:spacing w:before="0" w:line="316" w:lineRule="auto"/>
        <w:ind w:right="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万元的一次性奖励。</w:t>
      </w:r>
    </w:p>
    <w:p>
      <w:pPr>
        <w:pStyle w:val="4"/>
        <w:spacing w:before="0" w:line="316" w:lineRule="auto"/>
        <w:ind w:right="0" w:firstLine="640" w:firstLineChars="20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（四）</w:t>
      </w:r>
      <w:r>
        <w:rPr>
          <w:rFonts w:ascii="仿宋_GB2312" w:hAnsi="仿宋_GB2312" w:eastAsia="仿宋_GB2312" w:cs="Times New Roman"/>
          <w:spacing w:val="-6"/>
          <w:kern w:val="0"/>
          <w:sz w:val="32"/>
          <w:szCs w:val="32"/>
          <w:lang w:val="en-US" w:eastAsia="en-US" w:bidi="ar-SA"/>
        </w:rPr>
        <w:t>对新获得“皖美品牌</w:t>
      </w:r>
      <w:r>
        <w:rPr>
          <w:rFonts w:ascii="仿宋_GB2312" w:hAnsi="仿宋_GB2312" w:eastAsia="仿宋_GB2312" w:cs="Times New Roman"/>
          <w:spacing w:val="-23"/>
          <w:kern w:val="0"/>
          <w:sz w:val="32"/>
          <w:szCs w:val="32"/>
          <w:lang w:val="en-US" w:eastAsia="en-US" w:bidi="ar-SA"/>
        </w:rPr>
        <w:t>”（省</w:t>
      </w:r>
      <w:r>
        <w:rPr>
          <w:rFonts w:ascii="仿宋_GB2312" w:hAnsi="仿宋_GB2312" w:eastAsia="仿宋_GB2312" w:cs="Times New Roman"/>
          <w:spacing w:val="-6"/>
          <w:kern w:val="0"/>
          <w:sz w:val="32"/>
          <w:szCs w:val="32"/>
          <w:lang w:val="en-US" w:eastAsia="en-US" w:bidi="ar-SA"/>
        </w:rPr>
        <w:t>制造业高端品牌培育企业、</w:t>
      </w: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 xml:space="preserve">省服务业高端品牌培育企业等）示范企业，给予 10 万元的一次性 </w:t>
      </w:r>
    </w:p>
    <w:p>
      <w:pPr>
        <w:pStyle w:val="4"/>
        <w:spacing w:before="0" w:line="316" w:lineRule="auto"/>
        <w:ind w:right="0"/>
        <w:jc w:val="left"/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0"/>
          <w:kern w:val="0"/>
          <w:sz w:val="32"/>
          <w:szCs w:val="32"/>
          <w:lang w:val="en-US" w:eastAsia="en-US" w:bidi="ar-SA"/>
        </w:rPr>
        <w:t>奖励。</w:t>
      </w:r>
    </w:p>
    <w:p>
      <w:pPr>
        <w:pStyle w:val="4"/>
        <w:spacing w:before="61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三、检验检测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left="747" w:right="0"/>
        <w:jc w:val="left"/>
        <w:textAlignment w:val="auto"/>
        <w:rPr>
          <w:spacing w:val="2"/>
        </w:rPr>
      </w:pPr>
      <w:r>
        <w:rPr>
          <w:spacing w:val="2"/>
        </w:rPr>
        <w:t>（一）对新认定国家级检验检测中心（机构）资质认定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right="0"/>
        <w:jc w:val="left"/>
        <w:textAlignment w:val="auto"/>
        <w:rPr>
          <w:spacing w:val="2"/>
        </w:rPr>
      </w:pPr>
      <w:r>
        <w:rPr>
          <w:spacing w:val="2"/>
        </w:rPr>
        <w:t>（CMA）的给予 50 万元一次性奖励；对新认定省级检验检测中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right="0"/>
        <w:jc w:val="left"/>
        <w:textAlignment w:val="auto"/>
        <w:rPr>
          <w:spacing w:val="2"/>
        </w:rPr>
      </w:pPr>
      <w:r>
        <w:rPr>
          <w:spacing w:val="2"/>
        </w:rPr>
        <w:t>心（机构）资质认定（CMA）的给予 30 万元一次性奖励；对新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right="0"/>
        <w:jc w:val="left"/>
        <w:textAlignment w:val="auto"/>
        <w:rPr>
          <w:spacing w:val="2"/>
        </w:rPr>
      </w:pPr>
      <w:r>
        <w:rPr>
          <w:spacing w:val="2"/>
        </w:rPr>
        <w:t>认定的 CNAS（中国合格评定国家认可委员会）实验室给予 15 万元一次性奖励；对新获得资质认定（CMA）的检验检测机构， 给予 5 万元一次性奖励。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right="0" w:rightChars="0" w:firstLine="648" w:firstLineChars="200"/>
        <w:jc w:val="left"/>
        <w:textAlignment w:val="auto"/>
        <w:rPr>
          <w:spacing w:val="2"/>
        </w:rPr>
      </w:pPr>
      <w:r>
        <w:rPr>
          <w:rFonts w:hint="eastAsia"/>
          <w:spacing w:val="2"/>
          <w:lang w:eastAsia="zh-CN"/>
        </w:rPr>
        <w:t>（</w:t>
      </w:r>
      <w:r>
        <w:rPr>
          <w:rFonts w:hint="eastAsia"/>
          <w:spacing w:val="2"/>
          <w:lang w:val="en-US" w:eastAsia="zh-CN"/>
        </w:rPr>
        <w:t>二</w:t>
      </w:r>
      <w:r>
        <w:rPr>
          <w:rFonts w:hint="eastAsia"/>
          <w:spacing w:val="2"/>
          <w:lang w:eastAsia="zh-CN"/>
        </w:rPr>
        <w:t>）</w:t>
      </w:r>
      <w:r>
        <w:rPr>
          <w:spacing w:val="2"/>
        </w:rPr>
        <w:t>对新注册的质检技术服务业企业，并通过资质认定的，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right="0" w:rightChars="0"/>
        <w:jc w:val="left"/>
        <w:textAlignment w:val="auto"/>
        <w:rPr>
          <w:spacing w:val="2"/>
        </w:rPr>
      </w:pPr>
      <w:r>
        <w:rPr>
          <w:spacing w:val="2"/>
        </w:rPr>
        <w:t>凡属于补充我县检验检测类别空白领域的企业，对租赁办公用房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left="0" w:leftChars="0" w:right="0" w:firstLine="0" w:firstLineChars="0"/>
        <w:jc w:val="left"/>
        <w:textAlignment w:val="auto"/>
        <w:rPr>
          <w:spacing w:val="17"/>
          <w:sz w:val="32"/>
        </w:rPr>
      </w:pPr>
      <w:r>
        <w:rPr>
          <w:spacing w:val="17"/>
          <w:sz w:val="32"/>
        </w:rPr>
        <w:t>（检验检测机构含设备用房）的给予租金补贴，前3年补贴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576" w:lineRule="exact"/>
        <w:ind w:right="0"/>
        <w:jc w:val="left"/>
        <w:textAlignment w:val="auto"/>
        <w:rPr>
          <w:spacing w:val="2"/>
        </w:rPr>
      </w:pPr>
      <w:r>
        <w:rPr>
          <w:spacing w:val="2"/>
        </w:rPr>
        <w:t>100%，后 2 年补贴 50%，补贴面积最多不超过 3000 平方米。当 年补贴额度不超过企业缴纳税收地方留存部分。</w:t>
      </w:r>
    </w:p>
    <w:p>
      <w:pPr>
        <w:pStyle w:val="4"/>
        <w:spacing w:before="61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四、管理体系认证</w:t>
      </w:r>
    </w:p>
    <w:p>
      <w:pPr>
        <w:pStyle w:val="4"/>
        <w:spacing w:before="157" w:line="312" w:lineRule="auto"/>
        <w:ind w:right="0" w:firstLine="638"/>
        <w:jc w:val="left"/>
        <w:rPr>
          <w:spacing w:val="11"/>
          <w:sz w:val="32"/>
        </w:rPr>
      </w:pP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spacing w:val="9"/>
        </w:rPr>
        <w:t>四上</w:t>
      </w:r>
      <w:r>
        <w:rPr>
          <w:rFonts w:ascii="Times New Roman" w:hAnsi="Times New Roman" w:eastAsia="Times New Roman" w:cs="Times New Roman"/>
          <w:spacing w:val="9"/>
        </w:rPr>
        <w:t>”</w:t>
      </w:r>
      <w:r>
        <w:rPr>
          <w:spacing w:val="9"/>
        </w:rPr>
        <w:t>企业首次通过质量管理体系认证的，给予</w:t>
      </w:r>
      <w:r>
        <w:rPr>
          <w:spacing w:val="-75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spacing w:val="7"/>
        </w:rPr>
        <w:t>万元奖</w:t>
      </w:r>
      <w:r>
        <w:rPr>
          <w:w w:val="99"/>
        </w:rPr>
        <w:t xml:space="preserve"> </w:t>
      </w:r>
      <w:r>
        <w:rPr>
          <w:spacing w:val="11"/>
          <w:w w:val="95"/>
          <w:sz w:val="32"/>
        </w:rPr>
        <w:t>励；首次通过三合一认证（质量、环境、职业健康）管理体系认</w:t>
      </w:r>
    </w:p>
    <w:p>
      <w:pPr>
        <w:spacing w:after="0" w:line="312" w:lineRule="auto"/>
        <w:jc w:val="left"/>
        <w:sectPr>
          <w:pgSz w:w="11910" w:h="16840"/>
          <w:pgMar w:top="1580" w:right="1200" w:bottom="980" w:left="1480" w:header="0" w:footer="798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3" w:line="240" w:lineRule="auto"/>
        <w:rPr>
          <w:rFonts w:ascii="仿宋_GB2312" w:hAnsi="仿宋_GB2312" w:eastAsia="仿宋_GB2312" w:cs="Times New Roman"/>
          <w:spacing w:val="11"/>
          <w:w w:val="95"/>
          <w:kern w:val="0"/>
          <w:sz w:val="32"/>
          <w:szCs w:val="32"/>
          <w:lang w:val="en-US" w:eastAsia="en-US" w:bidi="ar-SA"/>
        </w:rPr>
      </w:pPr>
    </w:p>
    <w:p>
      <w:pPr>
        <w:pStyle w:val="4"/>
        <w:spacing w:before="0" w:line="312" w:lineRule="auto"/>
        <w:ind w:right="0"/>
        <w:jc w:val="left"/>
        <w:rPr>
          <w:rFonts w:ascii="仿宋_GB2312" w:hAnsi="仿宋_GB2312" w:eastAsia="仿宋_GB2312" w:cs="Times New Roman"/>
          <w:spacing w:val="11"/>
          <w:w w:val="95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11"/>
          <w:w w:val="95"/>
          <w:kern w:val="0"/>
          <w:sz w:val="32"/>
          <w:szCs w:val="32"/>
          <w:lang w:val="en-US" w:eastAsia="en-US" w:bidi="ar-SA"/>
        </w:rPr>
        <w:t xml:space="preserve">证的，给予 6万元奖励；其它企业首次通过质量管理体系认证的， </w:t>
      </w:r>
    </w:p>
    <w:p>
      <w:pPr>
        <w:spacing w:before="3" w:line="240" w:lineRule="auto"/>
        <w:rPr>
          <w:rFonts w:ascii="仿宋_GB2312" w:hAnsi="仿宋_GB2312" w:eastAsia="仿宋_GB2312" w:cs="Times New Roman"/>
          <w:spacing w:val="11"/>
          <w:w w:val="95"/>
          <w:kern w:val="0"/>
          <w:sz w:val="32"/>
          <w:szCs w:val="32"/>
          <w:lang w:val="en-US" w:eastAsia="en-US" w:bidi="ar-SA"/>
        </w:rPr>
      </w:pPr>
      <w:r>
        <w:rPr>
          <w:rFonts w:ascii="仿宋_GB2312" w:hAnsi="仿宋_GB2312" w:eastAsia="仿宋_GB2312" w:cs="Times New Roman"/>
          <w:spacing w:val="11"/>
          <w:w w:val="95"/>
          <w:kern w:val="0"/>
          <w:sz w:val="32"/>
          <w:szCs w:val="32"/>
          <w:lang w:val="en-US" w:eastAsia="en-US" w:bidi="ar-SA"/>
        </w:rPr>
        <w:t>给予认证费用的 50%奖励。</w:t>
      </w:r>
    </w:p>
    <w:p>
      <w:pPr>
        <w:pStyle w:val="4"/>
        <w:spacing w:before="26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五、缺陷召回</w:t>
      </w:r>
    </w:p>
    <w:p>
      <w:pPr>
        <w:pStyle w:val="4"/>
        <w:spacing w:before="157" w:line="312" w:lineRule="auto"/>
        <w:ind w:right="273" w:firstLine="638"/>
        <w:jc w:val="both"/>
      </w:pPr>
      <w:r>
        <w:rPr>
          <w:spacing w:val="2"/>
        </w:rPr>
        <w:t>（一）设立缺陷产品召回工作经费</w:t>
      </w:r>
      <w:r>
        <w:rPr>
          <w:spacing w:val="-87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2"/>
        </w:rPr>
        <w:t>万元，用于县市场监</w:t>
      </w:r>
      <w:r>
        <w:rPr>
          <w:w w:val="99"/>
        </w:rPr>
        <w:t xml:space="preserve"> </w:t>
      </w:r>
      <w:r>
        <w:t>管局开展缺陷产品召回技术检测、调查分析工作。</w:t>
      </w:r>
    </w:p>
    <w:p>
      <w:pPr>
        <w:pStyle w:val="4"/>
        <w:spacing w:before="157" w:line="312" w:lineRule="auto"/>
        <w:ind w:right="273" w:firstLine="638"/>
        <w:jc w:val="both"/>
        <w:rPr>
          <w:spacing w:val="2"/>
        </w:rPr>
      </w:pPr>
      <w:r>
        <w:rPr>
          <w:spacing w:val="-4"/>
          <w:w w:val="95"/>
        </w:rPr>
        <w:t>（二）</w:t>
      </w:r>
      <w:r>
        <w:rPr>
          <w:spacing w:val="2"/>
        </w:rPr>
        <w:t xml:space="preserve">鼓励消费品生产企业主动履行召回义务，对主动实施 </w:t>
      </w:r>
    </w:p>
    <w:p>
      <w:pPr>
        <w:pStyle w:val="4"/>
        <w:spacing w:before="157" w:line="312" w:lineRule="auto"/>
        <w:ind w:right="273"/>
        <w:jc w:val="both"/>
        <w:rPr>
          <w:spacing w:val="2"/>
        </w:rPr>
      </w:pPr>
      <w:r>
        <w:rPr>
          <w:spacing w:val="0"/>
          <w:sz w:val="32"/>
        </w:rPr>
        <w:t>召回、并在省级以上召回网站发布公告的，由县市场监管局核定</w:t>
      </w:r>
      <w:r>
        <w:rPr>
          <w:spacing w:val="2"/>
        </w:rPr>
        <w:t xml:space="preserve"> </w:t>
      </w:r>
    </w:p>
    <w:p>
      <w:pPr>
        <w:pStyle w:val="4"/>
        <w:spacing w:before="61" w:line="324" w:lineRule="auto"/>
        <w:ind w:right="271"/>
        <w:jc w:val="both"/>
      </w:pPr>
      <w:r>
        <w:t>货值金额后，按照货值金额（</w:t>
      </w:r>
      <w:r>
        <w:rPr>
          <w:rFonts w:ascii="Times New Roman" w:hAnsi="Times New Roman" w:eastAsia="Times New Roman" w:cs="Times New Roman"/>
        </w:rPr>
        <w:t xml:space="preserve">1 </w:t>
      </w:r>
      <w:r>
        <w:t>万元以上，含</w:t>
      </w:r>
      <w:r>
        <w:rPr>
          <w:spacing w:val="-79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1 </w:t>
      </w:r>
      <w:r>
        <w:t>万元）</w:t>
      </w:r>
      <w:r>
        <w:rPr>
          <w:rFonts w:ascii="Times New Roman" w:hAnsi="Times New Roman" w:eastAsia="Times New Roman" w:cs="Times New Roman"/>
        </w:rPr>
        <w:t>10%</w:t>
      </w:r>
      <w:r>
        <w:t>的比例进行补贴，单个企业每年最高补贴不超过</w:t>
      </w:r>
      <w:r>
        <w:rPr>
          <w:spacing w:val="-86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t>万元。</w:t>
      </w:r>
    </w:p>
    <w:p>
      <w:pPr>
        <w:pStyle w:val="4"/>
        <w:spacing w:before="9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六、标准化</w:t>
      </w:r>
    </w:p>
    <w:p>
      <w:pPr>
        <w:pStyle w:val="4"/>
        <w:spacing w:before="157" w:line="324" w:lineRule="auto"/>
        <w:ind w:right="270" w:firstLine="638"/>
        <w:jc w:val="both"/>
      </w:pPr>
      <w:r>
        <w:rPr>
          <w:spacing w:val="-4"/>
          <w:w w:val="95"/>
        </w:rPr>
        <w:t>（一）对主持制定国际标准、国家标准、行业标准、省地方</w:t>
      </w:r>
      <w:r>
        <w:rPr>
          <w:w w:val="99"/>
        </w:rPr>
        <w:t xml:space="preserve"> </w:t>
      </w:r>
      <w:r>
        <w:rPr>
          <w:spacing w:val="7"/>
        </w:rPr>
        <w:t>标准、市地方标准（排名前三位）的单位，分别给予每个标准</w:t>
      </w:r>
      <w:r>
        <w:rPr>
          <w:w w:val="99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30 </w:t>
      </w:r>
      <w:r>
        <w:t>万元、</w:t>
      </w:r>
      <w:r>
        <w:rPr>
          <w:rFonts w:ascii="Times New Roman" w:hAnsi="Times New Roman" w:eastAsia="Times New Roman" w:cs="Times New Roman"/>
        </w:rPr>
        <w:t xml:space="preserve">20 </w:t>
      </w:r>
      <w:r>
        <w:t>万元、</w:t>
      </w:r>
      <w:r>
        <w:rPr>
          <w:rFonts w:ascii="Times New Roman" w:hAnsi="Times New Roman" w:eastAsia="Times New Roman" w:cs="Times New Roman"/>
        </w:rPr>
        <w:t xml:space="preserve">10 </w:t>
      </w:r>
      <w:r>
        <w:t>万元、</w:t>
      </w:r>
      <w:r>
        <w:rPr>
          <w:rFonts w:ascii="Times New Roman" w:hAnsi="Times New Roman" w:eastAsia="Times New Roman" w:cs="Times New Roman"/>
        </w:rPr>
        <w:t xml:space="preserve">10 </w:t>
      </w:r>
      <w:r>
        <w:t>万元、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t>万元的一次性奖励；对</w:t>
      </w:r>
      <w:r>
        <w:rPr>
          <w:w w:val="99"/>
        </w:rPr>
        <w:t xml:space="preserve"> </w:t>
      </w:r>
      <w:r>
        <w:t>参与单位按照上述标准减半予以一次性奖励。</w:t>
      </w:r>
    </w:p>
    <w:p>
      <w:pPr>
        <w:pStyle w:val="4"/>
        <w:spacing w:before="45" w:line="331" w:lineRule="auto"/>
        <w:ind w:right="273" w:firstLine="638"/>
        <w:jc w:val="both"/>
      </w:pPr>
      <w:r>
        <w:rPr>
          <w:spacing w:val="-4"/>
          <w:w w:val="95"/>
        </w:rPr>
        <w:t>（二）对承担国家级、省级标准化示范试点项目并验收合格</w:t>
      </w:r>
      <w:r>
        <w:rPr>
          <w:w w:val="99"/>
        </w:rPr>
        <w:t xml:space="preserve"> </w:t>
      </w:r>
      <w:r>
        <w:t>的建设单位，分别给予每个项目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万元一次性奖励。</w:t>
      </w:r>
    </w:p>
    <w:p>
      <w:pPr>
        <w:pStyle w:val="4"/>
        <w:spacing w:before="0" w:line="312" w:lineRule="auto"/>
        <w:ind w:right="273" w:firstLine="638"/>
        <w:jc w:val="both"/>
      </w:pPr>
      <w:r>
        <w:rPr>
          <w:spacing w:val="4"/>
          <w:w w:val="95"/>
        </w:rPr>
        <w:t>（三）对获得国家、省级</w:t>
      </w:r>
      <w:r>
        <w:rPr>
          <w:rFonts w:ascii="Times New Roman" w:hAnsi="Times New Roman" w:eastAsia="Times New Roman" w:cs="Times New Roman"/>
          <w:spacing w:val="4"/>
          <w:w w:val="95"/>
        </w:rPr>
        <w:t>“</w:t>
      </w:r>
      <w:r>
        <w:rPr>
          <w:spacing w:val="4"/>
          <w:w w:val="95"/>
        </w:rPr>
        <w:t>标准创新贡献奖</w:t>
      </w:r>
      <w:r>
        <w:rPr>
          <w:rFonts w:ascii="Times New Roman" w:hAnsi="Times New Roman" w:eastAsia="Times New Roman" w:cs="Times New Roman"/>
          <w:spacing w:val="4"/>
          <w:w w:val="95"/>
        </w:rPr>
        <w:t>”“</w:t>
      </w:r>
      <w:r>
        <w:rPr>
          <w:spacing w:val="4"/>
          <w:w w:val="95"/>
        </w:rPr>
        <w:t>企业标准领跑</w:t>
      </w:r>
      <w:r>
        <w:rPr>
          <w:w w:val="99"/>
        </w:rPr>
        <w:t xml:space="preserve"> </w:t>
      </w:r>
      <w:r>
        <w:rPr>
          <w:spacing w:val="4"/>
          <w:w w:val="95"/>
        </w:rPr>
        <w:t>者</w:t>
      </w:r>
      <w:r>
        <w:rPr>
          <w:rFonts w:ascii="Times New Roman" w:hAnsi="Times New Roman" w:eastAsia="Times New Roman" w:cs="Times New Roman"/>
          <w:spacing w:val="4"/>
          <w:w w:val="95"/>
        </w:rPr>
        <w:t>”“</w:t>
      </w:r>
      <w:r>
        <w:rPr>
          <w:spacing w:val="4"/>
          <w:w w:val="95"/>
        </w:rPr>
        <w:t>技术标准创新基地</w:t>
      </w:r>
      <w:r>
        <w:rPr>
          <w:rFonts w:ascii="Times New Roman" w:hAnsi="Times New Roman" w:eastAsia="Times New Roman" w:cs="Times New Roman"/>
          <w:spacing w:val="4"/>
          <w:w w:val="95"/>
        </w:rPr>
        <w:t>”</w:t>
      </w:r>
      <w:r>
        <w:rPr>
          <w:spacing w:val="4"/>
          <w:w w:val="95"/>
        </w:rPr>
        <w:t>等标准化称号并获得相关证书者的，分</w:t>
      </w:r>
      <w:r>
        <w:rPr>
          <w:spacing w:val="104"/>
          <w:w w:val="95"/>
        </w:rPr>
        <w:t xml:space="preserve"> </w:t>
      </w:r>
      <w:r>
        <w:t>别给予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万元一次性奖励。</w:t>
      </w:r>
    </w:p>
    <w:p>
      <w:pPr>
        <w:pStyle w:val="4"/>
        <w:spacing w:before="26" w:line="312" w:lineRule="auto"/>
        <w:ind w:right="271" w:firstLine="638"/>
        <w:jc w:val="both"/>
      </w:pPr>
      <w:r>
        <w:rPr>
          <w:spacing w:val="-8"/>
        </w:rPr>
        <w:t>（四）开展标准化良好行为创建获得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-20"/>
        </w:rPr>
        <w:t>AAAAA</w:t>
      </w:r>
      <w:r>
        <w:rPr>
          <w:spacing w:val="-20"/>
        </w:rPr>
        <w:t>、</w:t>
      </w:r>
      <w:r>
        <w:rPr>
          <w:rFonts w:ascii="Times New Roman" w:hAnsi="Times New Roman" w:eastAsia="Times New Roman" w:cs="Times New Roman"/>
          <w:spacing w:val="-20"/>
        </w:rPr>
        <w:t>AAAA</w:t>
      </w:r>
      <w:r>
        <w:rPr>
          <w:spacing w:val="-20"/>
        </w:rPr>
        <w:t>、</w:t>
      </w:r>
      <w:r>
        <w:rPr>
          <w:rFonts w:ascii="Times New Roman" w:hAnsi="Times New Roman" w:eastAsia="Times New Roman" w:cs="Times New Roman"/>
          <w:spacing w:val="-20"/>
        </w:rPr>
        <w:t>AAA</w:t>
      </w:r>
      <w:r>
        <w:rPr>
          <w:rFonts w:ascii="Times New Roman" w:hAnsi="Times New Roman" w:eastAsia="Times New Roman" w:cs="Times New Roman"/>
          <w:w w:val="99"/>
        </w:rPr>
        <w:t xml:space="preserve"> </w:t>
      </w:r>
      <w:r>
        <w:t>级标准化良好行为证书单位，分别给予</w:t>
      </w:r>
      <w:r>
        <w:rPr>
          <w:spacing w:val="-75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t>万元</w:t>
      </w:r>
    </w:p>
    <w:p>
      <w:pPr>
        <w:pStyle w:val="4"/>
        <w:spacing w:before="26" w:line="312" w:lineRule="auto"/>
        <w:ind w:left="0" w:leftChars="0" w:right="271" w:firstLine="0" w:firstLineChars="0"/>
        <w:jc w:val="both"/>
      </w:pPr>
      <w:r>
        <w:rPr>
          <w:w w:val="99"/>
        </w:rPr>
        <w:t xml:space="preserve"> </w:t>
      </w:r>
      <w:r>
        <w:t>一次性奖励。</w:t>
      </w:r>
    </w:p>
    <w:p>
      <w:pPr>
        <w:spacing w:after="0" w:line="312" w:lineRule="auto"/>
        <w:jc w:val="both"/>
        <w:sectPr>
          <w:pgSz w:w="11910" w:h="16840"/>
          <w:pgMar w:top="1580" w:right="1200" w:bottom="980" w:left="1480" w:header="0" w:footer="798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3" w:line="240" w:lineRule="auto"/>
        <w:rPr>
          <w:rFonts w:ascii="仿宋_GB2312" w:hAnsi="仿宋_GB2312" w:eastAsia="仿宋_GB2312" w:cs="仿宋_GB2312"/>
          <w:sz w:val="16"/>
          <w:szCs w:val="16"/>
        </w:rPr>
      </w:pPr>
    </w:p>
    <w:p>
      <w:pPr>
        <w:pStyle w:val="4"/>
        <w:spacing w:before="0" w:line="321" w:lineRule="auto"/>
        <w:ind w:right="273" w:firstLine="638"/>
        <w:jc w:val="both"/>
      </w:pPr>
      <w:r>
        <w:rPr>
          <w:spacing w:val="-4"/>
          <w:w w:val="95"/>
        </w:rPr>
        <w:t>（五）对新批准承担国家专业标准化技术委员会和安徽省专</w:t>
      </w:r>
      <w:r>
        <w:rPr>
          <w:w w:val="99"/>
        </w:rPr>
        <w:t xml:space="preserve"> </w:t>
      </w:r>
      <w:r>
        <w:rPr>
          <w:spacing w:val="5"/>
        </w:rPr>
        <w:t>业标准化技术委员会秘书处单位，分别给予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3"/>
        </w:rPr>
        <w:t>万元、</w:t>
      </w:r>
      <w:r>
        <w:rPr>
          <w:rFonts w:ascii="Times New Roman" w:hAnsi="Times New Roman" w:eastAsia="Times New Roman" w:cs="Times New Roman"/>
          <w:spacing w:val="3"/>
        </w:rPr>
        <w:t>5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4"/>
        </w:rPr>
        <w:t>万元奖</w:t>
      </w:r>
      <w:r>
        <w:rPr>
          <w:w w:val="99"/>
        </w:rPr>
        <w:t xml:space="preserve"> </w:t>
      </w:r>
      <w:r>
        <w:t>励。</w:t>
      </w:r>
    </w:p>
    <w:p>
      <w:pPr>
        <w:pStyle w:val="4"/>
        <w:spacing w:before="48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七、计量</w:t>
      </w:r>
    </w:p>
    <w:p>
      <w:pPr>
        <w:pStyle w:val="4"/>
        <w:spacing w:before="157" w:line="312" w:lineRule="auto"/>
        <w:ind w:right="271" w:firstLine="656" w:firstLineChars="200"/>
        <w:jc w:val="both"/>
        <w:rPr>
          <w:rFonts w:ascii="Times New Roman" w:hAnsi="Times New Roman" w:eastAsia="Times New Roman" w:cs="Times New Roman"/>
          <w:w w:val="99"/>
        </w:rPr>
      </w:pPr>
      <w:r>
        <w:rPr>
          <w:spacing w:val="4"/>
        </w:rPr>
        <w:t>（一）按照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ISO10012</w:t>
      </w:r>
      <w:r>
        <w:rPr>
          <w:spacing w:val="3"/>
        </w:rPr>
        <w:t>《测量管理体系测量过程和测量设备</w:t>
      </w:r>
      <w:r>
        <w:rPr>
          <w:w w:val="99"/>
        </w:rPr>
        <w:t xml:space="preserve"> </w:t>
      </w:r>
      <w:r>
        <w:rPr>
          <w:spacing w:val="-4"/>
        </w:rPr>
        <w:t>的要求》及</w:t>
      </w:r>
      <w:r>
        <w:rPr>
          <w:spacing w:val="-86"/>
        </w:rPr>
        <w:t xml:space="preserve"> </w:t>
      </w:r>
      <w:r>
        <w:rPr>
          <w:rFonts w:ascii="Times New Roman" w:hAnsi="Times New Roman" w:eastAsia="Times New Roman" w:cs="Times New Roman"/>
        </w:rPr>
        <w:t>GB/T19022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t>相关标准的要求，对获得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AAA</w:t>
      </w:r>
      <w:r>
        <w:rPr>
          <w:spacing w:val="-5"/>
        </w:rPr>
        <w:t>、</w:t>
      </w:r>
      <w:r>
        <w:rPr>
          <w:rFonts w:ascii="Times New Roman" w:hAnsi="Times New Roman" w:eastAsia="Times New Roman" w:cs="Times New Roman"/>
          <w:spacing w:val="-5"/>
        </w:rPr>
        <w:t>AA</w:t>
      </w:r>
      <w:r>
        <w:rPr>
          <w:spacing w:val="-5"/>
        </w:rPr>
        <w:t>、</w:t>
      </w:r>
      <w:r>
        <w:rPr>
          <w:rFonts w:ascii="Times New Roman" w:hAnsi="Times New Roman" w:eastAsia="Times New Roman" w:cs="Times New Roman"/>
          <w:spacing w:val="-5"/>
        </w:rPr>
        <w:t>A</w:t>
      </w:r>
      <w:r>
        <w:rPr>
          <w:rFonts w:ascii="Times New Roman" w:hAnsi="Times New Roman" w:eastAsia="Times New Roman" w:cs="Times New Roman"/>
          <w:w w:val="99"/>
        </w:rPr>
        <w:t xml:space="preserve"> </w:t>
      </w:r>
    </w:p>
    <w:p>
      <w:pPr>
        <w:pStyle w:val="4"/>
        <w:spacing w:before="157" w:line="312" w:lineRule="auto"/>
        <w:ind w:right="271"/>
        <w:jc w:val="both"/>
        <w:rPr>
          <w:w w:val="99"/>
        </w:rPr>
      </w:pPr>
      <w:r>
        <w:t>测量管理体系的单位，分别给予</w:t>
      </w:r>
      <w:r>
        <w:rPr>
          <w:spacing w:val="-75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t>万元一次性</w:t>
      </w:r>
      <w:r>
        <w:rPr>
          <w:w w:val="99"/>
        </w:rPr>
        <w:t xml:space="preserve"> </w:t>
      </w:r>
    </w:p>
    <w:p>
      <w:pPr>
        <w:pStyle w:val="4"/>
        <w:spacing w:before="157" w:line="312" w:lineRule="auto"/>
        <w:ind w:right="271"/>
        <w:jc w:val="left"/>
      </w:pPr>
      <w:r>
        <w:t>奖励。</w:t>
      </w:r>
    </w:p>
    <w:p>
      <w:pPr>
        <w:pStyle w:val="4"/>
        <w:numPr>
          <w:ilvl w:val="0"/>
          <w:numId w:val="0"/>
        </w:numPr>
        <w:spacing w:before="61" w:line="312" w:lineRule="auto"/>
        <w:ind w:right="0" w:rightChars="0" w:firstLine="656" w:firstLineChars="200"/>
        <w:jc w:val="left"/>
        <w:rPr>
          <w:w w:val="99"/>
        </w:rPr>
      </w:pPr>
      <w:r>
        <w:rPr>
          <w:spacing w:val="4"/>
        </w:rPr>
        <w:t>（</w:t>
      </w:r>
      <w:r>
        <w:rPr>
          <w:rFonts w:hint="eastAsia"/>
          <w:spacing w:val="4"/>
          <w:lang w:val="en-US" w:eastAsia="zh-CN"/>
        </w:rPr>
        <w:t>二</w:t>
      </w:r>
      <w:r>
        <w:rPr>
          <w:spacing w:val="4"/>
        </w:rPr>
        <w:t>）</w:t>
      </w:r>
      <w:r>
        <w:rPr>
          <w:spacing w:val="-5"/>
        </w:rPr>
        <w:t>对通过市级能源计量审查的重点用能企业，给予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万</w:t>
      </w:r>
      <w:r>
        <w:rPr>
          <w:w w:val="99"/>
        </w:rPr>
        <w:t xml:space="preserve"> </w:t>
      </w:r>
    </w:p>
    <w:p>
      <w:pPr>
        <w:pStyle w:val="4"/>
        <w:numPr>
          <w:ilvl w:val="0"/>
          <w:numId w:val="0"/>
        </w:numPr>
        <w:spacing w:before="61" w:line="312" w:lineRule="auto"/>
        <w:ind w:right="0" w:rightChars="0"/>
        <w:jc w:val="left"/>
      </w:pPr>
      <w:r>
        <w:t>元一次性奖励。</w:t>
      </w:r>
    </w:p>
    <w:p>
      <w:pPr>
        <w:pStyle w:val="4"/>
        <w:spacing w:before="61" w:line="240" w:lineRule="auto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八、知识产权</w:t>
      </w:r>
    </w:p>
    <w:p>
      <w:pPr>
        <w:pStyle w:val="4"/>
        <w:numPr>
          <w:ilvl w:val="0"/>
          <w:numId w:val="0"/>
        </w:numPr>
        <w:spacing w:before="157" w:line="331" w:lineRule="auto"/>
        <w:ind w:right="0" w:rightChars="0" w:firstLine="656" w:firstLineChars="200"/>
        <w:jc w:val="left"/>
        <w:rPr>
          <w:spacing w:val="-4"/>
        </w:rPr>
      </w:pPr>
      <w:r>
        <w:rPr>
          <w:spacing w:val="4"/>
        </w:rPr>
        <w:t>（一）</w:t>
      </w:r>
      <w:r>
        <w:rPr>
          <w:spacing w:val="-4"/>
        </w:rPr>
        <w:t>对获得国内发明专利授权，为促进其创造、运用和保</w:t>
      </w:r>
    </w:p>
    <w:p>
      <w:pPr>
        <w:pStyle w:val="4"/>
        <w:spacing w:before="157" w:line="331" w:lineRule="auto"/>
        <w:ind w:right="0"/>
        <w:jc w:val="left"/>
      </w:pPr>
      <w:r>
        <w:t>护的，每件给予专利权人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万元奖励，对被列为高价值专利的，</w:t>
      </w:r>
    </w:p>
    <w:p>
      <w:pPr>
        <w:pStyle w:val="4"/>
        <w:spacing w:before="0" w:line="441" w:lineRule="exact"/>
        <w:ind w:right="0"/>
        <w:jc w:val="left"/>
      </w:pPr>
      <w:r>
        <w:t>再给予专利权人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spacing w:val="-7"/>
        </w:rPr>
        <w:t>万元奖励，对获得国内发明专利授权达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t>件及</w:t>
      </w:r>
    </w:p>
    <w:p>
      <w:pPr>
        <w:pStyle w:val="4"/>
        <w:spacing w:line="240" w:lineRule="auto"/>
        <w:ind w:right="0"/>
        <w:jc w:val="left"/>
      </w:pPr>
      <w:r>
        <w:rPr>
          <w:spacing w:val="-8"/>
        </w:rPr>
        <w:t>以上的企事业单位，再给予</w:t>
      </w:r>
      <w:r>
        <w:rPr>
          <w:spacing w:val="-87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spacing w:val="-11"/>
        </w:rPr>
        <w:t>万元奖励；对通过《专利合作条约》</w:t>
      </w:r>
    </w:p>
    <w:p>
      <w:pPr>
        <w:pStyle w:val="4"/>
        <w:spacing w:line="240" w:lineRule="auto"/>
        <w:ind w:right="0"/>
        <w:jc w:val="left"/>
      </w:pPr>
      <w:r>
        <w:rPr>
          <w:spacing w:val="-9"/>
        </w:rPr>
        <w:t>（</w:t>
      </w:r>
      <w:r>
        <w:rPr>
          <w:rFonts w:ascii="Times New Roman" w:hAnsi="Times New Roman" w:eastAsia="Times New Roman" w:cs="Times New Roman"/>
          <w:spacing w:val="-9"/>
        </w:rPr>
        <w:t>PCT</w:t>
      </w:r>
      <w:r>
        <w:rPr>
          <w:spacing w:val="-9"/>
        </w:rPr>
        <w:t>）申请国外发明专利并获得授权的，每件给予</w:t>
      </w:r>
      <w:r>
        <w:rPr>
          <w:spacing w:val="-89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t>万元奖励，</w:t>
      </w:r>
    </w:p>
    <w:p>
      <w:pPr>
        <w:pStyle w:val="4"/>
        <w:spacing w:line="240" w:lineRule="auto"/>
        <w:ind w:right="0"/>
        <w:jc w:val="left"/>
      </w:pPr>
      <w:r>
        <w:t>同一专利最多奖励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t>个国家（地区）。</w:t>
      </w:r>
    </w:p>
    <w:p>
      <w:pPr>
        <w:pStyle w:val="4"/>
        <w:numPr>
          <w:ilvl w:val="0"/>
          <w:numId w:val="0"/>
        </w:numPr>
        <w:spacing w:line="321" w:lineRule="auto"/>
        <w:ind w:left="746" w:leftChars="0" w:right="0" w:rightChars="0"/>
        <w:jc w:val="left"/>
        <w:rPr>
          <w:spacing w:val="-4"/>
        </w:rPr>
      </w:pPr>
      <w:r>
        <w:rPr>
          <w:spacing w:val="4"/>
        </w:rPr>
        <w:t>（</w:t>
      </w:r>
      <w:r>
        <w:rPr>
          <w:rFonts w:hint="eastAsia"/>
          <w:spacing w:val="4"/>
          <w:lang w:val="en-US" w:eastAsia="zh-CN"/>
        </w:rPr>
        <w:t>二</w:t>
      </w:r>
      <w:r>
        <w:rPr>
          <w:spacing w:val="4"/>
        </w:rPr>
        <w:t>）</w:t>
      </w:r>
      <w:r>
        <w:rPr>
          <w:spacing w:val="-4"/>
        </w:rPr>
        <w:t>对获得中国专利金奖、银奖、优秀奖的单位，分别给</w:t>
      </w:r>
    </w:p>
    <w:p>
      <w:pPr>
        <w:pStyle w:val="4"/>
        <w:numPr>
          <w:ilvl w:val="0"/>
          <w:numId w:val="0"/>
        </w:numPr>
        <w:spacing w:line="321" w:lineRule="auto"/>
        <w:ind w:right="0" w:rightChars="0"/>
        <w:jc w:val="left"/>
        <w:rPr>
          <w:w w:val="99"/>
        </w:rPr>
      </w:pPr>
      <w:r>
        <w:t>予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30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25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20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万元奖励；对获得省专利金奖、银奖、</w:t>
      </w:r>
      <w:r>
        <w:rPr>
          <w:w w:val="99"/>
        </w:rPr>
        <w:t xml:space="preserve"> </w:t>
      </w:r>
    </w:p>
    <w:p>
      <w:pPr>
        <w:pStyle w:val="4"/>
        <w:numPr>
          <w:ilvl w:val="0"/>
          <w:numId w:val="0"/>
        </w:numPr>
        <w:spacing w:line="321" w:lineRule="auto"/>
        <w:ind w:right="0" w:rightChars="0"/>
        <w:jc w:val="left"/>
      </w:pPr>
      <w:r>
        <w:t>优秀奖的，分别给予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万元奖励。</w:t>
      </w:r>
    </w:p>
    <w:p>
      <w:pPr>
        <w:pStyle w:val="4"/>
        <w:spacing w:before="12" w:line="312" w:lineRule="auto"/>
        <w:ind w:right="0" w:firstLine="638"/>
        <w:jc w:val="left"/>
      </w:pPr>
      <w:r>
        <w:rPr>
          <w:spacing w:val="2"/>
        </w:rPr>
        <w:t>（三）对获得中国驰名商标的，每件给予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</w:rPr>
        <w:t>20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万元一次性奖</w:t>
      </w:r>
      <w:r>
        <w:rPr>
          <w:w w:val="99"/>
        </w:rPr>
        <w:t xml:space="preserve"> </w:t>
      </w:r>
      <w:r>
        <w:t>励；对获得国家地理标志保护产品、证明商标、集体商标的，每</w:t>
      </w:r>
    </w:p>
    <w:p>
      <w:pPr>
        <w:spacing w:after="0" w:line="312" w:lineRule="auto"/>
        <w:jc w:val="left"/>
        <w:sectPr>
          <w:pgSz w:w="11910" w:h="16840"/>
          <w:pgMar w:top="1580" w:right="1200" w:bottom="980" w:left="1480" w:header="0" w:footer="798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3" w:line="240" w:lineRule="auto"/>
        <w:rPr>
          <w:rFonts w:ascii="仿宋_GB2312" w:hAnsi="仿宋_GB2312" w:eastAsia="仿宋_GB2312" w:cs="仿宋_GB2312"/>
          <w:sz w:val="16"/>
          <w:szCs w:val="16"/>
        </w:rPr>
      </w:pPr>
    </w:p>
    <w:p>
      <w:pPr>
        <w:pStyle w:val="4"/>
        <w:spacing w:before="0" w:line="240" w:lineRule="auto"/>
        <w:ind w:right="0"/>
        <w:jc w:val="both"/>
      </w:pPr>
      <w:r>
        <w:t>件给予管理团队</w:t>
      </w:r>
      <w:r>
        <w:rPr>
          <w:spacing w:val="-86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2"/>
        </w:rPr>
        <w:t>万元一次性奖励；对获得马德里商标国际注</w:t>
      </w:r>
    </w:p>
    <w:p>
      <w:pPr>
        <w:pStyle w:val="4"/>
        <w:spacing w:line="240" w:lineRule="auto"/>
        <w:ind w:right="0"/>
        <w:jc w:val="both"/>
      </w:pPr>
      <w:r>
        <w:rPr>
          <w:spacing w:val="-4"/>
        </w:rPr>
        <w:t>册的，每件给予</w:t>
      </w:r>
      <w:r>
        <w:rPr>
          <w:spacing w:val="-92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万元一次性奖励（不超过</w:t>
      </w:r>
      <w:r>
        <w:rPr>
          <w:spacing w:val="-92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-7"/>
        </w:rPr>
        <w:t>件注册证）；对获</w:t>
      </w:r>
    </w:p>
    <w:p>
      <w:pPr>
        <w:pStyle w:val="4"/>
        <w:spacing w:line="321" w:lineRule="auto"/>
        <w:ind w:right="113"/>
        <w:jc w:val="both"/>
        <w:rPr>
          <w:spacing w:val="132"/>
          <w:w w:val="95"/>
        </w:rPr>
      </w:pPr>
      <w:r>
        <w:rPr>
          <w:spacing w:val="2"/>
        </w:rPr>
        <w:t>得安徽省专业商标品牌基地的，每个给予</w:t>
      </w:r>
      <w:r>
        <w:rPr>
          <w:spacing w:val="-86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万元奖励。（工业</w:t>
      </w:r>
      <w:r>
        <w:rPr>
          <w:w w:val="99"/>
        </w:rPr>
        <w:t xml:space="preserve"> </w:t>
      </w:r>
      <w:r>
        <w:rPr>
          <w:spacing w:val="0"/>
          <w:sz w:val="32"/>
        </w:rPr>
        <w:t>企业的驰名商标按《濉溪县人民政府关于加快推进新型工业化发</w:t>
      </w:r>
      <w:r>
        <w:rPr>
          <w:spacing w:val="132"/>
          <w:w w:val="95"/>
        </w:rPr>
        <w:t xml:space="preserve"> </w:t>
      </w:r>
    </w:p>
    <w:p>
      <w:pPr>
        <w:pStyle w:val="4"/>
        <w:spacing w:line="321" w:lineRule="auto"/>
        <w:ind w:right="113"/>
        <w:jc w:val="both"/>
      </w:pPr>
      <w:r>
        <w:t>展的意见》（濉政〔</w:t>
      </w:r>
      <w:r>
        <w:rPr>
          <w:rFonts w:ascii="Times New Roman" w:hAnsi="Times New Roman" w:eastAsia="Times New Roman" w:cs="Times New Roman"/>
        </w:rPr>
        <w:t>2017</w:t>
      </w:r>
      <w:r>
        <w:t>〕</w:t>
      </w:r>
      <w:r>
        <w:rPr>
          <w:rFonts w:ascii="Times New Roman" w:hAnsi="Times New Roman" w:eastAsia="Times New Roman" w:cs="Times New Roman"/>
        </w:rPr>
        <w:t>34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号）执行。）</w:t>
      </w:r>
    </w:p>
    <w:p>
      <w:pPr>
        <w:pStyle w:val="4"/>
        <w:numPr>
          <w:ilvl w:val="0"/>
          <w:numId w:val="1"/>
        </w:numPr>
        <w:spacing w:before="12" w:line="321" w:lineRule="auto"/>
        <w:ind w:left="0" w:leftChars="0" w:right="111" w:firstLine="664" w:firstLineChars="200"/>
        <w:jc w:val="both"/>
        <w:rPr>
          <w:spacing w:val="6"/>
          <w:w w:val="99"/>
          <w:sz w:val="32"/>
        </w:rPr>
      </w:pPr>
      <w:r>
        <w:rPr>
          <w:spacing w:val="6"/>
          <w:sz w:val="32"/>
        </w:rPr>
        <w:t>对新认定的国家、省知识产权示范企业</w:t>
      </w:r>
      <w:r>
        <w:rPr>
          <w:rFonts w:hint="eastAsia"/>
          <w:spacing w:val="6"/>
          <w:sz w:val="32"/>
          <w:lang w:eastAsia="zh-CN"/>
        </w:rPr>
        <w:t>，</w:t>
      </w:r>
      <w:r>
        <w:rPr>
          <w:spacing w:val="6"/>
          <w:sz w:val="32"/>
        </w:rPr>
        <w:t>分别给予</w:t>
      </w:r>
      <w:r>
        <w:rPr>
          <w:spacing w:val="6"/>
          <w:w w:val="99"/>
          <w:sz w:val="32"/>
        </w:rPr>
        <w:t xml:space="preserve"> </w:t>
      </w:r>
    </w:p>
    <w:p>
      <w:pPr>
        <w:pStyle w:val="4"/>
        <w:numPr>
          <w:ilvl w:val="0"/>
          <w:numId w:val="0"/>
        </w:numPr>
        <w:spacing w:before="12" w:line="321" w:lineRule="auto"/>
        <w:ind w:leftChars="200" w:right="111" w:rightChars="0"/>
        <w:jc w:val="both"/>
      </w:pPr>
      <w:r>
        <w:rPr>
          <w:rFonts w:ascii="Times New Roman" w:hAnsi="Times New Roman" w:eastAsia="Times New Roman" w:cs="Times New Roman"/>
          <w:spacing w:val="-6"/>
          <w:sz w:val="32"/>
        </w:rPr>
        <w:t xml:space="preserve">20 </w:t>
      </w:r>
      <w:r>
        <w:rPr>
          <w:spacing w:val="-6"/>
          <w:sz w:val="32"/>
        </w:rPr>
        <w:t>万元、</w:t>
      </w:r>
      <w:r>
        <w:rPr>
          <w:rFonts w:ascii="Times New Roman" w:hAnsi="Times New Roman" w:eastAsia="Times New Roman" w:cs="Times New Roman"/>
          <w:spacing w:val="-6"/>
          <w:sz w:val="32"/>
        </w:rPr>
        <w:t xml:space="preserve">10 </w:t>
      </w:r>
      <w:r>
        <w:rPr>
          <w:spacing w:val="-6"/>
          <w:sz w:val="32"/>
        </w:rPr>
        <w:t>万元奖励；对新认定的国家、省知识产权优势企业</w:t>
      </w:r>
      <w:r>
        <w:rPr>
          <w:spacing w:val="0"/>
          <w:w w:val="99"/>
          <w:sz w:val="32"/>
        </w:rPr>
        <w:t xml:space="preserve"> </w:t>
      </w:r>
      <w:r>
        <w:rPr>
          <w:spacing w:val="0"/>
          <w:sz w:val="32"/>
        </w:rPr>
        <w:t xml:space="preserve">分别给予 </w:t>
      </w:r>
      <w:r>
        <w:rPr>
          <w:rFonts w:ascii="Times New Roman" w:hAnsi="Times New Roman" w:eastAsia="Times New Roman" w:cs="Times New Roman"/>
          <w:spacing w:val="0"/>
          <w:sz w:val="32"/>
        </w:rPr>
        <w:t xml:space="preserve">10 </w:t>
      </w:r>
      <w:r>
        <w:rPr>
          <w:spacing w:val="0"/>
          <w:sz w:val="32"/>
        </w:rPr>
        <w:t>万元、</w:t>
      </w:r>
      <w:r>
        <w:rPr>
          <w:rFonts w:ascii="Times New Roman" w:hAnsi="Times New Roman" w:eastAsia="Times New Roman" w:cs="Times New Roman"/>
          <w:spacing w:val="0"/>
          <w:sz w:val="32"/>
        </w:rPr>
        <w:t xml:space="preserve">5 </w:t>
      </w:r>
      <w:r>
        <w:rPr>
          <w:spacing w:val="0"/>
          <w:sz w:val="32"/>
        </w:rPr>
        <w:t>万元奖励</w:t>
      </w:r>
      <w:r>
        <w:t>。</w:t>
      </w:r>
    </w:p>
    <w:p>
      <w:pPr>
        <w:pStyle w:val="4"/>
        <w:numPr>
          <w:ilvl w:val="0"/>
          <w:numId w:val="1"/>
        </w:numPr>
        <w:spacing w:before="12" w:line="321" w:lineRule="auto"/>
        <w:ind w:left="0" w:leftChars="0" w:right="111" w:firstLine="640" w:firstLineChars="200"/>
        <w:jc w:val="both"/>
        <w:rPr>
          <w:spacing w:val="0"/>
          <w:sz w:val="32"/>
        </w:rPr>
      </w:pPr>
      <w:r>
        <w:rPr>
          <w:spacing w:val="0"/>
          <w:sz w:val="32"/>
        </w:rPr>
        <w:t>对认定为国家、省知识产权示范开发区（园区）的分</w:t>
      </w:r>
    </w:p>
    <w:p>
      <w:pPr>
        <w:pStyle w:val="4"/>
        <w:numPr>
          <w:ilvl w:val="0"/>
          <w:numId w:val="0"/>
        </w:numPr>
        <w:spacing w:before="12" w:line="321" w:lineRule="auto"/>
        <w:ind w:right="111" w:rightChars="0"/>
        <w:jc w:val="both"/>
      </w:pPr>
      <w:r>
        <w:t>别给予</w:t>
      </w:r>
      <w:r>
        <w:rPr>
          <w:spacing w:val="-92"/>
        </w:rPr>
        <w:t xml:space="preserve"> </w:t>
      </w:r>
      <w:r>
        <w:rPr>
          <w:rFonts w:ascii="Times New Roman" w:hAnsi="Times New Roman" w:eastAsia="Times New Roman" w:cs="Times New Roman"/>
        </w:rPr>
        <w:t>30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-3"/>
        </w:rPr>
        <w:t>万、</w:t>
      </w:r>
      <w:r>
        <w:rPr>
          <w:rFonts w:ascii="Times New Roman" w:hAnsi="Times New Roman" w:eastAsia="Times New Roman" w:cs="Times New Roman"/>
          <w:spacing w:val="-3"/>
        </w:rPr>
        <w:t>20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万元奖励；对列为国家、省知识产权试点开发</w:t>
      </w:r>
    </w:p>
    <w:p>
      <w:pPr>
        <w:pStyle w:val="4"/>
        <w:numPr>
          <w:ilvl w:val="0"/>
          <w:numId w:val="0"/>
        </w:numPr>
        <w:spacing w:before="12" w:line="321" w:lineRule="auto"/>
        <w:ind w:right="111" w:rightChars="0"/>
        <w:jc w:val="both"/>
      </w:pPr>
      <w:r>
        <w:t>区（园区）的分别给予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万元、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万元奖励。</w:t>
      </w:r>
    </w:p>
    <w:p>
      <w:pPr>
        <w:pStyle w:val="4"/>
        <w:spacing w:before="12" w:line="240" w:lineRule="auto"/>
        <w:ind w:left="747" w:right="0"/>
        <w:jc w:val="left"/>
      </w:pPr>
      <w:r>
        <w:rPr>
          <w:spacing w:val="8"/>
        </w:rPr>
        <w:t>（六）对企业以商标权、专利权质押贷款方式融资额达到</w:t>
      </w:r>
    </w:p>
    <w:p>
      <w:pPr>
        <w:pStyle w:val="4"/>
        <w:spacing w:before="157" w:line="240" w:lineRule="auto"/>
        <w:ind w:right="0"/>
        <w:jc w:val="both"/>
      </w:pPr>
      <w:r>
        <w:rPr>
          <w:rFonts w:ascii="Times New Roman" w:hAnsi="Times New Roman" w:eastAsia="Times New Roman" w:cs="Times New Roman"/>
        </w:rPr>
        <w:t xml:space="preserve">500 </w:t>
      </w:r>
      <w:r>
        <w:rPr>
          <w:spacing w:val="-3"/>
        </w:rPr>
        <w:t>万元及以上的，一次性按贷款利息和评估费总额的</w:t>
      </w:r>
      <w:r>
        <w:rPr>
          <w:spacing w:val="-91"/>
        </w:rPr>
        <w:t xml:space="preserve"> </w:t>
      </w:r>
      <w:r>
        <w:rPr>
          <w:rFonts w:ascii="Times New Roman" w:hAnsi="Times New Roman" w:eastAsia="Times New Roman" w:cs="Times New Roman"/>
        </w:rPr>
        <w:t>25%</w:t>
      </w:r>
      <w:r>
        <w:t>予以</w:t>
      </w:r>
    </w:p>
    <w:p>
      <w:pPr>
        <w:pStyle w:val="4"/>
        <w:spacing w:line="312" w:lineRule="auto"/>
        <w:ind w:right="113"/>
        <w:jc w:val="both"/>
      </w:pPr>
      <w:r>
        <w:rPr>
          <w:spacing w:val="2"/>
        </w:rPr>
        <w:t>补助，单个企业补助金额最高不超过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万元。（市县两级奖励</w:t>
      </w:r>
      <w:r>
        <w:rPr>
          <w:w w:val="99"/>
        </w:rPr>
        <w:t xml:space="preserve"> </w:t>
      </w:r>
      <w:r>
        <w:t>金额不超过贷款利息和评估费用的总额）</w:t>
      </w:r>
    </w:p>
    <w:p>
      <w:pPr>
        <w:pStyle w:val="4"/>
        <w:spacing w:before="61" w:line="331" w:lineRule="auto"/>
        <w:ind w:right="113" w:firstLine="638"/>
        <w:jc w:val="both"/>
        <w:rPr>
          <w:w w:val="99"/>
        </w:rPr>
      </w:pPr>
      <w:r>
        <w:rPr>
          <w:spacing w:val="-4"/>
          <w:w w:val="95"/>
        </w:rPr>
        <w:t>（七）</w:t>
      </w:r>
      <w:r>
        <w:rPr>
          <w:spacing w:val="6"/>
          <w:w w:val="95"/>
          <w:sz w:val="32"/>
        </w:rPr>
        <w:t>建立健全知识产权维权援助机制，在知识产权诉讼案</w:t>
      </w:r>
      <w:r>
        <w:rPr>
          <w:spacing w:val="6"/>
          <w:w w:val="99"/>
          <w:sz w:val="32"/>
        </w:rPr>
        <w:t xml:space="preserve"> </w:t>
      </w:r>
    </w:p>
    <w:p>
      <w:pPr>
        <w:pStyle w:val="4"/>
        <w:spacing w:before="61" w:line="331" w:lineRule="auto"/>
        <w:ind w:right="113"/>
        <w:jc w:val="both"/>
        <w:rPr>
          <w:spacing w:val="-4"/>
          <w:w w:val="95"/>
        </w:rPr>
      </w:pPr>
      <w:r>
        <w:rPr>
          <w:spacing w:val="6"/>
          <w:w w:val="95"/>
          <w:sz w:val="32"/>
        </w:rPr>
        <w:t>件中，我县知识产权当事人胜诉后按知识产权维权实际发生费用</w:t>
      </w:r>
      <w:r>
        <w:rPr>
          <w:spacing w:val="-4"/>
          <w:w w:val="95"/>
        </w:rPr>
        <w:t xml:space="preserve"> </w:t>
      </w:r>
    </w:p>
    <w:p>
      <w:pPr>
        <w:pStyle w:val="4"/>
        <w:spacing w:before="61" w:line="331" w:lineRule="auto"/>
        <w:ind w:right="113"/>
        <w:jc w:val="both"/>
      </w:pPr>
      <w:r>
        <w:t>的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</w:rPr>
        <w:t>50%</w:t>
      </w:r>
      <w:r>
        <w:t>给予补贴，每案最高补贴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t>万元。</w:t>
      </w:r>
    </w:p>
    <w:p>
      <w:pPr>
        <w:pStyle w:val="4"/>
        <w:spacing w:before="0" w:line="417" w:lineRule="exact"/>
        <w:ind w:left="747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九、其他事项</w:t>
      </w:r>
    </w:p>
    <w:p>
      <w:pPr>
        <w:pStyle w:val="4"/>
        <w:spacing w:before="157" w:line="321" w:lineRule="auto"/>
        <w:ind w:right="113" w:firstLine="638"/>
        <w:jc w:val="both"/>
        <w:rPr>
          <w:w w:val="99"/>
        </w:rPr>
      </w:pPr>
      <w:r>
        <w:rPr>
          <w:spacing w:val="-12"/>
        </w:rPr>
        <w:t>（一）每年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spacing w:val="-3"/>
        </w:rPr>
        <w:t>月份在濉溪县人民政府网发布信息，受理上年</w:t>
      </w:r>
      <w:r>
        <w:rPr>
          <w:w w:val="99"/>
        </w:rPr>
        <w:t xml:space="preserve"> </w:t>
      </w:r>
    </w:p>
    <w:p>
      <w:pPr>
        <w:pStyle w:val="4"/>
        <w:spacing w:before="157" w:line="321" w:lineRule="auto"/>
        <w:ind w:right="113"/>
        <w:jc w:val="both"/>
        <w:rPr>
          <w:spacing w:val="6"/>
          <w:w w:val="95"/>
          <w:sz w:val="32"/>
        </w:rPr>
      </w:pPr>
      <w:r>
        <w:rPr>
          <w:spacing w:val="6"/>
          <w:w w:val="95"/>
          <w:sz w:val="32"/>
        </w:rPr>
        <w:t>度相关奖励或补贴申请。申请对象按照要求向县市场监管局提供</w:t>
      </w:r>
    </w:p>
    <w:p>
      <w:pPr>
        <w:pStyle w:val="4"/>
        <w:spacing w:before="157" w:line="321" w:lineRule="auto"/>
        <w:ind w:right="113"/>
        <w:jc w:val="both"/>
        <w:sectPr>
          <w:pgSz w:w="11910" w:h="16840"/>
          <w:pgMar w:top="1580" w:right="1219" w:bottom="980" w:left="1480" w:header="0" w:footer="798" w:gutter="0"/>
          <w:cols w:space="720" w:num="1"/>
        </w:sectPr>
      </w:pPr>
      <w:r>
        <w:rPr>
          <w:spacing w:val="6"/>
          <w:w w:val="95"/>
          <w:sz w:val="32"/>
        </w:rPr>
        <w:t>有关申报资料，由县市场监管局会同县财政局及其它有关部门进</w:t>
      </w:r>
    </w:p>
    <w:p>
      <w:pPr>
        <w:spacing w:before="0" w:line="240" w:lineRule="auto"/>
        <w:rPr>
          <w:rFonts w:ascii="仿宋_GB2312" w:hAnsi="仿宋_GB2312" w:eastAsia="仿宋_GB2312" w:cs="仿宋_GB2312"/>
          <w:spacing w:val="11"/>
          <w:sz w:val="20"/>
          <w:szCs w:val="20"/>
        </w:rPr>
      </w:pPr>
    </w:p>
    <w:p>
      <w:pPr>
        <w:pStyle w:val="4"/>
        <w:spacing w:before="0" w:line="331" w:lineRule="auto"/>
        <w:ind w:left="0" w:leftChars="0" w:right="271" w:firstLine="0" w:firstLineChars="0"/>
        <w:jc w:val="both"/>
        <w:rPr>
          <w:spacing w:val="11"/>
          <w:w w:val="95"/>
        </w:rPr>
      </w:pPr>
      <w:r>
        <w:rPr>
          <w:spacing w:val="11"/>
          <w:w w:val="95"/>
        </w:rPr>
        <w:t xml:space="preserve">行审核认定。对符合条件的，提出奖励或补贴意见，并对外进行 </w:t>
      </w:r>
    </w:p>
    <w:p>
      <w:pPr>
        <w:pStyle w:val="4"/>
        <w:spacing w:before="0" w:line="331" w:lineRule="auto"/>
        <w:ind w:left="0" w:leftChars="0" w:right="271" w:firstLine="0" w:firstLineChars="0"/>
        <w:jc w:val="both"/>
        <w:rPr>
          <w:spacing w:val="11"/>
          <w:w w:val="95"/>
        </w:rPr>
      </w:pPr>
      <w:r>
        <w:rPr>
          <w:spacing w:val="11"/>
          <w:w w:val="95"/>
        </w:rPr>
        <w:t>公示。公示无异议的，报县政府批准兑现。当年不申请的视为自</w:t>
      </w:r>
    </w:p>
    <w:p>
      <w:pPr>
        <w:pStyle w:val="4"/>
        <w:spacing w:before="0" w:line="331" w:lineRule="auto"/>
        <w:ind w:right="271"/>
        <w:jc w:val="both"/>
      </w:pPr>
      <w:r>
        <w:t>愿放弃，逾期不再受理。</w:t>
      </w:r>
    </w:p>
    <w:p>
      <w:pPr>
        <w:pStyle w:val="4"/>
        <w:numPr>
          <w:ilvl w:val="0"/>
          <w:numId w:val="2"/>
        </w:numPr>
        <w:spacing w:before="35" w:line="326" w:lineRule="auto"/>
        <w:ind w:right="0" w:firstLine="638"/>
        <w:jc w:val="left"/>
        <w:rPr>
          <w:spacing w:val="0"/>
          <w:w w:val="99"/>
          <w:sz w:val="32"/>
        </w:rPr>
      </w:pPr>
      <w:r>
        <w:rPr>
          <w:spacing w:val="0"/>
          <w:sz w:val="32"/>
        </w:rPr>
        <w:t>申报奖励资料必须真实、准确、可靠，对以弄虚作假</w:t>
      </w:r>
      <w:r>
        <w:rPr>
          <w:spacing w:val="0"/>
          <w:w w:val="99"/>
          <w:sz w:val="32"/>
        </w:rPr>
        <w:t xml:space="preserve"> </w:t>
      </w:r>
    </w:p>
    <w:p>
      <w:pPr>
        <w:pStyle w:val="4"/>
        <w:numPr>
          <w:ilvl w:val="0"/>
          <w:numId w:val="0"/>
        </w:numPr>
        <w:spacing w:before="35" w:line="326" w:lineRule="auto"/>
        <w:ind w:right="0" w:rightChars="0"/>
        <w:jc w:val="left"/>
        <w:rPr>
          <w:spacing w:val="6"/>
          <w:w w:val="95"/>
          <w:sz w:val="32"/>
        </w:rPr>
      </w:pPr>
      <w:r>
        <w:rPr>
          <w:spacing w:val="6"/>
          <w:w w:val="95"/>
          <w:sz w:val="32"/>
        </w:rPr>
        <w:t>等方式骗取奖励或资助的，予以追回全额资助资金；情节严重的，</w:t>
      </w:r>
    </w:p>
    <w:p>
      <w:pPr>
        <w:pStyle w:val="4"/>
        <w:numPr>
          <w:ilvl w:val="0"/>
          <w:numId w:val="0"/>
        </w:numPr>
        <w:spacing w:before="35" w:line="326" w:lineRule="auto"/>
        <w:ind w:right="0" w:rightChars="0"/>
        <w:jc w:val="left"/>
        <w:rPr>
          <w:w w:val="99"/>
        </w:rPr>
      </w:pPr>
      <w:r>
        <w:rPr>
          <w:spacing w:val="-1"/>
          <w:w w:val="95"/>
        </w:rPr>
        <w:t xml:space="preserve"> </w:t>
      </w:r>
      <w:r>
        <w:rPr>
          <w:spacing w:val="-7"/>
        </w:rPr>
        <w:t>依法追究相关单位和人员责任，并且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年内不得申报质量提升扶</w:t>
      </w:r>
      <w:r>
        <w:rPr>
          <w:w w:val="99"/>
        </w:rPr>
        <w:t xml:space="preserve"> </w:t>
      </w:r>
    </w:p>
    <w:p>
      <w:pPr>
        <w:pStyle w:val="4"/>
        <w:numPr>
          <w:ilvl w:val="0"/>
          <w:numId w:val="0"/>
        </w:numPr>
        <w:spacing w:before="35" w:line="326" w:lineRule="auto"/>
        <w:ind w:right="0" w:rightChars="0"/>
        <w:jc w:val="left"/>
        <w:rPr>
          <w:w w:val="99"/>
        </w:rPr>
      </w:pPr>
      <w:r>
        <w:rPr>
          <w:spacing w:val="-4"/>
        </w:rPr>
        <w:t>持政策奖励资金。第三方在我县开展本政策涉及的工作，需向县</w:t>
      </w:r>
      <w:r>
        <w:rPr>
          <w:w w:val="99"/>
        </w:rPr>
        <w:t xml:space="preserve"> </w:t>
      </w:r>
    </w:p>
    <w:p>
      <w:pPr>
        <w:pStyle w:val="4"/>
        <w:numPr>
          <w:ilvl w:val="0"/>
          <w:numId w:val="0"/>
        </w:numPr>
        <w:spacing w:before="35" w:line="326" w:lineRule="auto"/>
        <w:ind w:right="0" w:rightChars="0"/>
        <w:jc w:val="left"/>
      </w:pPr>
      <w:r>
        <w:t>市场监管部门报备，接受监督管理，否则不予相应资助。</w:t>
      </w:r>
    </w:p>
    <w:p>
      <w:pPr>
        <w:pStyle w:val="4"/>
        <w:numPr>
          <w:ilvl w:val="0"/>
          <w:numId w:val="2"/>
        </w:numPr>
        <w:spacing w:before="42" w:line="331" w:lineRule="auto"/>
        <w:ind w:left="108" w:leftChars="0" w:right="0" w:firstLine="638" w:firstLineChars="0"/>
        <w:jc w:val="left"/>
        <w:rPr>
          <w:spacing w:val="0"/>
          <w:w w:val="99"/>
          <w:sz w:val="32"/>
        </w:rPr>
      </w:pPr>
      <w:r>
        <w:rPr>
          <w:spacing w:val="0"/>
          <w:w w:val="95"/>
          <w:sz w:val="32"/>
        </w:rPr>
        <w:t>本规定中各项奖补政策与县级政策内容相同的，除明</w:t>
      </w:r>
      <w:r>
        <w:rPr>
          <w:spacing w:val="0"/>
          <w:w w:val="99"/>
          <w:sz w:val="32"/>
        </w:rPr>
        <w:t xml:space="preserve"> </w:t>
      </w:r>
    </w:p>
    <w:p>
      <w:pPr>
        <w:pStyle w:val="4"/>
        <w:numPr>
          <w:ilvl w:val="0"/>
          <w:numId w:val="0"/>
        </w:numPr>
        <w:spacing w:before="42" w:line="331" w:lineRule="auto"/>
        <w:ind w:right="0" w:rightChars="0"/>
        <w:jc w:val="left"/>
      </w:pPr>
      <w:r>
        <w:t>确规定再奖励的，按就高不就低原则执行，不重复享受。</w:t>
      </w:r>
    </w:p>
    <w:p>
      <w:pPr>
        <w:pStyle w:val="4"/>
        <w:numPr>
          <w:ilvl w:val="0"/>
          <w:numId w:val="2"/>
        </w:numPr>
        <w:spacing w:before="35" w:line="331" w:lineRule="auto"/>
        <w:ind w:left="108" w:leftChars="0" w:right="0" w:firstLine="638" w:firstLineChars="0"/>
        <w:jc w:val="left"/>
        <w:rPr>
          <w:spacing w:val="0"/>
          <w:w w:val="95"/>
          <w:sz w:val="32"/>
        </w:rPr>
      </w:pPr>
      <w:r>
        <w:rPr>
          <w:spacing w:val="-4"/>
          <w:w w:val="95"/>
        </w:rPr>
        <w:t>本</w:t>
      </w:r>
      <w:r>
        <w:rPr>
          <w:spacing w:val="0"/>
          <w:w w:val="95"/>
          <w:sz w:val="32"/>
        </w:rPr>
        <w:t xml:space="preserve">规定在实施过程中如需修改完善，由县市场监管局 </w:t>
      </w:r>
    </w:p>
    <w:p>
      <w:pPr>
        <w:pStyle w:val="4"/>
        <w:numPr>
          <w:ilvl w:val="0"/>
          <w:numId w:val="0"/>
        </w:numPr>
        <w:spacing w:before="35" w:line="331" w:lineRule="auto"/>
        <w:ind w:right="0" w:rightChars="0"/>
        <w:jc w:val="left"/>
      </w:pPr>
      <w:r>
        <w:t>进行修改。</w:t>
      </w:r>
    </w:p>
    <w:p>
      <w:pPr>
        <w:pStyle w:val="4"/>
        <w:numPr>
          <w:ilvl w:val="0"/>
          <w:numId w:val="2"/>
        </w:numPr>
        <w:spacing w:before="35" w:line="331" w:lineRule="auto"/>
        <w:ind w:left="108" w:leftChars="0" w:right="0" w:firstLine="638" w:firstLineChars="0"/>
        <w:jc w:val="left"/>
        <w:rPr>
          <w:w w:val="99"/>
        </w:rPr>
      </w:pPr>
      <w:r>
        <w:rPr>
          <w:spacing w:val="0"/>
          <w:w w:val="95"/>
          <w:sz w:val="32"/>
        </w:rPr>
        <w:t>适用过程中的有关问题由县市场监管局、县财政局负</w:t>
      </w:r>
      <w:r>
        <w:rPr>
          <w:w w:val="99"/>
        </w:rPr>
        <w:t xml:space="preserve"> </w:t>
      </w:r>
    </w:p>
    <w:p>
      <w:pPr>
        <w:pStyle w:val="4"/>
        <w:numPr>
          <w:ilvl w:val="0"/>
          <w:numId w:val="0"/>
        </w:numPr>
        <w:spacing w:before="35" w:line="331" w:lineRule="auto"/>
        <w:ind w:right="0" w:rightChars="0"/>
        <w:jc w:val="left"/>
      </w:pPr>
      <w:r>
        <w:t>责解释。</w:t>
      </w:r>
    </w:p>
    <w:p>
      <w:pPr>
        <w:pStyle w:val="4"/>
        <w:spacing w:before="35" w:line="240" w:lineRule="auto"/>
        <w:ind w:right="0"/>
        <w:jc w:val="left"/>
      </w:pPr>
      <w:r>
        <w:rPr>
          <w:rFonts w:hint="eastAsia"/>
          <w:lang w:val="en-US" w:eastAsia="zh-CN"/>
        </w:rPr>
        <w:t xml:space="preserve">    </w:t>
      </w:r>
      <w:r>
        <w:t>（六）本规定自印发之日起施行，政策兑现从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年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t>日开始。印发之前的县其他有关政策就同一事项规定与本规定</w:t>
      </w:r>
      <w:r>
        <w:rPr>
          <w:w w:val="99"/>
        </w:rPr>
        <w:t xml:space="preserve"> </w:t>
      </w:r>
      <w:r>
        <w:t>不一致的，按本规定执行。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20832484">
    <w:nsid w:val="9C36BAE4"/>
    <w:multiLevelType w:val="singleLevel"/>
    <w:tmpl w:val="9C36BAE4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072501612">
    <w:nsid w:val="B722A76C"/>
    <w:multiLevelType w:val="singleLevel"/>
    <w:tmpl w:val="B722A76C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620832484"/>
  </w:num>
  <w:num w:numId="2">
    <w:abstractNumId w:val="3072501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E6313"/>
    <w:rsid w:val="286E6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after="0" w:line="240" w:lineRule="auto"/>
      <w:ind w:left="150" w:hanging="3"/>
      <w:jc w:val="left"/>
      <w:outlineLvl w:val="0"/>
    </w:pPr>
    <w:rPr>
      <w:rFonts w:ascii="方正小标宋简体" w:hAnsi="方正小标宋简体" w:eastAsia="方正小标宋简体" w:cs="Times New Roman"/>
      <w:kern w:val="0"/>
      <w:sz w:val="44"/>
      <w:szCs w:val="44"/>
      <w:lang w:eastAsia="en-US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 Char + 首行缩进:  2 字符"/>
    <w:basedOn w:val="1"/>
    <w:qFormat/>
    <w:uiPriority w:val="0"/>
    <w:pPr>
      <w:spacing w:line="360" w:lineRule="auto"/>
      <w:ind w:firstLine="420"/>
    </w:pPr>
    <w:rPr>
      <w:rFonts w:ascii="宋体" w:hAnsi="宋体" w:eastAsia="等线" w:cs="宋体"/>
      <w:b/>
      <w:bCs/>
      <w:sz w:val="24"/>
    </w:rPr>
  </w:style>
  <w:style w:type="paragraph" w:styleId="4">
    <w:name w:val="Body Text"/>
    <w:basedOn w:val="1"/>
    <w:uiPriority w:val="0"/>
    <w:pPr>
      <w:spacing w:before="133" w:after="0" w:line="240" w:lineRule="auto"/>
      <w:ind w:left="108"/>
      <w:jc w:val="left"/>
    </w:pPr>
    <w:rPr>
      <w:rFonts w:ascii="仿宋_GB2312" w:hAnsi="仿宋_GB2312" w:eastAsia="仿宋_GB2312" w:cs="Times New Roman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2022-04-27T01:02:00Z</dcterms:created>
  <dc:creator>单一桂</dc:creator>
  <cp:lastModifiedBy>单一桂</cp:lastModifiedBy>
  <dcterms:modified xsi:type="dcterms:W3CDTF">2022-04-27T01:03:04Z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